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You should not need any other document to deliver Learning Bridge+ (Cox’s Bazar): the full plan for all three components, the learner books to print, the cards to cut out, and the assessment records are all inside it, in the order you will need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The three learner books, ready to print — one per learner, per component.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You keep the teaching; you lose only the private page.</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It holds all three learner books below,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7A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7B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7C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print one per learner</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That is the whole programme in one learner, in one room, in one afternoon — and it is the only time anyone gets to see it whole.</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Describing beats praising, and this cohort has good defences against praise.</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4"/>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4"/>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4"/>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 it may be the only slot that exists. Teach it as a legitimate first choice, not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THE ACTIVITY, IN FULL</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 The learner books — print one per learner</w:t>
      </w:r>
    </w:p>
    <w:p>
      <w:pPr>
        <w:spacing w:after="140" w:before="0" w:line="300"/>
      </w:pPr>
      <w:r>
        <w:rPr>
          <w:color w:val="5A6473"/>
          <w:sz w:val="23"/>
          <w:szCs w:val="23"/>
        </w:rPr>
        <w:t xml:space="preserve">Three books, one per component. Print each learner a copy before Week 1, or work from one held-up copy and learners’ own notebooks.</w:t>
      </w:r>
    </w:p>
    <w:p>
      <w:r>
        <w:br w:type="page"/>
      </w:r>
    </w:p>
    <w:p>
      <w:pPr>
        <w:pStyle w:val="Heading2"/>
        <w:keepNext/>
        <w:spacing w:after="100" w:before="280"/>
      </w:pPr>
      <w:r>
        <w:rPr>
          <w:b/>
          <w:bCs/>
          <w:color w:val="7A3B69"/>
          <w:sz w:val="28"/>
          <w:szCs w:val="28"/>
        </w:rPr>
        <w:t xml:space="preserve">7A  Agency in Learning — “My Learning Book”</w:t>
      </w:r>
    </w:p>
    <w:p>
      <w:pPr>
        <w:spacing w:after="140" w:before="0" w:line="300"/>
      </w:pPr>
      <w:r>
        <w:rPr>
          <w:color w:val="5A6473"/>
          <w:sz w:val="22"/>
          <w:szCs w:val="22"/>
        </w:rPr>
        <w:t xml:space="preserve">One visual-first page per activity: the Learner Profile pages, the goal, the plan, and the growth pages. It is the learner’s record of the whole component, and it is where most of your Set and Pursue Goals evidence comes from.</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4"/>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4"/>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5"/>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5"/>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5"/>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5"/>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5"/>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4"/>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4"/>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5"/>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5"/>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5"/>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5"/>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5"/>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4"/>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4"/>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5"/>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5"/>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5"/>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5"/>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5"/>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4"/>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4"/>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4"/>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5"/>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5"/>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5"/>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5"/>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5"/>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5"/>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4"/>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4"/>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5"/>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5"/>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5"/>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5"/>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5"/>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5"/>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5"/>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4"/>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4"/>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5"/>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5"/>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5"/>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5"/>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5"/>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5"/>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4"/>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4"/>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4"/>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4"/>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5"/>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5"/>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5"/>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5"/>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4"/>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4"/>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4"/>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4"/>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7B  English — the “My Voice book”</w:t>
      </w:r>
    </w:p>
    <w:p>
      <w:pPr>
        <w:spacing w:after="140" w:before="0" w:line="300"/>
      </w:pPr>
      <w:r>
        <w:rPr>
          <w:color w:val="5A6473"/>
          <w:sz w:val="22"/>
          <w:szCs w:val="22"/>
        </w:rPr>
        <w:t xml:space="preserve">One sheet per activity, in unit order: the name pages, the sound and word pages, the sentence frames, the My Name My Voice card, and the "I can…" sheet you mark at the start and again at the end.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4"/>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5"/>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00" w:before="280"/>
      </w:pPr>
      <w:r>
        <w:rPr>
          <w:b/>
          <w:bCs/>
          <w:color w:val="7A3B69"/>
          <w:sz w:val="28"/>
          <w:szCs w:val="28"/>
        </w:rPr>
        <w:t xml:space="preserve">7C  Research Project — “Our Research Book”</w:t>
      </w:r>
    </w:p>
    <w:p>
      <w:pPr>
        <w:spacing w:after="140" w:before="0" w:line="300"/>
      </w:pPr>
      <w:r>
        <w:rPr>
          <w:color w:val="5A6473"/>
          <w:sz w:val="22"/>
          <w:szCs w:val="22"/>
        </w:rPr>
        <w:t xml:space="preserve">The source cards learners read (graded B1 and A1/A2 versions), the research word bank, and a page for each step of the investigation.</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3"/>
        <w:keepNext/>
        <w:spacing w:after="140" w:before="320"/>
      </w:pPr>
      <w:r>
        <w:rPr>
          <w:b/>
          <w:bCs/>
          <w:color w:val="1F3A5F"/>
          <w:sz w:val="36"/>
          <w:szCs w:val="36"/>
        </w:rPr>
        <w:t xml:space="preserve">Our sources</w:t>
      </w:r>
    </w:p>
    <w:p>
      <w:pPr>
        <w:pStyle w:val="Heading4"/>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4"/>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4"/>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4"/>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4"/>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4"/>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4"/>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4"/>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4"/>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4"/>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4"/>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4"/>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4"/>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4"/>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3"/>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3"/>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4"/>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5"/>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5"/>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5"/>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5"/>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4"/>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5"/>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5"/>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5"/>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5"/>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5"/>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5"/>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5"/>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4"/>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5"/>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5"/>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5"/>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5"/>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5"/>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4"/>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5"/>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5"/>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5"/>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5"/>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5"/>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4"/>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5"/>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5"/>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5"/>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5"/>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5"/>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5"/>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4"/>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5"/>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5"/>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5"/>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5"/>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5"/>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4"/>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5"/>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5"/>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5"/>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5"/>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5"/>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4"/>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5"/>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5"/>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5"/>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5"/>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5"/>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4"/>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4"/>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4"/>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4"/>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4"/>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4"/>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4"/>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we know more than 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the person says yes, freely, before we ask them anything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1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r>
        <w:br w:type="page"/>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0c5c2271445abbbb41422a0b62c67465b85d32b4.png"/><Relationship Id="rId10" Type="http://schemas.openxmlformats.org/officeDocument/2006/relationships/image" Target="media/69324f43ccecd888ad93839b2b426b99a25e05c6.png"/><Relationship Id="rId11" Type="http://schemas.openxmlformats.org/officeDocument/2006/relationships/image" Target="media/60c6178dd0234d9e55be7204ca332e1773219440.png"/><Relationship Id="rId12" Type="http://schemas.openxmlformats.org/officeDocument/2006/relationships/image" Target="media/5722e02942db2cdeb973eb08c910414774804eda.png"/><Relationship Id="rId13" Type="http://schemas.openxmlformats.org/officeDocument/2006/relationships/image" Target="media/ca4503fb9ef8fee1ea36ceb8598d55b59f498801.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2026-08-24T04:42:55.094Z</dcterms:created>
  <dcterms:modified xsi:type="dcterms:W3CDTF">2026-08-24T04:42:55.094Z</dcterms:modified>
</cp:coreProperties>
</file>

<file path=docProps/custom.xml><?xml version="1.0" encoding="utf-8"?>
<Properties xmlns="http://schemas.openxmlformats.org/officeDocument/2006/custom-properties" xmlns:vt="http://schemas.openxmlformats.org/officeDocument/2006/docPropsVTypes"/>
</file>