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pPr>
      <w:r>
        <w:rPr>
          <w:b/>
          <w:bCs/>
          <w:color w:val="6E7A2E"/>
          <w:sz w:val="22"/>
          <w:szCs w:val="22"/>
        </w:rPr>
        <w:t xml:space="preserve">Learning Bridge+</w:t>
      </w:r>
    </w:p>
    <w:p>
      <w:pPr>
        <w:spacing w:after="60"/>
      </w:pPr>
      <w:r>
        <w:rPr>
          <w:b/>
          <w:bCs/>
          <w:color w:val="1F3A5F"/>
          <w:sz w:val="52"/>
          <w:szCs w:val="52"/>
        </w:rPr>
        <w:t xml:space="preserve">Coordinator Guide</w:t>
      </w:r>
    </w:p>
    <w:p>
      <w:pPr>
        <w:spacing w:after="60" w:before="0" w:line="300"/>
      </w:pPr>
      <w:r>
        <w:rPr>
          <w:b/>
          <w:bCs/>
          <w:color w:val="7A3B69"/>
          <w:sz w:val="28"/>
          <w:szCs w:val="28"/>
        </w:rPr>
        <w:t xml:space="preserve">Running the programme in the camps</w:t>
      </w:r>
    </w:p>
    <w:p>
      <w:pPr>
        <w:spacing w:after="20" w:before="0" w:line="300"/>
      </w:pPr>
      <w:r>
        <w:rPr>
          <w:color w:val="5A6473"/>
          <w:sz w:val="21"/>
          <w:szCs w:val="21"/>
        </w:rPr>
        <w:t xml:space="preserve">Learning Bridge+ (Cox's Bazar)  ·  a fully offline readiness programme for Rohingya youth</w:t>
      </w:r>
    </w:p>
    <w:p>
      <w:pPr>
        <w:spacing w:after="220" w:before="0" w:line="300"/>
      </w:pPr>
      <w:r>
        <w:rPr>
          <w:color w:val="5A6473"/>
          <w:sz w:val="21"/>
          <w:szCs w:val="21"/>
        </w:rPr>
        <w:t xml:space="preserve">Amala Education, remote technical consultant to the Norwegian Refugee Council (NRC)</w:t>
      </w:r>
    </w:p>
    <w:p>
      <w:pPr>
        <w:spacing w:after="140" w:before="0" w:line="300"/>
      </w:pPr>
      <w:r>
        <w:rPr>
          <w:sz w:val="22"/>
          <w:szCs w:val="22"/>
        </w:rPr>
        <w:t xml:space="preserve">This guide is for the NRC programme coordinator — the person who holds the programme together across sites. It explains what the programme is, who does what, how to set it up, and the 12-week rhythm you run each cohort through, including the two assessment points and Amala’s moderation. It is a companion to the Educator Guide, which is the facilitators’ complete manual: everything they deliver from is in that one document.</w:t>
      </w:r>
    </w:p>
    <w:p>
      <w:pPr>
        <w:pBdr>
          <w:bottom w:val="single" w:color="B9B3A6" w:sz="4"/>
        </w:pBdr>
        <w:spacing w:after="180" w:before="60"/>
      </w:pPr>
    </w:p>
    <w:p>
      <w:pPr>
        <w:pStyle w:val="Heading1"/>
        <w:keepNext/>
        <w:spacing w:after="140" w:before="320"/>
      </w:pPr>
      <w:r>
        <w:rPr>
          <w:b/>
          <w:bCs/>
          <w:color w:val="1F3A5F"/>
          <w:sz w:val="36"/>
          <w:szCs w:val="36"/>
        </w:rPr>
        <w:t xml:space="preserve">1. What this programme is</w:t>
      </w:r>
    </w:p>
    <w:p>
      <w:pPr>
        <w:spacing w:after="140" w:before="0" w:line="300"/>
      </w:pPr>
      <w:r>
        <w:rPr>
          <w:sz w:val="22"/>
          <w:szCs w:val="22"/>
        </w:rPr>
        <w:t xml:space="preserve">Learning Bridge+ (Cox’s Bazar) is a readiness bridge. It prepares Rohingya refugee youth — typically aged 14 to 24, at around Grade 6 of the Myanmar curriculum — to enter and sustain an accredited secondary education pathway. It keeps the components and competencies of Amala’s Learning Bridge programme, but delivery is rebuilt for this context: fully offline, in Community Based Learning Facilities (CBLFs), for a largely pre-literate cohort, under the protection realities of the camps.</w:t>
      </w:r>
    </w:p>
    <w:p>
      <w:pPr>
        <w:spacing w:after="140" w:before="0" w:line="300"/>
      </w:pPr>
      <w:r>
        <w:rPr>
          <w:sz w:val="22"/>
          <w:szCs w:val="22"/>
        </w:rPr>
        <w:t xml:space="preserve">It is the certificated Learning Bridge+ tier, so learners are formally assessed in two competencies to support the decision about whether they are ready to transition.</w:t>
      </w:r>
    </w:p>
    <w:p>
      <w:pPr>
        <w:keepNext/>
        <w:spacing w:after="60" w:before="180"/>
      </w:pPr>
      <w:r>
        <w:rPr>
          <w:b/>
          <w:bCs/>
          <w:color w:val="6E7A2E"/>
          <w:spacing w:val="24"/>
          <w:sz w:val="17"/>
          <w:szCs w:val="17"/>
        </w:rPr>
        <w:t xml:space="preserve">THE HEADLINE SUCCESS MEASURE</w:t>
      </w:r>
    </w:p>
    <w:p>
      <w:pPr>
        <w:spacing w:after="140" w:before="0" w:line="300"/>
      </w:pPr>
      <w:r>
        <w:rPr>
          <w:sz w:val="22"/>
          <w:szCs w:val="22"/>
        </w:rPr>
        <w:t xml:space="preserve">Agreed with NRC: at least 70% of learners who complete the programme demonstrate the competencies needed to enrol in the accredited secondary education pathway, as measured by the final assessment. Everything below serves that measure.</w:t>
      </w:r>
    </w:p>
    <w:p>
      <w:pPr>
        <w:pStyle w:val="Heading2"/>
        <w:keepNext/>
        <w:spacing w:after="100" w:before="280"/>
      </w:pPr>
      <w:r>
        <w:rPr>
          <w:b/>
          <w:bCs/>
          <w:color w:val="7A3B69"/>
          <w:sz w:val="28"/>
          <w:szCs w:val="28"/>
        </w:rPr>
        <w:t xml:space="preserve">Agency for positive change — what this is all for</w:t>
      </w:r>
    </w:p>
    <w:p>
      <w:pPr>
        <w:spacing w:after="140" w:before="0" w:line="300"/>
      </w:pPr>
      <w:r>
        <w:rPr>
          <w:sz w:val="22"/>
          <w:szCs w:val="22"/>
        </w:rPr>
        <w:t xml:space="preserve">Everything in this programme serves one outcome: that a young person leaves it with more agency for positive change than they arrived with — more ability and will to make informed, intentional decisions that improve their own life and contribute to their community. Readiness for accredited secondary education is the near-term form that agency takes here; it is the door this programme is trying to open, not the whole of what it is for.</w:t>
      </w:r>
    </w:p>
    <w:p>
      <w:pPr>
        <w:spacing w:after="140" w:before="0" w:line="300"/>
      </w:pPr>
      <w:r>
        <w:rPr>
          <w:sz w:val="22"/>
          <w:szCs w:val="22"/>
        </w:rPr>
        <w:t xml:space="preserve">Agency is hard-won in a camp, because so much of a young person's life is decided by other people. That is exactly why this edition reframes goal-setting around what is genuinely within a learner's control, and why it never asks a learner to plan for futures that are currently blocked. The three taught components each take one part of the work — deciding and pursuing (Agency in Learning), being understood and being heard (English), and understanding a real challenge well enough to act on it (Research Project) — and mentoring is what holds the three together in one person's life across the twelve weeks. None of the four builds agency on its own; the programme is designed so that the same learner does all four at once.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THREE INDICATORS OF AGENCY</w:t>
            </w:r>
          </w:p>
          <w:p>
            <w:pPr>
              <w:spacing w:after="90" w:before="0" w:line="300"/>
            </w:pPr>
            <w:r>
              <w:rPr>
                <w:sz w:val="21"/>
                <w:szCs w:val="21"/>
              </w:rPr>
              <w:t xml:space="preserve">Making impactful contributions to community</w:t>
            </w:r>
          </w:p>
          <w:p>
            <w:pPr>
              <w:spacing w:after="90" w:before="0" w:line="300"/>
            </w:pPr>
            <w:r>
              <w:rPr>
                <w:sz w:val="21"/>
                <w:szCs w:val="21"/>
              </w:rPr>
              <w:t xml:space="preserve">Control of and access to future pathways</w:t>
            </w:r>
          </w:p>
          <w:p>
            <w:pPr>
              <w:spacing w:after="0" w:before="0" w:line="300"/>
            </w:pPr>
            <w:r>
              <w:rPr>
                <w:sz w:val="21"/>
                <w:szCs w:val="21"/>
              </w:rPr>
              <w:t xml:space="preserve">Power over wellbeing and self-direction</w:t>
            </w:r>
          </w:p>
        </w:tc>
      </w:tr>
    </w:tbl>
    <w:p>
      <w:pPr>
        <w:keepNext/>
        <w:spacing w:after="60" w:before="180"/>
      </w:pPr>
      <w:r>
        <w:rPr>
          <w:b/>
          <w:bCs/>
          <w:color w:val="6E7A2E"/>
          <w:spacing w:val="24"/>
          <w:sz w:val="17"/>
          <w:szCs w:val="17"/>
        </w:rPr>
        <w:t xml:space="preserve">WHAT EACH COMPONENT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What it builds, and which indicators</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This is where a learner discovers that at least one thing — what they learn — is theirs to direct. They run a full cycle on a goal they chose: understanding themselves as a learner, setting the goal, planning and taking real steps, using feedback, and seeing how far they came. That is self-direction made concrete. It reaches into pathways because the learner leaves with a method they can point at any next step, and with evidence that their effort changed something — which is what makes a future feel actionable rather than assigned.</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Voice is the precondition for agency: you cannot act on a world you cannot be understood in. Starting from the sound of their own name, learners gain the English to say who they are, and the confidence to say it to someone new. That is pathways in the most literal sense — English below B1 is the specific barrier standing between this cohort and an accredited secondary place. It is self-direction because learners choose who to practise with and what to say about themselves, and it reaches into community because a learner who can introduce themselves and others can speak for people who cannot yet.</w:t>
            </w:r>
          </w:p>
          <w:p>
            <w:pPr>
              <w:spacing w:line="260"/>
            </w:pPr>
            <w:r>
              <w:rPr>
                <w:b w:val="false"/>
                <w:bCs w:val="false"/>
                <w:sz w:val="19"/>
                <w:szCs w:val="19"/>
              </w:rPr>
              <w:t xml:space="preserve"/>
            </w:r>
          </w:p>
          <w:p>
            <w:pPr>
              <w:spacing w:line="260"/>
            </w:pPr>
            <w:r>
              <w:rPr>
                <w:b w:val="false"/>
                <w:bCs w:val="false"/>
                <w:sz w:val="19"/>
                <w:szCs w:val="19"/>
              </w:rPr>
              <w:t xml:space="preserve">Indicators: Control of and access to future pathways  ·  Power over wellbeing and self-direction  ·  Making impactful contributions to community</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You cannot act well on a challenge you do not understand. Learners investigate something real about the place they live, and produce evidence-based insight they share with an audience they chose — which is itself a contribution to their community, not a rehearsal for one. It builds self-direction because it replaces "what people say" with "what we found out", and pathways because investigating is a transferable move: a learner who has done it once on the hills can do it on anything that matters to them next.</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Control of and access to future pathways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Mentoring is the only place all three indicators are held together, in one learner's life, across the whole twelve weeks. It is where the goal set in Agency in Learning stays alive between sessions, where a learner is helped to notice and name their own state rather than only endure it, where the skills they already use in camp life — caring for siblings, translating, resolving disputes — are surfaced and recognised as capability, and where the next step towards a pathway is kept honest and near-term. Without it the three taught components are three courses; with it they are one person's development.</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  ·  Making impactful contributions to community</w:t>
            </w:r>
          </w:p>
        </w:tc>
      </w:tr>
    </w:tbl>
    <w:p>
      <w:pPr>
        <w:keepNext/>
        <w:spacing w:after="60" w:before="180"/>
      </w:pPr>
      <w:r>
        <w:rPr>
          <w:b/>
          <w:bCs/>
          <w:color w:val="6E7A2E"/>
          <w:spacing w:val="24"/>
          <w:sz w:val="17"/>
          <w:szCs w:val="17"/>
        </w:rPr>
        <w:t xml:space="preserve">WHAT DEVELOPING EACH COMPETENCY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How developing it builds agency</w:t>
            </w:r>
          </w:p>
        </w:tc>
      </w:tr>
      <w:tr>
        <w:tc>
          <w:tcPr>
            <w:tcW w:type="dxa" w:w="2687"/>
            <w:tcMar>
              <w:top w:type="dxa" w:w="70"/>
              <w:left w:type="dxa" w:w="130"/>
              <w:bottom w:type="dxa" w:w="70"/>
              <w:right w:type="dxa" w:w="130"/>
            </w:tcMar>
          </w:tcPr>
          <w:p>
            <w:pPr>
              <w:spacing w:line="260"/>
            </w:pPr>
            <w:r>
              <w:rPr>
                <w:b/>
                <w:bCs/>
                <w:color w:val="7A3B69"/>
                <w:sz w:val="19"/>
                <w:szCs w:val="19"/>
              </w:rPr>
              <w:t xml:space="preserve">FSL2 — 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Set and pursue goals is the engine of agency: agency is only real when a learner can decide what they want to grow towards and take deliberate steps to get there. Developing it moves a learner from having things decided for them to deciding one thing and following it through — the smallest complete unit of self-direction there is. Because the method transfers, it is also how a learner takes hold of a pathway rather than waiting to be placed on one.</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FSI1 — Investigate real-world issues</w:t>
            </w:r>
          </w:p>
        </w:tc>
        <w:tc>
          <w:tcPr>
            <w:tcW w:type="dxa" w:w="6382"/>
            <w:tcMar>
              <w:top w:type="dxa" w:w="70"/>
              <w:left w:type="dxa" w:w="130"/>
              <w:bottom w:type="dxa" w:w="70"/>
              <w:right w:type="dxa" w:w="130"/>
            </w:tcMar>
          </w:tcPr>
          <w:p>
            <w:pPr>
              <w:spacing w:line="260"/>
            </w:pPr>
            <w:r>
              <w:rPr>
                <w:b w:val="false"/>
                <w:bCs w:val="false"/>
                <w:sz w:val="19"/>
                <w:szCs w:val="19"/>
              </w:rPr>
              <w:t xml:space="preserve">Investigate real-world issues turns concern into understanding you can act on: it replaces assumption with evidence. Developing it gives a learner a way to find out for themselves instead of accepting what they are told — and when they produce evidence-based insight about a challenge in their own community and share it, they have already made an impactful contribution, at whatever scale they could manage.</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FUS1 — Developing self-awareness</w:t>
            </w:r>
          </w:p>
        </w:tc>
        <w:tc>
          <w:tcPr>
            <w:tcW w:type="dxa" w:w="6382"/>
            <w:tcMar>
              <w:top w:type="dxa" w:w="70"/>
              <w:left w:type="dxa" w:w="130"/>
              <w:bottom w:type="dxa" w:w="70"/>
              <w:right w:type="dxa" w:w="130"/>
            </w:tcMar>
          </w:tcPr>
          <w:p>
            <w:pPr>
              <w:spacing w:line="260"/>
            </w:pPr>
            <w:r>
              <w:rPr>
                <w:b w:val="false"/>
                <w:bCs w:val="false"/>
                <w:sz w:val="19"/>
                <w:szCs w:val="19"/>
              </w:rPr>
              <w:t xml:space="preserve">Developing self-awareness is where agency starts. As learners find the English to introduce themselves and choose the words that represent them, they are naming their identity, strengths and what matters to them. All later choice rests on that self-knowledge — you cannot direct a life you cannot describe. Assessed formatively here, but it underwrites both graded competencies.</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bl>
    <w:p>
      <w:pPr>
        <w:keepNext/>
        <w:spacing w:after="60" w:before="180"/>
      </w:pPr>
      <w:r>
        <w:rPr>
          <w:b/>
          <w:bCs/>
          <w:color w:val="6E7A2E"/>
          <w:spacing w:val="24"/>
          <w:sz w:val="17"/>
          <w:szCs w:val="17"/>
        </w:rPr>
        <w:t xml:space="preserve">HOW YOU SEE IT — AND HOW NOT TO TURN IT INTO ANOTHER TEST</w:t>
      </w:r>
    </w:p>
    <w:p>
      <w:pPr>
        <w:pStyle w:val="ListParagraph"/>
        <w:numPr>
          <w:ilvl w:val="0"/>
          <w:numId w:val="1"/>
        </w:numPr>
        <w:spacing w:after="80" w:line="300"/>
      </w:pPr>
      <w:r>
        <w:rPr>
          <w:sz w:val="22"/>
          <w:szCs w:val="22"/>
        </w:rPr>
        <w:t xml:space="preserve">The two graded competencies are the formal measure, but they are not the whole of it. Agency shows in things a scale does not capture: a learner who asks for help without being prompted, who picks a plan back up after a week indoors, who chooses to share when they were not going to, who speaks English to someone outside the learning space.</w:t>
      </w:r>
    </w:p>
    <w:p>
      <w:pPr>
        <w:pStyle w:val="ListParagraph"/>
        <w:numPr>
          <w:ilvl w:val="0"/>
          <w:numId w:val="1"/>
        </w:numPr>
        <w:spacing w:after="80" w:line="300"/>
      </w:pPr>
      <w:r>
        <w:rPr>
          <w:sz w:val="22"/>
          <w:szCs w:val="22"/>
        </w:rPr>
        <w:t xml:space="preserve">The learner's own growth self-check, marked once in the middle and once at the end, carries one plain question per indicator, answerable by drawing, marking or speaking. That is the record that works for a cohort that is largely not yet literate.</w:t>
      </w:r>
    </w:p>
    <w:p>
      <w:pPr>
        <w:pStyle w:val="ListParagraph"/>
        <w:numPr>
          <w:ilvl w:val="0"/>
          <w:numId w:val="1"/>
        </w:numPr>
        <w:spacing w:after="80" w:line="300"/>
      </w:pPr>
      <w:r>
        <w:rPr>
          <w:sz w:val="22"/>
          <w:szCs w:val="22"/>
        </w:rPr>
        <w:t xml:space="preserve">Mentors notice it first and notice it earliest, because they see the same learner across all three components. A light paper note of what a mentor saw is legitimate evidence, and it is often the strongest evidence there is.</w:t>
      </w:r>
    </w:p>
    <w:p>
      <w:pPr>
        <w:pStyle w:val="ListParagraph"/>
        <w:numPr>
          <w:ilvl w:val="0"/>
          <w:numId w:val="1"/>
        </w:numPr>
        <w:spacing w:after="80" w:line="300"/>
      </w:pPr>
      <w:r>
        <w:rPr>
          <w:sz w:val="22"/>
          <w:szCs w:val="22"/>
        </w:rPr>
        <w:t xml:space="preserve">Do not turn this into another thing to assess. Agency is what the programme is FOR; the two competency judgements are how it is graded. Recording movement in agency informs the readiness picture and NRC's reporting — it is not a third grade.</w:t>
      </w:r>
    </w:p>
    <w:p>
      <w:pPr>
        <w:pStyle w:val="Heading1"/>
        <w:keepNext/>
        <w:spacing w:after="140" w:before="320"/>
      </w:pPr>
      <w:r>
        <w:rPr>
          <w:b/>
          <w:bCs/>
          <w:color w:val="1F3A5F"/>
          <w:sz w:val="36"/>
          <w:szCs w:val="36"/>
        </w:rPr>
        <w:t xml:space="preserve">2. Who does what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Role</w:t>
            </w:r>
          </w:p>
        </w:tc>
        <w:tc>
          <w:tcPr>
            <w:tcW w:type="dxa" w:w="6382"/>
            <w:tcMar>
              <w:top w:type="dxa" w:w="70"/>
              <w:left w:type="dxa" w:w="130"/>
              <w:bottom w:type="dxa" w:w="70"/>
              <w:right w:type="dxa" w:w="130"/>
            </w:tcMar>
          </w:tcPr>
          <w:p>
            <w:pPr>
              <w:spacing w:line="260"/>
            </w:pPr>
            <w:r>
              <w:rPr>
                <w:b/>
                <w:bCs/>
                <w:color w:val="1F3A5F"/>
                <w:sz w:val="19"/>
                <w:szCs w:val="19"/>
              </w:rPr>
              <w:t xml:space="preserve">Responsibility</w:t>
            </w:r>
          </w:p>
        </w:tc>
      </w:tr>
      <w:tr>
        <w:tc>
          <w:tcPr>
            <w:tcW w:type="dxa" w:w="2687"/>
            <w:tcMar>
              <w:top w:type="dxa" w:w="70"/>
              <w:left w:type="dxa" w:w="130"/>
              <w:bottom w:type="dxa" w:w="70"/>
              <w:right w:type="dxa" w:w="130"/>
            </w:tcMar>
          </w:tcPr>
          <w:p>
            <w:pPr>
              <w:spacing w:line="260"/>
            </w:pPr>
            <w:r>
              <w:rPr>
                <w:b/>
                <w:bCs/>
                <w:color w:val="7A3B69"/>
                <w:sz w:val="19"/>
                <w:szCs w:val="19"/>
              </w:rPr>
              <w:t xml:space="preserve">Amala</w:t>
            </w:r>
          </w:p>
        </w:tc>
        <w:tc>
          <w:tcPr>
            <w:tcW w:type="dxa" w:w="6382"/>
            <w:tcMar>
              <w:top w:type="dxa" w:w="70"/>
              <w:left w:type="dxa" w:w="130"/>
              <w:bottom w:type="dxa" w:w="70"/>
              <w:right w:type="dxa" w:w="130"/>
            </w:tcMar>
          </w:tcPr>
          <w:p>
            <w:pPr>
              <w:spacing w:line="260"/>
            </w:pPr>
            <w:r>
              <w:rPr>
                <w:b w:val="false"/>
                <w:bCs w:val="false"/>
                <w:sz w:val="19"/>
                <w:szCs w:val="19"/>
              </w:rPr>
              <w:t xml:space="preserve">Remote technical consultant. Contextualises the curriculum, supplies ready-made offline resources, trains facilitators and you (the coordinator), supports the Week-6 assessment, and moderates the final judgements. Amala does not deliver in the camps.</w:t>
            </w:r>
          </w:p>
        </w:tc>
      </w:tr>
      <w:tr>
        <w:tc>
          <w:tcPr>
            <w:tcW w:type="dxa" w:w="2687"/>
            <w:tcMar>
              <w:top w:type="dxa" w:w="70"/>
              <w:left w:type="dxa" w:w="130"/>
              <w:bottom w:type="dxa" w:w="70"/>
              <w:right w:type="dxa" w:w="130"/>
            </w:tcMar>
          </w:tcPr>
          <w:p>
            <w:pPr>
              <w:spacing w:line="260"/>
            </w:pPr>
            <w:r>
              <w:rPr>
                <w:b/>
                <w:bCs/>
                <w:color w:val="7A3B69"/>
                <w:sz w:val="19"/>
                <w:szCs w:val="19"/>
              </w:rPr>
              <w:t xml:space="preserve">You (coordinator)</w:t>
            </w:r>
          </w:p>
        </w:tc>
        <w:tc>
          <w:tcPr>
            <w:tcW w:type="dxa" w:w="6382"/>
            <w:tcMar>
              <w:top w:type="dxa" w:w="70"/>
              <w:left w:type="dxa" w:w="130"/>
              <w:bottom w:type="dxa" w:w="70"/>
              <w:right w:type="dxa" w:w="130"/>
            </w:tcMar>
          </w:tcPr>
          <w:p>
            <w:pPr>
              <w:spacing w:line="260"/>
            </w:pPr>
            <w:r>
              <w:rPr>
                <w:b w:val="false"/>
                <w:bCs w:val="false"/>
                <w:sz w:val="19"/>
                <w:szCs w:val="19"/>
              </w:rPr>
              <w:t xml:space="preserve">Lead implementation on the ground. Set up sites and materials, recruit and support facilitators, hold the calendar and the two assessment windows, keep safeguarding pathways live, and be the bridge between the camps and Amala.</w:t>
            </w:r>
          </w:p>
        </w:tc>
      </w:tr>
      <w:tr>
        <w:tc>
          <w:tcPr>
            <w:tcW w:type="dxa" w:w="2687"/>
            <w:tcMar>
              <w:top w:type="dxa" w:w="70"/>
              <w:left w:type="dxa" w:w="130"/>
              <w:bottom w:type="dxa" w:w="70"/>
              <w:right w:type="dxa" w:w="130"/>
            </w:tcMar>
          </w:tcPr>
          <w:p>
            <w:pPr>
              <w:spacing w:line="260"/>
            </w:pPr>
            <w:r>
              <w:rPr>
                <w:b/>
                <w:bCs/>
                <w:color w:val="7A3B69"/>
                <w:sz w:val="19"/>
                <w:szCs w:val="19"/>
              </w:rPr>
              <w:t xml:space="preserve">Educators</w:t>
            </w:r>
          </w:p>
        </w:tc>
        <w:tc>
          <w:tcPr>
            <w:tcW w:type="dxa" w:w="6382"/>
            <w:tcMar>
              <w:top w:type="dxa" w:w="70"/>
              <w:left w:type="dxa" w:w="130"/>
              <w:bottom w:type="dxa" w:w="70"/>
              <w:right w:type="dxa" w:w="130"/>
            </w:tcMar>
          </w:tcPr>
          <w:p>
            <w:pPr>
              <w:spacing w:line="260"/>
            </w:pPr>
            <w:r>
              <w:rPr>
                <w:b w:val="false"/>
                <w:bCs w:val="false"/>
                <w:sz w:val="19"/>
                <w:szCs w:val="19"/>
              </w:rPr>
              <w:t xml:space="preserve">Deliver the programme. Each educator holds three functions — they facilitate the sessions, mentor learners 1:1, and assess the competencies. Everything they need is in the Educator Guide.</w:t>
            </w:r>
          </w:p>
        </w:tc>
      </w:tr>
      <w:tr>
        <w:tc>
          <w:tcPr>
            <w:tcW w:type="dxa" w:w="2687"/>
            <w:tcMar>
              <w:top w:type="dxa" w:w="70"/>
              <w:left w:type="dxa" w:w="130"/>
              <w:bottom w:type="dxa" w:w="70"/>
              <w:right w:type="dxa" w:w="130"/>
            </w:tcMar>
          </w:tcPr>
          <w:p>
            <w:pPr>
              <w:spacing w:line="260"/>
            </w:pPr>
            <w:r>
              <w:rPr>
                <w:b/>
                <w:bCs/>
                <w:color w:val="7A3B69"/>
                <w:sz w:val="19"/>
                <w:szCs w:val="19"/>
              </w:rPr>
              <w:t xml:space="preserve">NRC</w:t>
            </w:r>
          </w:p>
        </w:tc>
        <w:tc>
          <w:tcPr>
            <w:tcW w:type="dxa" w:w="6382"/>
            <w:tcMar>
              <w:top w:type="dxa" w:w="70"/>
              <w:left w:type="dxa" w:w="130"/>
              <w:bottom w:type="dxa" w:w="70"/>
              <w:right w:type="dxa" w:w="130"/>
            </w:tcMar>
          </w:tcPr>
          <w:p>
            <w:pPr>
              <w:spacing w:line="260"/>
            </w:pPr>
            <w:r>
              <w:rPr>
                <w:b w:val="false"/>
                <w:bCs w:val="false"/>
                <w:sz w:val="19"/>
                <w:szCs w:val="19"/>
              </w:rPr>
              <w:t xml:space="preserve">Owns the programme, employs and manages staff, and owns the Code of Conduct, safeguarding, and MHPSS/protection referral pathways.</w:t>
            </w:r>
          </w:p>
        </w:tc>
      </w:tr>
    </w:tbl>
    <w:p>
      <w:r>
        <w:br w:type="page"/>
      </w:r>
    </w:p>
    <w:p>
      <w:pPr>
        <w:pStyle w:val="Heading1"/>
        <w:keepNext/>
        <w:spacing w:after="140" w:before="320"/>
      </w:pPr>
      <w:r>
        <w:rPr>
          <w:b/>
          <w:bCs/>
          <w:color w:val="1F3A5F"/>
          <w:sz w:val="36"/>
          <w:szCs w:val="36"/>
        </w:rPr>
        <w:t xml:space="preserve">3. Setting up a cohort</w:t>
      </w:r>
    </w:p>
    <w:p>
      <w:pPr>
        <w:spacing w:after="140" w:before="0" w:line="300"/>
      </w:pPr>
      <w:r>
        <w:rPr>
          <w:sz w:val="22"/>
          <w:szCs w:val="22"/>
        </w:rPr>
        <w:t xml:space="preserve">Work through this before Week 1. Most of it you do once per site, then maintain.</w:t>
      </w:r>
    </w:p>
    <w:p>
      <w:pPr>
        <w:pStyle w:val="ListParagraph"/>
        <w:numPr>
          <w:ilvl w:val="0"/>
          <w:numId w:val="2"/>
        </w:numPr>
        <w:spacing w:after="80" w:line="300"/>
      </w:pPr>
      <w:r>
        <w:rPr>
          <w:sz w:val="22"/>
          <w:szCs w:val="22"/>
        </w:rPr>
        <w:t xml:space="preserve">Confirm the sites (CBLFs) and the space each offers. A CBLF is often a room in a teacher’s shelter — plan for no internet, and often no reliable power or learner devices.</w:t>
      </w:r>
    </w:p>
    <w:p>
      <w:pPr>
        <w:pStyle w:val="ListParagraph"/>
        <w:numPr>
          <w:ilvl w:val="0"/>
          <w:numId w:val="2"/>
        </w:numPr>
        <w:spacing w:after="80" w:line="300"/>
      </w:pPr>
      <w:r>
        <w:rPr>
          <w:sz w:val="22"/>
          <w:szCs w:val="22"/>
        </w:rPr>
        <w:t xml:space="preserve">Confirm facilitators. Plan for female facilitators and same-gender grouping wherever girls’ participation depends on it, and match language so learners can take part in the language they use at home. Keep mentor caseloads small enough that each learner is genuinely known.</w:t>
      </w:r>
    </w:p>
    <w:p>
      <w:pPr>
        <w:pStyle w:val="ListParagraph"/>
        <w:numPr>
          <w:ilvl w:val="0"/>
          <w:numId w:val="2"/>
        </w:numPr>
        <w:spacing w:after="80" w:line="300"/>
      </w:pPr>
      <w:r>
        <w:rPr>
          <w:sz w:val="22"/>
          <w:szCs w:val="22"/>
        </w:rPr>
        <w:t xml:space="preserve">Distribute the offline pack. Every resource is supplied ready-made and editable, distributed physically by USB or hard drive. The Educator Guide is the single document a facilitator delivers from — it carries the unit plans, the learner books, the cards and the assessment records inside it — with the picture-card PDF alongside on the USB.</w:t>
      </w:r>
    </w:p>
    <w:p>
      <w:pPr>
        <w:pStyle w:val="ListParagraph"/>
        <w:numPr>
          <w:ilvl w:val="0"/>
          <w:numId w:val="2"/>
        </w:numPr>
        <w:spacing w:after="80" w:line="300"/>
      </w:pPr>
      <w:r>
        <w:rPr>
          <w:sz w:val="22"/>
          <w:szCs w:val="22"/>
        </w:rPr>
        <w:t xml:space="preserve">Agree with each site how the learner books will reach learners: one printed book each is best, one shared between two or three works, and a single displayed copy with learners using notebooks is the floor. The books carry the teaching and the worked examples, so what matters is that every learner can SEE them — not that every learner owns one. The books are editable Word files, so pages can be cut before printing if paper is short.</w:t>
      </w:r>
    </w:p>
    <w:p>
      <w:pPr>
        <w:pStyle w:val="ListParagraph"/>
        <w:numPr>
          <w:ilvl w:val="0"/>
          <w:numId w:val="2"/>
        </w:numPr>
        <w:spacing w:after="80" w:line="300"/>
      </w:pPr>
      <w:r>
        <w:rPr>
          <w:sz w:val="22"/>
          <w:szCs w:val="22"/>
        </w:rPr>
        <w:t xml:space="preserve">Make the safeguarding pathway concrete at each site. Before any facilitator takes a mentoring caseload, make sure they know NRC’s Code of Conduct and the camp MHPSS and protection referral pathway — who to hand a concern to, and how.</w:t>
      </w:r>
    </w:p>
    <w:p>
      <w:pPr>
        <w:pStyle w:val="ListParagraph"/>
        <w:numPr>
          <w:ilvl w:val="0"/>
          <w:numId w:val="2"/>
        </w:numPr>
        <w:spacing w:after="80" w:line="300"/>
      </w:pPr>
      <w:r>
        <w:rPr>
          <w:sz w:val="22"/>
          <w:szCs w:val="22"/>
        </w:rPr>
        <w:t xml:space="preserve">Run diagnostic intake. Place each learner, check English proficiency where needed (the cohort is below B1, many not yet literate in any language), and pair each learner with a mentor.</w:t>
      </w:r>
    </w:p>
    <w:p>
      <w:pPr>
        <w:pStyle w:val="ListParagraph"/>
        <w:numPr>
          <w:ilvl w:val="0"/>
          <w:numId w:val="2"/>
        </w:numPr>
        <w:spacing w:after="80" w:line="300"/>
      </w:pPr>
      <w:r>
        <w:rPr>
          <w:sz w:val="22"/>
          <w:szCs w:val="22"/>
        </w:rPr>
        <w:t xml:space="preserve">Plan the closing showcase early. The programme ends with ONE shared event in the last week, not three separate ones: learners present their research, show their "My Name, My Voice" card, and name one way they have grown — and each learner invites at least one person themselves. You need a space that can hold guests, a date fixed early enough for invitations, and the guest arrangements cleared against NRC’s Code of Conduct. Confirm the same-gender seating and grouping plan BEFORE invitations go out.</w:t>
      </w:r>
    </w:p>
    <w:p>
      <w:pPr>
        <w:pStyle w:val="ListParagraph"/>
        <w:numPr>
          <w:ilvl w:val="0"/>
          <w:numId w:val="2"/>
        </w:numPr>
        <w:spacing w:after="80" w:line="300"/>
      </w:pPr>
      <w:r>
        <w:rPr>
          <w:sz w:val="22"/>
          <w:szCs w:val="22"/>
        </w:rPr>
        <w:t xml:space="preserve">Decide whether your sites will offer the optional significant adult meeting — a three-way conversation between a mentor, a learner, and one adult the learner chooses, best placed between Weeks 7 and 11. It is the fastest way to make a learner’s growth visible to the people whose belief shapes what happens next, and it is genuinely demanding to organise. It is fine to run it for some learners and not others; it is not fine to run it where there is an open protection concern. Full guidance is in the Educator Guide, Part 2.3.</w:t>
      </w:r>
    </w:p>
    <w:p>
      <w:pPr>
        <w:pStyle w:val="Heading1"/>
        <w:keepNext/>
        <w:spacing w:after="140" w:before="320"/>
      </w:pPr>
      <w:r>
        <w:rPr>
          <w:b/>
          <w:bCs/>
          <w:color w:val="1F3A5F"/>
          <w:sz w:val="36"/>
          <w:szCs w:val="36"/>
        </w:rPr>
        <w:t xml:space="preserve">4. The programme structure and the 12-week rhythm</w:t>
      </w:r>
    </w:p>
    <w:p>
      <w:pPr>
        <w:spacing w:after="140" w:before="0" w:line="300"/>
      </w:pPr>
      <w:r>
        <w:rPr>
          <w:sz w:val="22"/>
          <w:szCs w:val="22"/>
        </w:rPr>
        <w:t xml:space="preserve">The programme has three taught components plus ongoing mentoring, running side by side across the same weeks.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Hours and cadence</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Develops Set and Pursue Goals (assessed).</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Develops Investigate Real World Issues (assessed).</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Compulsory in this edition; assessed formatively against A1 Can-Do outcomes, not one of the two graded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Ongoing · short 1:1 or small-group conversations folded into the weekly in-person time. Not a fixed block of hours.</w:t>
            </w:r>
          </w:p>
        </w:tc>
      </w:tr>
    </w:tbl>
    <w:p>
      <w:pPr>
        <w:spacing w:after="140" w:before="0" w:line="300"/>
      </w:pPr>
      <w:r>
        <w:rPr>
          <w:sz w:val="22"/>
          <w:szCs w:val="22"/>
        </w:rPr>
        <w:t xml:space="preserve">All three taught components run side by side across the same 10–12 weeks. At 3 hours in-person and 2 hours independent each, a full week is about 9 hours in-person and 6 hours of independent tasks (done at home between sessions), with mentoring folded into the in-person time — around 150 hours of taught learning in total.</w:t>
      </w:r>
    </w:p>
    <w:p>
      <w:pPr>
        <w:pStyle w:val="Heading2"/>
        <w:keepNext/>
        <w:spacing w:after="100" w:before="280"/>
      </w:pPr>
      <w:r>
        <w:rPr>
          <w:b/>
          <w:bCs/>
          <w:color w:val="7A3B69"/>
          <w:sz w:val="28"/>
          <w:szCs w:val="28"/>
        </w:rPr>
        <w:t xml:space="preserve">What a week could look like</w:t>
      </w:r>
    </w:p>
    <w:p>
      <w:pPr>
        <w:spacing w:after="140" w:before="0" w:line="300"/>
      </w:pPr>
      <w:r>
        <w:rPr>
          <w:sz w:val="22"/>
          <w:szCs w:val="22"/>
        </w:rPr>
        <w:t xml:space="preserve">The simplest way to place the hours is three learning days a week: three hours with the educator each day — one hour per component — and about two hours of independent work at home before the next day. Mentoring check-ins happen inside the in-person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947"/>
        <w:gridCol w:w="3695"/>
      </w:tblGrid>
      <w:tr>
        <w:trPr>
          <w:tblHeader/>
        </w:trPr>
        <w:tc>
          <w:tcPr>
            <w:tcW w:type="dxa" w:w="1427"/>
            <w:tcMar>
              <w:top w:type="dxa" w:w="70"/>
              <w:left w:type="dxa" w:w="130"/>
              <w:bottom w:type="dxa" w:w="70"/>
              <w:right w:type="dxa" w:w="130"/>
            </w:tcMar>
          </w:tcPr>
          <w:p>
            <w:pPr>
              <w:spacing w:line="260"/>
            </w:pPr>
            <w:r>
              <w:rPr>
                <w:b/>
                <w:bCs/>
                <w:color w:val="1F3A5F"/>
                <w:sz w:val="19"/>
                <w:szCs w:val="19"/>
              </w:rPr>
              <w:t xml:space="preserve">Learning day</w:t>
            </w:r>
          </w:p>
        </w:tc>
        <w:tc>
          <w:tcPr>
            <w:tcW w:type="dxa" w:w="3947"/>
            <w:tcMar>
              <w:top w:type="dxa" w:w="70"/>
              <w:left w:type="dxa" w:w="130"/>
              <w:bottom w:type="dxa" w:w="70"/>
              <w:right w:type="dxa" w:w="130"/>
            </w:tcMar>
          </w:tcPr>
          <w:p>
            <w:pPr>
              <w:spacing w:line="260"/>
            </w:pPr>
            <w:r>
              <w:rPr>
                <w:b/>
                <w:bCs/>
                <w:color w:val="1F3A5F"/>
                <w:sz w:val="19"/>
                <w:szCs w:val="19"/>
              </w:rPr>
              <w:t xml:space="preserve">With the educator, in the CBLF — 3 hours</w:t>
            </w:r>
          </w:p>
        </w:tc>
        <w:tc>
          <w:tcPr>
            <w:tcW w:type="dxa" w:w="3695"/>
            <w:tcMar>
              <w:top w:type="dxa" w:w="70"/>
              <w:left w:type="dxa" w:w="130"/>
              <w:bottom w:type="dxa" w:w="70"/>
              <w:right w:type="dxa" w:w="130"/>
            </w:tcMar>
          </w:tcPr>
          <w:p>
            <w:pPr>
              <w:spacing w:line="260"/>
            </w:pPr>
            <w:r>
              <w:rPr>
                <w:b/>
                <w:bCs/>
                <w:color w:val="1F3A5F"/>
                <w:sz w:val="19"/>
                <w:szCs w:val="19"/>
              </w:rPr>
              <w:t xml:space="preserve">At home before the next day — about 2 hours</w:t>
            </w:r>
          </w:p>
        </w:tc>
      </w:tr>
      <w:tr>
        <w:tc>
          <w:tcPr>
            <w:tcW w:type="dxa" w:w="1427"/>
            <w:tcMar>
              <w:top w:type="dxa" w:w="70"/>
              <w:left w:type="dxa" w:w="130"/>
              <w:bottom w:type="dxa" w:w="70"/>
              <w:right w:type="dxa" w:w="130"/>
            </w:tcMar>
          </w:tcPr>
          <w:p>
            <w:pPr>
              <w:spacing w:line="260"/>
            </w:pPr>
            <w:r>
              <w:rPr>
                <w:b/>
                <w:bCs/>
                <w:color w:val="7A3B69"/>
                <w:sz w:val="19"/>
                <w:szCs w:val="19"/>
              </w:rPr>
              <w:t xml:space="preserve">Day 1</w:t>
            </w:r>
          </w:p>
        </w:tc>
        <w:tc>
          <w:tcPr>
            <w:tcW w:type="dxa" w:w="3947"/>
            <w:tcMar>
              <w:top w:type="dxa" w:w="70"/>
              <w:left w:type="dxa" w:w="130"/>
              <w:bottom w:type="dxa" w:w="70"/>
              <w:right w:type="dxa" w:w="130"/>
            </w:tcMar>
          </w:tcPr>
          <w:p>
            <w:pPr>
              <w:spacing w:line="260"/>
            </w:pPr>
            <w:r>
              <w:rPr>
                <w:b w:val="false"/>
                <w:bCs w:val="false"/>
                <w:sz w:val="19"/>
                <w:szCs w:val="19"/>
              </w:rPr>
              <w:t xml:space="preserve">Hour 1 — Agency in Learning</w:t>
            </w:r>
          </w:p>
          <w:p>
            <w:pPr>
              <w:spacing w:line="260"/>
            </w:pPr>
            <w:r>
              <w:rPr>
                <w:b w:val="false"/>
                <w:bCs w:val="false"/>
                <w:sz w:val="19"/>
                <w:szCs w:val="19"/>
              </w:rPr>
              <w:t xml:space="preserve">Hour 2 — English</w:t>
            </w:r>
          </w:p>
          <w:p>
            <w:pPr>
              <w:spacing w:line="260"/>
            </w:pPr>
            <w:r>
              <w:rPr>
                <w:b w:val="false"/>
                <w:bCs w:val="false"/>
                <w:sz w:val="19"/>
                <w:szCs w:val="19"/>
              </w:rPr>
              <w:t xml:space="preserve">Hour 3 — Research Project</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tc>
      </w:tr>
      <w:tr>
        <w:tc>
          <w:tcPr>
            <w:tcW w:type="dxa" w:w="1427"/>
            <w:tcMar>
              <w:top w:type="dxa" w:w="70"/>
              <w:left w:type="dxa" w:w="130"/>
              <w:bottom w:type="dxa" w:w="70"/>
              <w:right w:type="dxa" w:w="130"/>
            </w:tcMar>
          </w:tcPr>
          <w:p>
            <w:pPr>
              <w:spacing w:line="260"/>
            </w:pPr>
            <w:r>
              <w:rPr>
                <w:b/>
                <w:bCs/>
                <w:color w:val="7A3B69"/>
                <w:sz w:val="19"/>
                <w:szCs w:val="19"/>
              </w:rPr>
              <w:t xml:space="preserve">Day 2</w:t>
            </w:r>
          </w:p>
        </w:tc>
        <w:tc>
          <w:tcPr>
            <w:tcW w:type="dxa" w:w="3947"/>
            <w:tcMar>
              <w:top w:type="dxa" w:w="70"/>
              <w:left w:type="dxa" w:w="130"/>
              <w:bottom w:type="dxa" w:w="70"/>
              <w:right w:type="dxa" w:w="130"/>
            </w:tcMar>
          </w:tcPr>
          <w:p>
            <w:pPr>
              <w:spacing w:line="260"/>
            </w:pPr>
            <w:r>
              <w:rPr>
                <w:b w:val="false"/>
                <w:bCs w:val="false"/>
                <w:sz w:val="19"/>
                <w:szCs w:val="19"/>
              </w:rPr>
              <w:t xml:space="preserve">Hour 1 — English</w:t>
            </w:r>
          </w:p>
          <w:p>
            <w:pPr>
              <w:spacing w:line="260"/>
            </w:pPr>
            <w:r>
              <w:rPr>
                <w:b w:val="false"/>
                <w:bCs w:val="false"/>
                <w:sz w:val="19"/>
                <w:szCs w:val="19"/>
              </w:rPr>
              <w:t xml:space="preserve">Hour 2 — Research Project</w:t>
            </w:r>
          </w:p>
          <w:p>
            <w:pPr>
              <w:spacing w:line="260"/>
            </w:pPr>
            <w:r>
              <w:rPr>
                <w:b w:val="false"/>
                <w:bCs w:val="false"/>
                <w:sz w:val="19"/>
                <w:szCs w:val="19"/>
              </w:rPr>
              <w:t xml:space="preserve">Hour 3 — Agency in Learning</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tc>
      </w:tr>
      <w:tr>
        <w:tc>
          <w:tcPr>
            <w:tcW w:type="dxa" w:w="1427"/>
            <w:tcMar>
              <w:top w:type="dxa" w:w="70"/>
              <w:left w:type="dxa" w:w="130"/>
              <w:bottom w:type="dxa" w:w="70"/>
              <w:right w:type="dxa" w:w="130"/>
            </w:tcMar>
          </w:tcPr>
          <w:p>
            <w:pPr>
              <w:spacing w:line="260"/>
            </w:pPr>
            <w:r>
              <w:rPr>
                <w:b/>
                <w:bCs/>
                <w:color w:val="7A3B69"/>
                <w:sz w:val="19"/>
                <w:szCs w:val="19"/>
              </w:rPr>
              <w:t xml:space="preserve">Day 3</w:t>
            </w:r>
          </w:p>
        </w:tc>
        <w:tc>
          <w:tcPr>
            <w:tcW w:type="dxa" w:w="3947"/>
            <w:tcMar>
              <w:top w:type="dxa" w:w="70"/>
              <w:left w:type="dxa" w:w="130"/>
              <w:bottom w:type="dxa" w:w="70"/>
              <w:right w:type="dxa" w:w="130"/>
            </w:tcMar>
          </w:tcPr>
          <w:p>
            <w:pPr>
              <w:spacing w:line="260"/>
            </w:pPr>
            <w:r>
              <w:rPr>
                <w:b w:val="false"/>
                <w:bCs w:val="false"/>
                <w:sz w:val="19"/>
                <w:szCs w:val="19"/>
              </w:rPr>
              <w:t xml:space="preserve">Hour 1 — Research Project</w:t>
            </w:r>
          </w:p>
          <w:p>
            <w:pPr>
              <w:spacing w:line="260"/>
            </w:pPr>
            <w:r>
              <w:rPr>
                <w:b w:val="false"/>
                <w:bCs w:val="false"/>
                <w:sz w:val="19"/>
                <w:szCs w:val="19"/>
              </w:rPr>
              <w:t xml:space="preserve">Hour 2 — Agency in Learning</w:t>
            </w:r>
          </w:p>
          <w:p>
            <w:pPr>
              <w:spacing w:line="260"/>
            </w:pPr>
            <w:r>
              <w:rPr>
                <w:b w:val="false"/>
                <w:bCs w:val="false"/>
                <w:sz w:val="19"/>
                <w:szCs w:val="19"/>
              </w:rPr>
              <w:t xml:space="preserve">Hour 3 — English</w:t>
            </w:r>
          </w:p>
          <w:p>
            <w:pPr>
              <w:spacing w:line="260"/>
            </w:pPr>
            <w:r>
              <w:rPr>
                <w:b w:val="false"/>
                <w:bCs w:val="false"/>
                <w:sz w:val="19"/>
                <w:szCs w:val="19"/>
              </w:rPr>
              <w:t xml:space="preserve">…then close the week: a short small-group wellbeing check and reflection</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tc>
      </w:tr>
    </w:tbl>
    <w:p>
      <w:pPr>
        <w:spacing w:after="140" w:before="140" w:line="300"/>
      </w:pPr>
      <w:r>
        <w:rPr>
          <w:b/>
          <w:bCs/>
          <w:color w:val="6E7A2E"/>
          <w:sz w:val="21"/>
          <w:szCs w:val="21"/>
        </w:rPr>
        <w:t xml:space="preserve">3 learning days × 3 hours with the educator = 9 in-person hours. 3 days × about 2 hours at home = 6 independent hours. That is 15 hours a week, and about 150 hours across the 10 weeks of delivery — the full programme.</w:t>
      </w:r>
    </w:p>
    <w:p>
      <w:pPr>
        <w:spacing w:after="140" w:before="0" w:line="300"/>
      </w:pPr>
      <w:r>
        <w:rPr>
          <w:sz w:val="22"/>
          <w:szCs w:val="22"/>
        </w:rPr>
        <w:t xml:space="preserve">This is one way to place the hours, not the timetable. What is fixed is the weekly total per component — 3 hours in-person and 2 hours independent — and that all three run side by side. Everything else is yours to set with your educators: which days each site uses (place the local rest day, for example Friday), and whether a site spreads the same hours over more days with shorter sessions.</w:t>
      </w:r>
    </w:p>
    <w:p>
      <w:pPr>
        <w:pStyle w:val="Heading2"/>
        <w:keepNext/>
        <w:spacing w:after="100" w:before="280"/>
      </w:pPr>
      <w:r>
        <w:rPr>
          <w:b/>
          <w:bCs/>
          <w:color w:val="7A3B69"/>
          <w:sz w:val="28"/>
          <w:szCs w:val="28"/>
        </w:rPr>
        <w:t xml:space="preserve">The 12-week rhythm</w:t>
      </w:r>
    </w:p>
    <w:p>
      <w:pPr>
        <w:spacing w:after="140" w:before="0" w:line="300"/>
      </w:pPr>
      <w:r>
        <w:rPr>
          <w:sz w:val="22"/>
          <w:szCs w:val="22"/>
        </w:rPr>
        <w:t xml:space="preserve">Around that weekly learning, hold this assessment rhythm: five weeks of learning, a supported assessment, five more weeks, then the final assessment. Your job is to protect the two assessment windows and keep them on the calendar.</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happens</w:t>
            </w:r>
          </w:p>
        </w:tc>
      </w:tr>
      <w:tr>
        <w:tc>
          <w:tcPr>
            <w:tcW w:type="dxa" w:w="2687"/>
            <w:tcMar>
              <w:top w:type="dxa" w:w="70"/>
              <w:left w:type="dxa" w:w="130"/>
              <w:bottom w:type="dxa" w:w="70"/>
              <w:right w:type="dxa" w:w="130"/>
            </w:tcMar>
          </w:tcPr>
          <w:p>
            <w:pPr>
              <w:spacing w:line="260"/>
            </w:pPr>
            <w:r>
              <w:rPr>
                <w:b/>
                <w:bCs/>
                <w:color w:val="7A3B69"/>
                <w:sz w:val="19"/>
                <w:szCs w:val="19"/>
              </w:rPr>
              <w:t xml:space="preserve">Before Week 1</w:t>
            </w:r>
          </w:p>
        </w:tc>
        <w:tc>
          <w:tcPr>
            <w:tcW w:type="dxa" w:w="6382"/>
            <w:tcMar>
              <w:top w:type="dxa" w:w="70"/>
              <w:left w:type="dxa" w:w="130"/>
              <w:bottom w:type="dxa" w:w="70"/>
              <w:right w:type="dxa" w:w="130"/>
            </w:tcMar>
          </w:tcPr>
          <w:p>
            <w:pPr>
              <w:spacing w:line="260"/>
            </w:pPr>
            <w:r>
              <w:rPr>
                <w:b w:val="false"/>
                <w:bCs w:val="false"/>
                <w:sz w:val="19"/>
                <w:szCs w:val="19"/>
              </w:rPr>
              <w:t xml:space="preserve">Diagnostic intake. Each learner is placed and, where needed, English proficiency is checked (below B1). Learners are paired with a mentor.</w:t>
            </w:r>
          </w:p>
        </w:tc>
      </w:tr>
      <w:tr>
        <w:tc>
          <w:tcPr>
            <w:tcW w:type="dxa" w:w="2687"/>
            <w:tcMar>
              <w:top w:type="dxa" w:w="70"/>
              <w:left w:type="dxa" w:w="130"/>
              <w:bottom w:type="dxa" w:w="70"/>
              <w:right w:type="dxa" w:w="130"/>
            </w:tcMar>
          </w:tcPr>
          <w:p>
            <w:pPr>
              <w:spacing w:line="260"/>
            </w:pPr>
            <w:r>
              <w:rPr>
                <w:b/>
                <w:bCs/>
                <w:color w:val="7A3B69"/>
                <w:sz w:val="19"/>
                <w:szCs w:val="19"/>
              </w:rPr>
              <w:t xml:space="preserve">Weeks 1–5</w:t>
            </w:r>
          </w:p>
        </w:tc>
        <w:tc>
          <w:tcPr>
            <w:tcW w:type="dxa" w:w="6382"/>
            <w:tcMar>
              <w:top w:type="dxa" w:w="70"/>
              <w:left w:type="dxa" w:w="130"/>
              <w:bottom w:type="dxa" w:w="70"/>
              <w:right w:type="dxa" w:w="130"/>
            </w:tcMar>
          </w:tcPr>
          <w:p>
            <w:pPr>
              <w:spacing w:line="260"/>
            </w:pPr>
            <w:r>
              <w:rPr>
                <w:b w:val="false"/>
                <w:bCs w:val="false"/>
                <w:sz w:val="19"/>
                <w:szCs w:val="19"/>
              </w:rPr>
              <w:t xml:space="preserve">First block of learning. Educators deliver the component sessions and begin gathering evidence of each learner’s competency as they go — from workbooks, steps taken, and what learners say and do.</w:t>
            </w:r>
          </w:p>
        </w:tc>
      </w:tr>
      <w:tr>
        <w:tc>
          <w:tcPr>
            <w:tcW w:type="dxa" w:w="2687"/>
            <w:tcMar>
              <w:top w:type="dxa" w:w="70"/>
              <w:left w:type="dxa" w:w="130"/>
              <w:bottom w:type="dxa" w:w="70"/>
              <w:right w:type="dxa" w:w="130"/>
            </w:tcMar>
          </w:tcPr>
          <w:p>
            <w:pPr>
              <w:spacing w:line="260"/>
            </w:pPr>
            <w:r>
              <w:rPr>
                <w:b/>
                <w:bCs/>
                <w:color w:val="7A3B69"/>
                <w:sz w:val="19"/>
                <w:szCs w:val="19"/>
              </w:rPr>
              <w:t xml:space="preserve">Week 6</w:t>
            </w:r>
          </w:p>
        </w:tc>
        <w:tc>
          <w:tcPr>
            <w:tcW w:type="dxa" w:w="6382"/>
            <w:tcMar>
              <w:top w:type="dxa" w:w="70"/>
              <w:left w:type="dxa" w:w="130"/>
              <w:bottom w:type="dxa" w:w="70"/>
              <w:right w:type="dxa" w:w="130"/>
            </w:tcMar>
          </w:tcPr>
          <w:p>
            <w:pPr>
              <w:spacing w:line="260"/>
            </w:pPr>
            <w:r>
              <w:rPr>
                <w:b w:val="false"/>
                <w:bCs w:val="false"/>
                <w:sz w:val="19"/>
                <w:szCs w:val="19"/>
              </w:rPr>
              <w:t xml:space="preserve">Supported (formative) assessment. Educators make a first, provisional judgement of each learner against the Proficiency Scale — with Amala’s support and calibration. This is a rehearsal and a checkpoint, not the final grade.</w:t>
            </w:r>
          </w:p>
        </w:tc>
      </w:tr>
      <w:tr>
        <w:tc>
          <w:tcPr>
            <w:tcW w:type="dxa" w:w="2687"/>
            <w:tcMar>
              <w:top w:type="dxa" w:w="70"/>
              <w:left w:type="dxa" w:w="130"/>
              <w:bottom w:type="dxa" w:w="70"/>
              <w:right w:type="dxa" w:w="130"/>
            </w:tcMar>
          </w:tcPr>
          <w:p>
            <w:pPr>
              <w:spacing w:line="260"/>
            </w:pPr>
            <w:r>
              <w:rPr>
                <w:b/>
                <w:bCs/>
                <w:color w:val="7A3B69"/>
                <w:sz w:val="19"/>
                <w:szCs w:val="19"/>
              </w:rPr>
              <w:t xml:space="preserve">Weeks 7–11</w:t>
            </w:r>
          </w:p>
        </w:tc>
        <w:tc>
          <w:tcPr>
            <w:tcW w:type="dxa" w:w="6382"/>
            <w:tcMar>
              <w:top w:type="dxa" w:w="70"/>
              <w:left w:type="dxa" w:w="130"/>
              <w:bottom w:type="dxa" w:w="70"/>
              <w:right w:type="dxa" w:w="130"/>
            </w:tcMar>
          </w:tcPr>
          <w:p>
            <w:pPr>
              <w:spacing w:line="260"/>
            </w:pPr>
            <w:r>
              <w:rPr>
                <w:b w:val="false"/>
                <w:bCs w:val="false"/>
                <w:sz w:val="19"/>
                <w:szCs w:val="19"/>
              </w:rPr>
              <w:t xml:space="preserve">Second block of learning. Educators keep building the competencies and keep gathering evidence, guided by what Week 6 surfaced about each learner. The optional significant adult meetings, where a site is running them, sit in this block.</w:t>
            </w:r>
          </w:p>
        </w:tc>
      </w:tr>
      <w:tr>
        <w:tc>
          <w:tcPr>
            <w:tcW w:type="dxa" w:w="2687"/>
            <w:tcMar>
              <w:top w:type="dxa" w:w="70"/>
              <w:left w:type="dxa" w:w="130"/>
              <w:bottom w:type="dxa" w:w="70"/>
              <w:right w:type="dxa" w:w="130"/>
            </w:tcMar>
          </w:tcPr>
          <w:p>
            <w:pPr>
              <w:spacing w:line="260"/>
            </w:pPr>
            <w:r>
              <w:rPr>
                <w:b/>
                <w:bCs/>
                <w:color w:val="7A3B69"/>
                <w:sz w:val="19"/>
                <w:szCs w:val="19"/>
              </w:rPr>
              <w:t xml:space="preserve">Last week of delivery</w:t>
            </w:r>
          </w:p>
        </w:tc>
        <w:tc>
          <w:tcPr>
            <w:tcW w:type="dxa" w:w="6382"/>
            <w:tcMar>
              <w:top w:type="dxa" w:w="70"/>
              <w:left w:type="dxa" w:w="130"/>
              <w:bottom w:type="dxa" w:w="70"/>
              <w:right w:type="dxa" w:w="130"/>
            </w:tcMar>
          </w:tcPr>
          <w:p>
            <w:pPr>
              <w:spacing w:line="260"/>
            </w:pPr>
            <w:r>
              <w:rPr>
                <w:b w:val="false"/>
                <w:bCs w:val="false"/>
                <w:sz w:val="19"/>
                <w:szCs w:val="19"/>
              </w:rPr>
              <w:t xml:space="preserve">The showcase. One shared closing event for all three components, with guests the learners invited themselves. Fix the date early — invitations have to go out.</w:t>
            </w:r>
          </w:p>
        </w:tc>
      </w:tr>
      <w:tr>
        <w:tc>
          <w:tcPr>
            <w:tcW w:type="dxa" w:w="2687"/>
            <w:tcMar>
              <w:top w:type="dxa" w:w="70"/>
              <w:left w:type="dxa" w:w="130"/>
              <w:bottom w:type="dxa" w:w="70"/>
              <w:right w:type="dxa" w:w="130"/>
            </w:tcMar>
          </w:tcPr>
          <w:p>
            <w:pPr>
              <w:spacing w:line="260"/>
            </w:pPr>
            <w:r>
              <w:rPr>
                <w:b/>
                <w:bCs/>
                <w:color w:val="7A3B69"/>
                <w:sz w:val="19"/>
                <w:szCs w:val="19"/>
              </w:rPr>
              <w:t xml:space="preserve">Week 12</w:t>
            </w:r>
          </w:p>
        </w:tc>
        <w:tc>
          <w:tcPr>
            <w:tcW w:type="dxa" w:w="6382"/>
            <w:tcMar>
              <w:top w:type="dxa" w:w="70"/>
              <w:left w:type="dxa" w:w="130"/>
              <w:bottom w:type="dxa" w:w="70"/>
              <w:right w:type="dxa" w:w="130"/>
            </w:tcMar>
          </w:tcPr>
          <w:p>
            <w:pPr>
              <w:spacing w:line="260"/>
            </w:pPr>
            <w:r>
              <w:rPr>
                <w:b w:val="false"/>
                <w:bCs w:val="false"/>
                <w:sz w:val="19"/>
                <w:szCs w:val="19"/>
              </w:rPr>
              <w:t xml:space="preserve">Final (summative) assessment. Educators make their final judgement of each learner in the two assessed competencies, against the Proficiency Scale.</w:t>
            </w:r>
          </w:p>
        </w:tc>
      </w:tr>
      <w:tr>
        <w:tc>
          <w:tcPr>
            <w:tcW w:type="dxa" w:w="2687"/>
            <w:tcMar>
              <w:top w:type="dxa" w:w="70"/>
              <w:left w:type="dxa" w:w="130"/>
              <w:bottom w:type="dxa" w:w="70"/>
              <w:right w:type="dxa" w:w="130"/>
            </w:tcMar>
          </w:tcPr>
          <w:p>
            <w:pPr>
              <w:spacing w:line="260"/>
            </w:pPr>
            <w:r>
              <w:rPr>
                <w:b/>
                <w:bCs/>
                <w:color w:val="7A3B69"/>
                <w:sz w:val="19"/>
                <w:szCs w:val="19"/>
              </w:rPr>
              <w:t xml:space="preserve">After Week 12</w:t>
            </w:r>
          </w:p>
        </w:tc>
        <w:tc>
          <w:tcPr>
            <w:tcW w:type="dxa" w:w="6382"/>
            <w:tcMar>
              <w:top w:type="dxa" w:w="70"/>
              <w:left w:type="dxa" w:w="130"/>
              <w:bottom w:type="dxa" w:w="70"/>
              <w:right w:type="dxa" w:w="130"/>
            </w:tcMar>
          </w:tcPr>
          <w:p>
            <w:pPr>
              <w:spacing w:line="260"/>
            </w:pPr>
            <w:r>
              <w:rPr>
                <w:b w:val="false"/>
                <w:bCs w:val="false"/>
                <w:sz w:val="19"/>
                <w:szCs w:val="19"/>
              </w:rPr>
              <w:t xml:space="preserve">Amala moderation. Amala reviews a sample of judgements against the evidence to confirm they are consistent and fair, and the readiness decision is confirmed.</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THE TWO ASSESSMENT POINTS, IN ONE LINE</w:t>
            </w:r>
          </w:p>
          <w:p>
            <w:pPr>
              <w:spacing w:after="90" w:before="0" w:line="300"/>
            </w:pPr>
            <w:r>
              <w:rPr>
                <w:sz w:val="21"/>
                <w:szCs w:val="21"/>
              </w:rPr>
              <w:t xml:space="preserve">Week 6 — supported assessment: a first, provisional judgement, made with Amala’s support. A checkpoint and a rehearsal.</w:t>
            </w:r>
          </w:p>
          <w:p>
            <w:pPr>
              <w:spacing w:after="0" w:before="0" w:line="300"/>
            </w:pPr>
            <w:r>
              <w:rPr>
                <w:sz w:val="21"/>
                <w:szCs w:val="21"/>
              </w:rPr>
              <w:t xml:space="preserve">Week 12 — final assessment: the educators’ final judgement of the two competencies, which Amala then moderates.</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READING THE WEEK-6 RESULTS</w:t>
            </w:r>
          </w:p>
          <w:p>
            <w:pPr>
              <w:spacing w:after="90" w:before="0" w:line="300"/>
            </w:pPr>
            <w:r>
              <w:rPr>
                <w:sz w:val="21"/>
                <w:szCs w:val="21"/>
              </w:rPr>
              <w:t xml:space="preserve">Expect most learners to sit at Theorist at Week 6. The goal-pursuit weeks in Agency in Learning, and the analysis and output weeks in the Research Project, both fall AFTER it — so Week 6 is measured before most of the evidence exists.</w:t>
            </w:r>
          </w:p>
          <w:p>
            <w:pPr>
              <w:spacing w:after="90" w:before="0" w:line="300"/>
            </w:pPr>
            <w:r>
              <w:rPr>
                <w:sz w:val="21"/>
                <w:szCs w:val="21"/>
              </w:rPr>
              <w:t xml:space="preserve">A low Week-6 picture is not a failing cohort. It is the checkpoint doing its job: it shows where to concentrate support across Weeks 7 to 11.</w:t>
            </w:r>
          </w:p>
          <w:p>
            <w:pPr>
              <w:spacing w:after="0" w:before="0" w:line="300"/>
            </w:pPr>
            <w:r>
              <w:rPr>
                <w:sz w:val="21"/>
                <w:szCs w:val="21"/>
              </w:rPr>
              <w:t xml:space="preserve">The 70% measure is taken at Week 12, on the final judgement, and nowhere else.</w:t>
            </w:r>
          </w:p>
        </w:tc>
      </w:tr>
    </w:tbl>
    <w:p>
      <w:r>
        <w:br w:type="page"/>
      </w:r>
    </w:p>
    <w:p>
      <w:pPr>
        <w:pStyle w:val="Heading1"/>
        <w:keepNext/>
        <w:spacing w:after="140" w:before="320"/>
      </w:pPr>
      <w:r>
        <w:rPr>
          <w:b/>
          <w:bCs/>
          <w:color w:val="1F3A5F"/>
          <w:sz w:val="36"/>
          <w:szCs w:val="36"/>
        </w:rPr>
        <w:t xml:space="preserve">5. Coordinating assessment and moderation</w:t>
      </w:r>
    </w:p>
    <w:p>
      <w:pPr>
        <w:spacing w:after="140" w:before="0" w:line="300"/>
      </w:pPr>
      <w:r>
        <w:rPr>
          <w:sz w:val="22"/>
          <w:szCs w:val="22"/>
        </w:rPr>
        <w:t xml:space="preserve">Assessment rests on educator judgement across varied evidence, not on a single test. Your role is to make that judgement possible and fair.</w:t>
      </w:r>
    </w:p>
    <w:p>
      <w:pPr>
        <w:keepNext/>
        <w:spacing w:after="60" w:before="180"/>
      </w:pPr>
      <w:r>
        <w:rPr>
          <w:b/>
          <w:bCs/>
          <w:color w:val="6E7A2E"/>
          <w:spacing w:val="24"/>
          <w:sz w:val="17"/>
          <w:szCs w:val="17"/>
        </w:rPr>
        <w:t xml:space="preserve">BEFORE WEEK 6</w:t>
      </w:r>
    </w:p>
    <w:p>
      <w:pPr>
        <w:pStyle w:val="ListParagraph"/>
        <w:numPr>
          <w:ilvl w:val="0"/>
          <w:numId w:val="1"/>
        </w:numPr>
        <w:spacing w:after="80" w:line="300"/>
      </w:pPr>
      <w:r>
        <w:rPr>
          <w:sz w:val="22"/>
          <w:szCs w:val="22"/>
        </w:rPr>
        <w:t xml:space="preserve">Check educators are gathering evidence as they teach — from workbooks, steps taken, the growth path, and what learners say and do — not leaving it to the end. Much of this evidence is oral and visual, because many learners are not yet literate; that is expected.</w:t>
      </w:r>
    </w:p>
    <w:p>
      <w:pPr>
        <w:pStyle w:val="ListParagraph"/>
        <w:numPr>
          <w:ilvl w:val="0"/>
          <w:numId w:val="1"/>
        </w:numPr>
        <w:spacing w:after="80" w:line="300"/>
      </w:pPr>
      <w:r>
        <w:rPr>
          <w:sz w:val="22"/>
          <w:szCs w:val="22"/>
        </w:rPr>
        <w:t xml:space="preserve">Check each educator has the two assessment records (in Part 9 of their guide) copied, one per learner, and started.</w:t>
      </w:r>
    </w:p>
    <w:p>
      <w:pPr>
        <w:pStyle w:val="ListParagraph"/>
        <w:numPr>
          <w:ilvl w:val="0"/>
          <w:numId w:val="1"/>
        </w:numPr>
        <w:spacing w:after="80" w:line="300"/>
      </w:pPr>
      <w:r>
        <w:rPr>
          <w:sz w:val="22"/>
          <w:szCs w:val="22"/>
        </w:rPr>
        <w:t xml:space="preserve">Schedule the Week-6 supported assessment with Amala, so educators make their first judgements with support and calibration.</w:t>
      </w:r>
    </w:p>
    <w:p>
      <w:pPr>
        <w:keepNext/>
        <w:spacing w:after="60" w:before="180"/>
      </w:pPr>
      <w:r>
        <w:rPr>
          <w:b/>
          <w:bCs/>
          <w:color w:val="6E7A2E"/>
          <w:spacing w:val="24"/>
          <w:sz w:val="17"/>
          <w:szCs w:val="17"/>
        </w:rPr>
        <w:t xml:space="preserve">BETWEEN WEEK 6 AND WEEK 12</w:t>
      </w:r>
    </w:p>
    <w:p>
      <w:pPr>
        <w:pStyle w:val="ListParagraph"/>
        <w:numPr>
          <w:ilvl w:val="0"/>
          <w:numId w:val="1"/>
        </w:numPr>
        <w:spacing w:after="80" w:line="300"/>
      </w:pPr>
      <w:r>
        <w:rPr>
          <w:sz w:val="22"/>
          <w:szCs w:val="22"/>
        </w:rPr>
        <w:t xml:space="preserve">Feed back what Week 6 surfaced: which learners need more evidence, where educators’ judgements were uncertain, which competency needs more attention in the second block.</w:t>
      </w:r>
    </w:p>
    <w:p>
      <w:pPr>
        <w:keepNext/>
        <w:spacing w:after="60" w:before="180"/>
      </w:pPr>
      <w:r>
        <w:rPr>
          <w:b/>
          <w:bCs/>
          <w:color w:val="6E7A2E"/>
          <w:spacing w:val="24"/>
          <w:sz w:val="17"/>
          <w:szCs w:val="17"/>
        </w:rPr>
        <w:t xml:space="preserve">AT WEEK 12</w:t>
      </w:r>
    </w:p>
    <w:p>
      <w:pPr>
        <w:pStyle w:val="ListParagraph"/>
        <w:numPr>
          <w:ilvl w:val="0"/>
          <w:numId w:val="1"/>
        </w:numPr>
        <w:spacing w:after="80" w:line="300"/>
      </w:pPr>
      <w:r>
        <w:rPr>
          <w:sz w:val="22"/>
          <w:szCs w:val="22"/>
        </w:rPr>
        <w:t xml:space="preserve">Educators make their final judgement of each learner in the two competencies against the Proficiency Scale. Collect the judgements and the evidence behind them.</w:t>
      </w:r>
    </w:p>
    <w:p>
      <w:pPr>
        <w:pStyle w:val="ListParagraph"/>
        <w:numPr>
          <w:ilvl w:val="0"/>
          <w:numId w:val="1"/>
        </w:numPr>
        <w:spacing w:after="80" w:line="300"/>
      </w:pPr>
      <w:r>
        <w:rPr>
          <w:sz w:val="22"/>
          <w:szCs w:val="22"/>
        </w:rPr>
        <w:t xml:space="preserve">Hand a sample to Amala for moderation — a case-based review that confirms judgements are consistent and fair before the readiness decision is confirmed.</w:t>
      </w:r>
    </w:p>
    <w:p>
      <w:pPr>
        <w:pStyle w:val="Heading2"/>
        <w:keepNext/>
        <w:spacing w:after="100" w:before="280"/>
      </w:pPr>
      <w:r>
        <w:rPr>
          <w:b/>
          <w:bCs/>
          <w:color w:val="7A3B69"/>
          <w:sz w:val="28"/>
          <w:szCs w:val="28"/>
        </w:rPr>
        <w:t xml:space="preserve">The two assessed competencies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Developed through</w:t>
            </w:r>
          </w:p>
        </w:tc>
      </w:tr>
      <w:tr>
        <w:tc>
          <w:tcPr>
            <w:tcW w:type="dxa" w:w="2687"/>
            <w:tcMar>
              <w:top w:type="dxa" w:w="70"/>
              <w:left w:type="dxa" w:w="130"/>
              <w:bottom w:type="dxa" w:w="70"/>
              <w:right w:type="dxa" w:w="130"/>
            </w:tcMar>
          </w:tcPr>
          <w:p>
            <w:pPr>
              <w:spacing w:line="260"/>
            </w:pPr>
            <w:r>
              <w:rPr>
                <w:b/>
                <w:bCs/>
                <w:color w:val="7A3B69"/>
                <w:sz w:val="19"/>
                <w:szCs w:val="19"/>
              </w:rPr>
              <w:t xml:space="preserve">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The Agency in Learning component. The ability to set clear objectives for learning and growth and take deliberate steps toward them.</w:t>
            </w:r>
          </w:p>
        </w:tc>
      </w:tr>
      <w:tr>
        <w:tc>
          <w:tcPr>
            <w:tcW w:type="dxa" w:w="2687"/>
            <w:tcMar>
              <w:top w:type="dxa" w:w="70"/>
              <w:left w:type="dxa" w:w="130"/>
              <w:bottom w:type="dxa" w:w="70"/>
              <w:right w:type="dxa" w:w="130"/>
            </w:tcMar>
          </w:tcPr>
          <w:p>
            <w:pPr>
              <w:spacing w:line="260"/>
            </w:pPr>
            <w:r>
              <w:rPr>
                <w:b/>
                <w:bCs/>
                <w:color w:val="7A3B69"/>
                <w:sz w:val="19"/>
                <w:szCs w:val="19"/>
              </w:rPr>
              <w:t xml:space="preserve">Investigate Real World Issues</w:t>
            </w:r>
          </w:p>
        </w:tc>
        <w:tc>
          <w:tcPr>
            <w:tcW w:type="dxa" w:w="6382"/>
            <w:tcMar>
              <w:top w:type="dxa" w:w="70"/>
              <w:left w:type="dxa" w:w="130"/>
              <w:bottom w:type="dxa" w:w="70"/>
              <w:right w:type="dxa" w:w="130"/>
            </w:tcMar>
          </w:tcPr>
          <w:p>
            <w:pPr>
              <w:spacing w:line="260"/>
            </w:pPr>
            <w:r>
              <w:rPr>
                <w:b w:val="false"/>
                <w:bCs w:val="false"/>
                <w:sz w:val="19"/>
                <w:szCs w:val="19"/>
              </w:rPr>
              <w:t xml:space="preserve">The Research Project component. The ability to research challenges affecting people and the planet to develop actionable insights.</w:t>
            </w:r>
          </w:p>
        </w:tc>
      </w:tr>
    </w:tbl>
    <w:p>
      <w:pPr>
        <w:spacing w:after="140" w:before="0" w:line="300"/>
      </w:pPr>
      <w:r>
        <w:rPr>
          <w:b/>
          <w:bCs/>
          <w:color w:val="5A6473"/>
          <w:sz w:val="21"/>
          <w:szCs w:val="21"/>
        </w:rPr>
        <w:t xml:space="preserve">Note: the Research Project is contextualised around a single shared local challenge, which is being agreed with NRC and the community. Until it is finalised, early cohorts may reach the final assessment in Set and Pursue Goals first; confirm the assessed scope for your cohort with Amala.</w:t>
      </w:r>
    </w:p>
    <w:p>
      <w:pPr>
        <w:pStyle w:val="Heading2"/>
        <w:keepNext/>
        <w:spacing w:after="100" w:before="280"/>
      </w:pPr>
      <w:r>
        <w:rPr>
          <w:b/>
          <w:bCs/>
          <w:color w:val="7A3B69"/>
          <w:sz w:val="28"/>
          <w:szCs w:val="28"/>
        </w:rPr>
        <w:t xml:space="preserve">The grade scale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Grade</w:t>
            </w:r>
          </w:p>
        </w:tc>
        <w:tc>
          <w:tcPr>
            <w:tcW w:type="dxa" w:w="6382"/>
            <w:tcMar>
              <w:top w:type="dxa" w:w="70"/>
              <w:left w:type="dxa" w:w="130"/>
              <w:bottom w:type="dxa" w:w="70"/>
              <w:right w:type="dxa" w:w="130"/>
            </w:tcMar>
          </w:tcPr>
          <w:p>
            <w:pPr>
              <w:spacing w:line="260"/>
            </w:pPr>
            <w:r>
              <w:rPr>
                <w:b/>
                <w:bCs/>
                <w:color w:val="1F3A5F"/>
                <w:sz w:val="19"/>
                <w:szCs w:val="19"/>
              </w:rPr>
              <w:t xml:space="preserve">Requirement</w:t>
            </w:r>
          </w:p>
        </w:tc>
      </w:tr>
      <w:tr>
        <w:tc>
          <w:tcPr>
            <w:tcW w:type="dxa" w:w="2687"/>
            <w:tcMar>
              <w:top w:type="dxa" w:w="70"/>
              <w:left w:type="dxa" w:w="130"/>
              <w:bottom w:type="dxa" w:w="70"/>
              <w:right w:type="dxa" w:w="130"/>
            </w:tcMar>
          </w:tcPr>
          <w:p>
            <w:pPr>
              <w:spacing w:line="260"/>
            </w:pPr>
            <w:r>
              <w:rPr>
                <w:b/>
                <w:bCs/>
                <w:color w:val="7A3B69"/>
                <w:sz w:val="19"/>
                <w:szCs w:val="19"/>
              </w:rPr>
              <w:t xml:space="preserve">Pass</w:t>
            </w:r>
          </w:p>
        </w:tc>
        <w:tc>
          <w:tcPr>
            <w:tcW w:type="dxa" w:w="6382"/>
            <w:tcMar>
              <w:top w:type="dxa" w:w="70"/>
              <w:left w:type="dxa" w:w="130"/>
              <w:bottom w:type="dxa" w:w="70"/>
              <w:right w:type="dxa" w:w="130"/>
            </w:tcMar>
          </w:tcPr>
          <w:p>
            <w:pPr>
              <w:spacing w:line="260"/>
            </w:pPr>
            <w:r>
              <w:rPr>
                <w:b w:val="false"/>
                <w:bCs w:val="false"/>
                <w:sz w:val="19"/>
                <w:szCs w:val="19"/>
              </w:rPr>
              <w:t xml:space="preserve">Practitioner in both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Merit</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one competency, Practitioner in the other.</w:t>
            </w:r>
          </w:p>
        </w:tc>
      </w:tr>
      <w:tr>
        <w:tc>
          <w:tcPr>
            <w:tcW w:type="dxa" w:w="2687"/>
            <w:tcMar>
              <w:top w:type="dxa" w:w="70"/>
              <w:left w:type="dxa" w:w="130"/>
              <w:bottom w:type="dxa" w:w="70"/>
              <w:right w:type="dxa" w:w="130"/>
            </w:tcMar>
          </w:tcPr>
          <w:p>
            <w:pPr>
              <w:spacing w:line="260"/>
            </w:pPr>
            <w:r>
              <w:rPr>
                <w:b/>
                <w:bCs/>
                <w:color w:val="7A3B69"/>
                <w:sz w:val="19"/>
                <w:szCs w:val="19"/>
              </w:rPr>
              <w:t xml:space="preserve">Distinction</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both competencies.</w:t>
            </w:r>
          </w:p>
        </w:tc>
      </w:tr>
    </w:tbl>
    <w:p>
      <w:r>
        <w:br w:type="page"/>
      </w:r>
    </w:p>
    <w:p>
      <w:pPr>
        <w:pStyle w:val="Heading1"/>
        <w:keepNext/>
        <w:spacing w:after="140" w:before="320"/>
      </w:pPr>
      <w:r>
        <w:rPr>
          <w:b/>
          <w:bCs/>
          <w:color w:val="1F3A5F"/>
          <w:sz w:val="36"/>
          <w:szCs w:val="36"/>
        </w:rPr>
        <w:t xml:space="preserve">6. Safeguarding and protection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THIS IS NOT OPTIONAL, AND IT IS NOT YOURS TO IMPROVISE</w:t>
            </w:r>
          </w:p>
          <w:p>
            <w:pPr>
              <w:spacing w:after="90" w:before="0" w:line="300"/>
            </w:pPr>
            <w:r>
              <w:rPr>
                <w:sz w:val="21"/>
                <w:szCs w:val="21"/>
              </w:rPr>
              <w:t xml:space="preserve">All delivery follows NRC’s Code of Conduct and protection principles. Safeguarding is built into every activity that could surface loss, family, marriage, or displacement: no learner ever has to share.</w:t>
            </w:r>
          </w:p>
          <w:p>
            <w:pPr>
              <w:spacing w:after="90" w:before="0" w:line="300"/>
            </w:pPr>
            <w:r>
              <w:rPr>
                <w:sz w:val="21"/>
                <w:szCs w:val="21"/>
              </w:rPr>
              <w:t xml:space="preserve">Disclosures here may involve protection risks common in displacement — child marriage, family separation, gender-based violence. Educators are told to notice, steady, and refer — never to counsel, and never to promise secrecy.</w:t>
            </w:r>
          </w:p>
          <w:p>
            <w:pPr>
              <w:spacing w:after="0" w:before="0" w:line="300"/>
            </w:pPr>
            <w:r>
              <w:rPr>
                <w:sz w:val="21"/>
                <w:szCs w:val="21"/>
              </w:rPr>
              <w:t xml:space="preserve">Your job as coordinator: make sure the referral pathway is known and live at every site before delivery starts, and that every educator has been briefed on it.</w:t>
            </w:r>
          </w:p>
        </w:tc>
      </w:tr>
    </w:tbl>
    <w:p>
      <w:pPr>
        <w:pStyle w:val="Heading1"/>
        <w:keepNext/>
        <w:spacing w:after="140" w:before="320"/>
      </w:pPr>
      <w:r>
        <w:rPr>
          <w:b/>
          <w:bCs/>
          <w:color w:val="1F3A5F"/>
          <w:sz w:val="36"/>
          <w:szCs w:val="36"/>
        </w:rPr>
        <w:t xml:space="preserve">7. Coordinator checklist</w:t>
      </w:r>
    </w:p>
    <w:p>
      <w:pPr>
        <w:keepNext/>
        <w:spacing w:after="60" w:before="180"/>
      </w:pPr>
      <w:r>
        <w:rPr>
          <w:b/>
          <w:bCs/>
          <w:color w:val="6E7A2E"/>
          <w:spacing w:val="24"/>
          <w:sz w:val="17"/>
          <w:szCs w:val="17"/>
        </w:rPr>
        <w:t xml:space="preserve">ONCE PER COHORT, BEFORE WEEK 1</w:t>
      </w:r>
    </w:p>
    <w:p>
      <w:pPr>
        <w:pStyle w:val="ListParagraph"/>
        <w:numPr>
          <w:ilvl w:val="0"/>
          <w:numId w:val="1"/>
        </w:numPr>
        <w:spacing w:after="80" w:line="300"/>
      </w:pPr>
      <w:r>
        <w:rPr>
          <w:sz w:val="22"/>
          <w:szCs w:val="22"/>
        </w:rPr>
        <w:t xml:space="preserve">Sites confirmed; offline packs distributed and checked at each site.</w:t>
      </w:r>
    </w:p>
    <w:p>
      <w:pPr>
        <w:pStyle w:val="ListParagraph"/>
        <w:numPr>
          <w:ilvl w:val="0"/>
          <w:numId w:val="1"/>
        </w:numPr>
        <w:spacing w:after="80" w:line="300"/>
      </w:pPr>
      <w:r>
        <w:rPr>
          <w:sz w:val="22"/>
          <w:szCs w:val="22"/>
        </w:rPr>
        <w:t xml:space="preserve">Facilitators confirmed, with female facilitators and same-gender grouping where needed, and language matched.</w:t>
      </w:r>
    </w:p>
    <w:p>
      <w:pPr>
        <w:pStyle w:val="ListParagraph"/>
        <w:numPr>
          <w:ilvl w:val="0"/>
          <w:numId w:val="1"/>
        </w:numPr>
        <w:spacing w:after="80" w:line="300"/>
      </w:pPr>
      <w:r>
        <w:rPr>
          <w:sz w:val="22"/>
          <w:szCs w:val="22"/>
        </w:rPr>
        <w:t xml:space="preserve">Safeguarding and referral pathway concrete and briefed at every site.</w:t>
      </w:r>
    </w:p>
    <w:p>
      <w:pPr>
        <w:pStyle w:val="ListParagraph"/>
        <w:numPr>
          <w:ilvl w:val="0"/>
          <w:numId w:val="1"/>
        </w:numPr>
        <w:spacing w:after="80" w:line="300"/>
      </w:pPr>
      <w:r>
        <w:rPr>
          <w:sz w:val="22"/>
          <w:szCs w:val="22"/>
        </w:rPr>
        <w:t xml:space="preserve">Diagnostic intake complete; learners placed and paired with mentors.</w:t>
      </w:r>
    </w:p>
    <w:p>
      <w:pPr>
        <w:pStyle w:val="ListParagraph"/>
        <w:numPr>
          <w:ilvl w:val="0"/>
          <w:numId w:val="1"/>
        </w:numPr>
        <w:spacing w:after="80" w:line="300"/>
      </w:pPr>
      <w:r>
        <w:rPr>
          <w:sz w:val="22"/>
          <w:szCs w:val="22"/>
        </w:rPr>
        <w:t xml:space="preserve">Week-6 and Week-12 assessment windows on the calendar; Week-6 support booked with Amala.</w:t>
      </w:r>
    </w:p>
    <w:p>
      <w:pPr>
        <w:keepNext/>
        <w:spacing w:after="60" w:before="180"/>
      </w:pPr>
      <w:r>
        <w:rPr>
          <w:b/>
          <w:bCs/>
          <w:color w:val="6E7A2E"/>
          <w:spacing w:val="24"/>
          <w:sz w:val="17"/>
          <w:szCs w:val="17"/>
        </w:rPr>
        <w:t xml:space="preserve">THROUGH THE COHORT</w:t>
      </w:r>
    </w:p>
    <w:p>
      <w:pPr>
        <w:pStyle w:val="ListParagraph"/>
        <w:numPr>
          <w:ilvl w:val="0"/>
          <w:numId w:val="1"/>
        </w:numPr>
        <w:spacing w:after="80" w:line="300"/>
      </w:pPr>
      <w:r>
        <w:rPr>
          <w:sz w:val="22"/>
          <w:szCs w:val="22"/>
        </w:rPr>
        <w:t xml:space="preserve">Evidence being gathered continuously, not left to the end.</w:t>
      </w:r>
    </w:p>
    <w:p>
      <w:pPr>
        <w:pStyle w:val="ListParagraph"/>
        <w:numPr>
          <w:ilvl w:val="0"/>
          <w:numId w:val="1"/>
        </w:numPr>
        <w:spacing w:after="80" w:line="300"/>
      </w:pPr>
      <w:r>
        <w:rPr>
          <w:sz w:val="22"/>
          <w:szCs w:val="22"/>
        </w:rPr>
        <w:t xml:space="preserve">Attendance is stop-start by nature — pick learners up where they are; a return after absence is progress, not a fresh start.</w:t>
      </w:r>
    </w:p>
    <w:p>
      <w:pPr>
        <w:pStyle w:val="ListParagraph"/>
        <w:numPr>
          <w:ilvl w:val="0"/>
          <w:numId w:val="1"/>
        </w:numPr>
        <w:spacing w:after="80" w:line="300"/>
      </w:pPr>
      <w:r>
        <w:rPr>
          <w:sz w:val="22"/>
          <w:szCs w:val="22"/>
        </w:rPr>
        <w:t xml:space="preserve">Week-6 supported assessment run with Amala; findings fed back to educators.</w:t>
      </w:r>
    </w:p>
    <w:p>
      <w:pPr>
        <w:pStyle w:val="ListParagraph"/>
        <w:numPr>
          <w:ilvl w:val="0"/>
          <w:numId w:val="1"/>
        </w:numPr>
        <w:spacing w:after="80" w:line="300"/>
      </w:pPr>
      <w:r>
        <w:rPr>
          <w:sz w:val="22"/>
          <w:szCs w:val="22"/>
        </w:rPr>
        <w:t xml:space="preserve">Week-12 final assessment collected; sample handed to Amala for moderation.</w:t>
      </w:r>
    </w:p>
    <w:p>
      <w:pPr>
        <w:pStyle w:val="ListParagraph"/>
        <w:numPr>
          <w:ilvl w:val="0"/>
          <w:numId w:val="1"/>
        </w:numPr>
        <w:spacing w:after="80" w:line="300"/>
      </w:pPr>
      <w:r>
        <w:rPr>
          <w:sz w:val="22"/>
          <w:szCs w:val="22"/>
        </w:rPr>
        <w:t xml:space="preserve">Track the cohort against the 70% readiness measure.</w:t>
      </w:r>
    </w:p>
    <w:p>
      <w:pPr>
        <w:spacing w:after="140" w:before="240" w:line="300"/>
      </w:pPr>
      <w:r>
        <w:rPr>
          <w:color w:val="5A6473"/>
          <w:sz w:val="18"/>
          <w:szCs w:val="18"/>
        </w:rPr>
        <w:t xml:space="preserve">This guide is part of a fully offline, editable pack for Learning Bridge+ (Cox’s Bazar).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Coordinator Guide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2026-08-25T03:51:46.975Z</dcterms:created>
  <dcterms:modified xsi:type="dcterms:W3CDTF">2026-08-25T03:51:46.975Z</dcterms:modified>
</cp:coreProperties>
</file>

<file path=docProps/custom.xml><?xml version="1.0" encoding="utf-8"?>
<Properties xmlns="http://schemas.openxmlformats.org/officeDocument/2006/custom-properties" xmlns:vt="http://schemas.openxmlformats.org/officeDocument/2006/docPropsVTypes"/>
</file>