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your master educators and you (the coordinator), and moderates the moderators: after each assessment point, every master educator brings a case to a call with Amala. Amala does not train facilitators directly and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Master educators</w:t>
            </w:r>
          </w:p>
        </w:tc>
        <w:tc>
          <w:tcPr>
            <w:tcW w:type="dxa" w:w="6382"/>
            <w:tcMar>
              <w:top w:type="dxa" w:w="70"/>
              <w:left w:type="dxa" w:w="130"/>
              <w:bottom w:type="dxa" w:w="70"/>
              <w:right w:type="dxa" w:w="130"/>
            </w:tcMar>
          </w:tcPr>
          <w:p>
            <w:pPr>
              <w:spacing w:line="260"/>
            </w:pPr>
            <w:r>
              <w:rPr>
                <w:b w:val="false"/>
                <w:bCs w:val="false"/>
                <w:sz w:val="19"/>
                <w:szCs w:val="19"/>
              </w:rPr>
              <w:t xml:space="preserve">Your own experienced educators, qualified by Amala to train. They induct the facilitators before a cohort starts, using the Trainer Guide, and they run moderation with those facilitators at Week 6 and Week 12, using the Moderation Guide. Two of them can cover a cohort.</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Induct the facilitators before Week 1. Two inductions, about 7 hours in total, delivered by your master educators from the Trainer Guide: the programme and the Educator Guide, then assessment. Facilitators hold the portable training modules BEFORE induction - induction covers only what does not transfer. Book it far enough ahead that nobody starts a cohort uninducted, and see the Trainer Guide for what to do about a facilitator who joins mid-cohort.</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(expect the cohort to be below B1, with a range of literacy levels), and pair each learner with a mentor.</w:t>
      </w:r>
    </w:p>
    <w:p>
      <w:pPr>
        <w:pStyle w:val="ListParagraph"/>
        <w:numPr>
          <w:ilvl w:val="0"/>
          <w:numId w:val="2"/>
        </w:numPr>
        <w:spacing w:after="80" w:line="300"/>
      </w:pPr>
      <w:r>
        <w:rPr>
          <w:sz w:val="22"/>
          <w:szCs w:val="22"/>
        </w:rPr>
        <w:t xml:space="preserve">Print and sit the English Check BASELINE in the first session, before any English teaching starts. One paper per learner, the whole class together, about 45 minutes. Nothing is read out and nothing has to be prepared. The same paper is sat again as the ENDLINE in the final week, and comparing the two is what shows whether English improved. You keep the class spreadsheet; the facilitator gives you raw scores and it works out the levels.</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Alongside the people learners invite themselves, agree with your sites who else should be there: camp committee members, majhis, imams, teachers, NRC staff, and anyone working on the hills the research is about. The research is about a shared problem, and the people who could act on it should hear it.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 Progress is also measured by the English Check - a baseline paper in the first session and an endline in the final week, reported as Pre-A1/A1/A2/B1 for reading, writing and (optionally) speaking.</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Then moderation: each master educator runs a session where every facilitator brings one case, and each master educator brings one case of their own to a call with Amala.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Moderation, as at Week 6 - a session with the master educator, one case per facilitator, then each master educator’s case to Amala. Results are confirmed, and the readiness decision made, only once every recheck is in.</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then moderation with the master educators, who each take a case to Amala. A checkpoint and a rehearsal.</w:t>
            </w:r>
          </w:p>
          <w:p>
            <w:pPr>
              <w:spacing w:after="0" w:before="0" w:line="300"/>
            </w:pPr>
            <w:r>
              <w:rPr>
                <w:sz w:val="21"/>
                <w:szCs w:val="21"/>
              </w:rPr>
              <w:t xml:space="preserve">Week 12 - final assessment: the educators’ final judgement of the two competencies, moderated the same way before any result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two Competency Assessment Records per learner printed - one for Week 6, one for Week 12 - and is keeping a running note of evidence per learner.</w:t>
      </w:r>
    </w:p>
    <w:p>
      <w:pPr>
        <w:pStyle w:val="ListParagraph"/>
        <w:numPr>
          <w:ilvl w:val="0"/>
          <w:numId w:val="1"/>
        </w:numPr>
        <w:spacing w:after="80" w:line="300"/>
      </w:pPr>
      <w:r>
        <w:rPr>
          <w:sz w:val="22"/>
          <w:szCs w:val="22"/>
        </w:rPr>
        <w:t xml:space="preserve">Book both moderation rounds now: for Week 6 and for Week 12, a session for each master educator with their facilitators, and one call with Amala for all the master educators within a week of the sessions.</w:t>
      </w:r>
    </w:p>
    <w:p>
      <w:pPr>
        <w:keepNext/>
        <w:spacing w:after="60" w:before="180"/>
      </w:pPr>
      <w:r>
        <w:rPr>
          <w:b/>
          <w:bCs/>
          <w:color w:val="6E7A2E"/>
          <w:spacing w:val="24"/>
          <w:sz w:val="17"/>
          <w:szCs w:val="17"/>
        </w:rPr>
        <w:t xml:space="preserve">AT WEEK 6, AND AGAIN AT WEEK 12</w:t>
      </w:r>
    </w:p>
    <w:p>
      <w:pPr>
        <w:pStyle w:val="ListParagraph"/>
        <w:numPr>
          <w:ilvl w:val="0"/>
          <w:numId w:val="1"/>
        </w:numPr>
        <w:spacing w:after="80" w:line="300"/>
      </w:pPr>
      <w:r>
        <w:rPr>
          <w:sz w:val="22"/>
          <w:szCs w:val="22"/>
        </w:rPr>
        <w:t xml:space="preserve">Educators make their judgement of each learner in the two competencies against the Proficiency Scale, and complete the records.</w:t>
      </w:r>
    </w:p>
    <w:p>
      <w:pPr>
        <w:pStyle w:val="ListParagraph"/>
        <w:numPr>
          <w:ilvl w:val="0"/>
          <w:numId w:val="1"/>
        </w:numPr>
        <w:spacing w:after="80" w:line="300"/>
      </w:pPr>
      <w:r>
        <w:rPr>
          <w:sz w:val="22"/>
          <w:szCs w:val="22"/>
        </w:rPr>
        <w:t xml:space="preserve">Check every facilitator arrives at moderation with ONE case - the judgement they were least sure of - on the case sheet in Part 9B of their guide, with the evidence.</w:t>
      </w:r>
    </w:p>
    <w:p>
      <w:pPr>
        <w:pStyle w:val="ListParagraph"/>
        <w:numPr>
          <w:ilvl w:val="0"/>
          <w:numId w:val="1"/>
        </w:numPr>
        <w:spacing w:after="80" w:line="300"/>
      </w:pPr>
      <w:r>
        <w:rPr>
          <w:sz w:val="22"/>
          <w:szCs w:val="22"/>
        </w:rPr>
        <w:t xml:space="preserve">Make sure each master educator’s photographed evidence and moderation record reach Amala at least two days before the call.</w:t>
      </w:r>
    </w:p>
    <w:p>
      <w:pPr>
        <w:pStyle w:val="ListParagraph"/>
        <w:numPr>
          <w:ilvl w:val="0"/>
          <w:numId w:val="1"/>
        </w:numPr>
        <w:spacing w:after="80" w:line="300"/>
      </w:pPr>
      <w:r>
        <w:rPr>
          <w:sz w:val="22"/>
          <w:szCs w:val="22"/>
        </w:rPr>
        <w:t xml:space="preserve">Collect the rechecks. Hold results until every recheck from the sessions and from the Amala call is in, then confirm them. At Week 12, that is when the readiness decision is made - not before.</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facilitators’ judgements were uncertain or changed at moderation, which competency needs more attention in the second block.</w:t>
      </w:r>
    </w:p>
    <w:p>
      <w:pPr>
        <w:pStyle w:val="Heading2"/>
        <w:keepNext/>
        <w:spacing w:after="100" w:before="280"/>
      </w:pPr>
      <w:r>
        <w:rPr>
          <w:b/>
          <w:bCs/>
          <w:color w:val="7A3B69"/>
          <w:sz w:val="28"/>
          <w:szCs w:val="28"/>
        </w:rPr>
        <w:t xml:space="preserve">How moderation works</w:t>
      </w:r>
    </w:p>
    <w:p>
      <w:pPr>
        <w:spacing w:after="140" w:before="0" w:line="300"/>
      </w:pPr>
      <w:r>
        <w:rPr>
          <w:sz w:val="22"/>
          <w:szCs w:val="22"/>
        </w:rPr>
        <w:t xml:space="preserve">A judgement is only fair if it is consistent: the same evidence should earn the same level whoever assessed it. Moderation is how this programme makes that true, and it is case-based. Each master educator runs a moderation session with the facilitators they look after. Every facilitator brings one case - one learner, one competency, one judgement, with the evidence behind it - and the group judges it blind against the Proficiency Scale before hearing the facilitator's level. Then each master educator brings one case of their own to Amala. That is how a standard Amala cannot hold in the room is still held.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679"/>
        <w:gridCol w:w="2519"/>
        <w:gridCol w:w="4870"/>
      </w:tblGrid>
      <w:tr>
        <w:trPr>
          <w:tblHeader/>
        </w:trPr>
        <w:tc>
          <w:tcPr>
            <w:tcW w:type="dxa" w:w="1679"/>
            <w:tcMar>
              <w:top w:type="dxa" w:w="70"/>
              <w:left w:type="dxa" w:w="130"/>
              <w:bottom w:type="dxa" w:w="70"/>
              <w:right w:type="dxa" w:w="130"/>
            </w:tcMar>
          </w:tcPr>
          <w:p>
            <w:pPr>
              <w:spacing w:line="260"/>
            </w:pPr>
            <w:r>
              <w:rPr>
                <w:b/>
                <w:bCs/>
                <w:color w:val="1F3A5F"/>
                <w:sz w:val="19"/>
                <w:szCs w:val="19"/>
              </w:rPr>
              <w:t xml:space="preserve">Role</w:t>
            </w:r>
          </w:p>
        </w:tc>
        <w:tc>
          <w:tcPr>
            <w:tcW w:type="dxa" w:w="2519"/>
            <w:tcMar>
              <w:top w:type="dxa" w:w="70"/>
              <w:left w:type="dxa" w:w="130"/>
              <w:bottom w:type="dxa" w:w="70"/>
              <w:right w:type="dxa" w:w="130"/>
            </w:tcMar>
          </w:tcPr>
          <w:p>
            <w:pPr>
              <w:spacing w:line="260"/>
            </w:pPr>
            <w:r>
              <w:rPr>
                <w:b/>
                <w:bCs/>
                <w:color w:val="1F3A5F"/>
                <w:sz w:val="19"/>
                <w:szCs w:val="19"/>
              </w:rPr>
              <w:t xml:space="preserve">Who</w:t>
            </w:r>
          </w:p>
        </w:tc>
        <w:tc>
          <w:tcPr>
            <w:tcW w:type="dxa" w:w="4870"/>
            <w:tcMar>
              <w:top w:type="dxa" w:w="70"/>
              <w:left w:type="dxa" w:w="130"/>
              <w:bottom w:type="dxa" w:w="70"/>
              <w:right w:type="dxa" w:w="130"/>
            </w:tcMar>
          </w:tcPr>
          <w:p>
            <w:pPr>
              <w:spacing w:line="260"/>
            </w:pPr>
            <w:r>
              <w:rPr>
                <w:b/>
                <w:bCs/>
                <w:color w:val="1F3A5F"/>
                <w:sz w:val="19"/>
                <w:szCs w:val="19"/>
              </w:rPr>
              <w:t xml:space="preserve">What they do</w:t>
            </w:r>
          </w:p>
        </w:tc>
      </w:tr>
      <w:tr>
        <w:tc>
          <w:tcPr>
            <w:tcW w:type="dxa" w:w="1679"/>
            <w:tcMar>
              <w:top w:type="dxa" w:w="70"/>
              <w:left w:type="dxa" w:w="130"/>
              <w:bottom w:type="dxa" w:w="70"/>
              <w:right w:type="dxa" w:w="130"/>
            </w:tcMar>
          </w:tcPr>
          <w:p>
            <w:pPr>
              <w:spacing w:line="260"/>
            </w:pPr>
            <w:r>
              <w:rPr>
                <w:b/>
                <w:bCs/>
                <w:color w:val="7A3B69"/>
                <w:sz w:val="19"/>
                <w:szCs w:val="19"/>
              </w:rPr>
              <w:t xml:space="preserve">Moderation facilitator</w:t>
            </w:r>
          </w:p>
        </w:tc>
        <w:tc>
          <w:tcPr>
            <w:tcW w:type="dxa" w:w="2519"/>
            <w:tcMar>
              <w:top w:type="dxa" w:w="70"/>
              <w:left w:type="dxa" w:w="130"/>
              <w:bottom w:type="dxa" w:w="70"/>
              <w:right w:type="dxa" w:w="130"/>
            </w:tcMar>
          </w:tcPr>
          <w:p>
            <w:pPr>
              <w:spacing w:line="260"/>
            </w:pPr>
            <w:r>
              <w:rPr>
                <w:b w:val="false"/>
                <w:bCs w:val="false"/>
                <w:sz w:val="19"/>
                <w:szCs w:val="19"/>
              </w:rPr>
              <w:t xml:space="preserve">An NRC master educator, for the facilitators they inducted and support.</w:t>
            </w:r>
          </w:p>
        </w:tc>
        <w:tc>
          <w:tcPr>
            <w:tcW w:type="dxa" w:w="4870"/>
            <w:tcMar>
              <w:top w:type="dxa" w:w="70"/>
              <w:left w:type="dxa" w:w="130"/>
              <w:bottom w:type="dxa" w:w="70"/>
              <w:right w:type="dxa" w:w="130"/>
            </w:tcMar>
          </w:tcPr>
          <w:p>
            <w:pPr>
              <w:spacing w:line="260"/>
            </w:pPr>
            <w:r>
              <w:rPr>
                <w:b w:val="false"/>
                <w:bCs w:val="false"/>
                <w:sz w:val="19"/>
                <w:szCs w:val="19"/>
              </w:rPr>
              <w:t xml:space="preserve">Runs the session and holds the protocol: keeps each facilitator's level hidden until everyone has judged, makes every disagreement resolve against the descriptors, and keeps the moderation record. Judges blind alongside everyone else. Then brings one case from the session to Amala.</w:t>
            </w:r>
          </w:p>
        </w:tc>
      </w:tr>
      <w:tr>
        <w:tc>
          <w:tcPr>
            <w:tcW w:type="dxa" w:w="1679"/>
            <w:tcMar>
              <w:top w:type="dxa" w:w="70"/>
              <w:left w:type="dxa" w:w="130"/>
              <w:bottom w:type="dxa" w:w="70"/>
              <w:right w:type="dxa" w:w="130"/>
            </w:tcMar>
          </w:tcPr>
          <w:p>
            <w:pPr>
              <w:spacing w:line="260"/>
            </w:pPr>
            <w:r>
              <w:rPr>
                <w:b/>
                <w:bCs/>
                <w:color w:val="7A3B69"/>
                <w:sz w:val="19"/>
                <w:szCs w:val="19"/>
              </w:rPr>
              <w:t xml:space="preserve">Assessors</w:t>
            </w:r>
          </w:p>
        </w:tc>
        <w:tc>
          <w:tcPr>
            <w:tcW w:type="dxa" w:w="2519"/>
            <w:tcMar>
              <w:top w:type="dxa" w:w="70"/>
              <w:left w:type="dxa" w:w="130"/>
              <w:bottom w:type="dxa" w:w="70"/>
              <w:right w:type="dxa" w:w="130"/>
            </w:tcMar>
          </w:tcPr>
          <w:p>
            <w:pPr>
              <w:spacing w:line="260"/>
            </w:pPr>
            <w:r>
              <w:rPr>
                <w:b w:val="false"/>
                <w:bCs w:val="false"/>
                <w:sz w:val="19"/>
                <w:szCs w:val="19"/>
              </w:rPr>
              <w:t xml:space="preserve">The facilitators - each one assesses the learners they teach and mentor.</w:t>
            </w:r>
          </w:p>
        </w:tc>
        <w:tc>
          <w:tcPr>
            <w:tcW w:type="dxa" w:w="4870"/>
            <w:tcMar>
              <w:top w:type="dxa" w:w="70"/>
              <w:left w:type="dxa" w:w="130"/>
              <w:bottom w:type="dxa" w:w="70"/>
              <w:right w:type="dxa" w:w="130"/>
            </w:tcMar>
          </w:tcPr>
          <w:p>
            <w:pPr>
              <w:spacing w:line="260"/>
            </w:pPr>
            <w:r>
              <w:rPr>
                <w:b w:val="false"/>
                <w:bCs w:val="false"/>
                <w:sz w:val="19"/>
                <w:szCs w:val="19"/>
              </w:rPr>
              <w:t xml:space="preserve">Each brings one case and presents its evidence. Judges every other case blind, argues for their reading, and changes their mind when the scale says they should. Afterwards, rechecks their own judgements wherever a case was changed.</w:t>
            </w:r>
          </w:p>
        </w:tc>
      </w:tr>
      <w:tr>
        <w:tc>
          <w:tcPr>
            <w:tcW w:type="dxa" w:w="1679"/>
            <w:tcMar>
              <w:top w:type="dxa" w:w="70"/>
              <w:left w:type="dxa" w:w="130"/>
              <w:bottom w:type="dxa" w:w="70"/>
              <w:right w:type="dxa" w:w="130"/>
            </w:tcMar>
          </w:tcPr>
          <w:p>
            <w:pPr>
              <w:spacing w:line="260"/>
            </w:pPr>
            <w:r>
              <w:rPr>
                <w:b/>
                <w:bCs/>
                <w:color w:val="7A3B69"/>
                <w:sz w:val="19"/>
                <w:szCs w:val="19"/>
              </w:rPr>
              <w:t xml:space="preserve">Amala</w:t>
            </w:r>
          </w:p>
        </w:tc>
        <w:tc>
          <w:tcPr>
            <w:tcW w:type="dxa" w:w="2519"/>
            <w:tcMar>
              <w:top w:type="dxa" w:w="70"/>
              <w:left w:type="dxa" w:w="130"/>
              <w:bottom w:type="dxa" w:w="70"/>
              <w:right w:type="dxa" w:w="130"/>
            </w:tcMar>
          </w:tcPr>
          <w:p>
            <w:pPr>
              <w:spacing w:line="260"/>
            </w:pPr>
            <w:r>
              <w:rPr>
                <w:b w:val="false"/>
                <w:bCs w:val="false"/>
                <w:sz w:val="19"/>
                <w:szCs w:val="19"/>
              </w:rPr>
              <w:t xml:space="preserve">Remote, by phone or video.</w:t>
            </w:r>
          </w:p>
        </w:tc>
        <w:tc>
          <w:tcPr>
            <w:tcW w:type="dxa" w:w="4870"/>
            <w:tcMar>
              <w:top w:type="dxa" w:w="70"/>
              <w:left w:type="dxa" w:w="130"/>
              <w:bottom w:type="dxa" w:w="70"/>
              <w:right w:type="dxa" w:w="130"/>
            </w:tcMar>
          </w:tcPr>
          <w:p>
            <w:pPr>
              <w:spacing w:line="260"/>
            </w:pPr>
            <w:r>
              <w:rPr>
                <w:b w:val="false"/>
                <w:bCs w:val="false"/>
                <w:sz w:val="19"/>
                <w:szCs w:val="19"/>
              </w:rPr>
              <w:t xml:space="preserve">Moderates the moderators. Runs a case call with all the master educators after each round, using the same protocol, and checks that each of them is holding the standard. Does not regrade learners, and does not join the facilitators' sessions.</w:t>
            </w:r>
          </w:p>
        </w:tc>
      </w:tr>
      <w:tr>
        <w:tc>
          <w:tcPr>
            <w:tcW w:type="dxa" w:w="1679"/>
            <w:tcMar>
              <w:top w:type="dxa" w:w="70"/>
              <w:left w:type="dxa" w:w="130"/>
              <w:bottom w:type="dxa" w:w="70"/>
              <w:right w:type="dxa" w:w="130"/>
            </w:tcMar>
          </w:tcPr>
          <w:p>
            <w:pPr>
              <w:spacing w:line="260"/>
            </w:pPr>
            <w:r>
              <w:rPr>
                <w:b/>
                <w:bCs/>
                <w:color w:val="7A3B69"/>
                <w:sz w:val="19"/>
                <w:szCs w:val="19"/>
              </w:rPr>
              <w:t xml:space="preserve">Programme coordinator</w:t>
            </w:r>
          </w:p>
        </w:tc>
        <w:tc>
          <w:tcPr>
            <w:tcW w:type="dxa" w:w="2519"/>
            <w:tcMar>
              <w:top w:type="dxa" w:w="70"/>
              <w:left w:type="dxa" w:w="130"/>
              <w:bottom w:type="dxa" w:w="70"/>
              <w:right w:type="dxa" w:w="130"/>
            </w:tcMar>
          </w:tcPr>
          <w:p>
            <w:pPr>
              <w:spacing w:line="260"/>
            </w:pPr>
            <w:r>
              <w:rPr>
                <w:b w:val="false"/>
                <w:bCs w:val="false"/>
                <w:sz w:val="19"/>
                <w:szCs w:val="19"/>
              </w:rPr>
              <w:t xml:space="preserve">NRC's coordinator.</w:t>
            </w:r>
          </w:p>
        </w:tc>
        <w:tc>
          <w:tcPr>
            <w:tcW w:type="dxa" w:w="4870"/>
            <w:tcMar>
              <w:top w:type="dxa" w:w="70"/>
              <w:left w:type="dxa" w:w="130"/>
              <w:bottom w:type="dxa" w:w="70"/>
              <w:right w:type="dxa" w:w="130"/>
            </w:tcMar>
          </w:tcPr>
          <w:p>
            <w:pPr>
              <w:spacing w:line="260"/>
            </w:pPr>
            <w:r>
              <w:rPr>
                <w:b w:val="false"/>
                <w:bCs w:val="false"/>
                <w:sz w:val="19"/>
                <w:szCs w:val="19"/>
              </w:rPr>
              <w:t xml:space="preserve">Schedules the sessions and the Amala call inside each assessment window, makes sure every facilitator arrives with a case and every master educator's evidence reaches Amala ahead of the call, and holds results until every recheck is in.</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WHY ONE CASE EACH IS ENOUGH</w:t>
            </w:r>
          </w:p>
          <w:p>
            <w:pPr>
              <w:spacing w:after="0" w:before="0" w:line="300"/>
            </w:pPr>
            <w:r>
              <w:rPr>
                <w:sz w:val="21"/>
                <w:szCs w:val="21"/>
              </w:rPr>
              <w:t xml:space="preserve">One case each is a sample, not the whole cohort. What makes it count is the recheck. When a case is changed, the facilitator goes back through their other judgements in that competency and asks whether they applied the reading the group just corrected. Anything that moves is recorded with a reason, and the master educator sees the list before results are confirmed. The same rule runs one level up: when Amala changes a master educator's case, the master educator rechecks the decisions from their session that rested on the same reading.</w:t>
            </w:r>
          </w:p>
        </w:tc>
      </w:tr>
    </w:tbl>
    <w:p>
      <w:pPr>
        <w:spacing w:after="140" w:before="0" w:line="300"/>
      </w:pPr>
      <w:r>
        <w:rPr>
          <w:color w:val="5A6473"/>
          <w:sz w:val="21"/>
          <w:szCs w:val="21"/>
        </w:rPr>
        <w:t xml:space="preserve">The full process - the session protocol, the case call with Amala, and the records - is in the Moderation Guide, which your master educators work from.</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agreed with NRC - what is happening to the trees on the hills where learners live. The whole cohort investigates the same question, and the unit is built around it, so both competencies are assessed in every cohort.</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Facilitators hold the required training modules, and both inductions are delivered and recorded before Week 1.</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each with its moderation sessions and its Amala case call booked.</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and moderation run; every recheck in; findings fed back to educators.</w:t>
      </w:r>
    </w:p>
    <w:p>
      <w:pPr>
        <w:pStyle w:val="ListParagraph"/>
        <w:numPr>
          <w:ilvl w:val="0"/>
          <w:numId w:val="1"/>
        </w:numPr>
        <w:spacing w:after="80" w:line="300"/>
      </w:pPr>
      <w:r>
        <w:rPr>
          <w:sz w:val="22"/>
          <w:szCs w:val="22"/>
        </w:rPr>
        <w:t xml:space="preserve">Week-12 final assessment and moderation run; every recheck in before results are confirmed and the readiness decision made.</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2026-10-23T08:29:36.865Z</dcterms:created>
  <dcterms:modified xsi:type="dcterms:W3CDTF">2026-10-23T08:29:36.866Z</dcterms:modified>
</cp:coreProperties>
</file>

<file path=docProps/custom.xml><?xml version="1.0" encoding="utf-8"?>
<Properties xmlns="http://schemas.openxmlformats.org/officeDocument/2006/custom-properties" xmlns:vt="http://schemas.openxmlformats.org/officeDocument/2006/docPropsVTypes"/>
</file>