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b/>
          <w:bCs/>
          <w:color w:val="1F3A5F"/>
          <w:sz w:val="44"/>
          <w:szCs w:val="44"/>
        </w:rPr>
        <w:t xml:space="preserve">Mentor’s record</w:t>
      </w:r>
    </w:p>
    <w:p>
      <w:pPr>
        <w:spacing w:after="40" w:before="0" w:line="300"/>
      </w:pPr>
      <w:r>
        <w:rPr>
          <w:b/>
          <w:bCs/>
          <w:color w:val="7A3B69"/>
          <w:sz w:val="24"/>
          <w:szCs w:val="24"/>
        </w:rPr>
        <w:t xml:space="preserve">One page per learner · the whole twelve weeks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Learning Bridge+ (Cox's Bazar)  ·  make one copy per learner on your caseload</w:t>
      </w:r>
    </w:p>
    <w:tbl>
      <w:tblPr>
        <w:tblW w:type="pct" w:w="100%"/>
        <w:tblBorders>
          <w:top w:val="none"/>
          <w:left w:val="single" w:color="7A3B69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90"/>
            </w:pPr>
            <w:r>
              <w:rPr>
                <w:b/>
                <w:bCs/>
                <w:color w:val="7A3B69"/>
                <w:spacing w:val="24"/>
                <w:sz w:val="17"/>
                <w:szCs w:val="17"/>
              </w:rPr>
              <w:t xml:space="preserve">THE TEST FOR ANYTHING YOU WRITE HERE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Would you be willing to read this line aloud to the learner? If not, it does not go on this page.</w:t>
            </w:r>
          </w:p>
          <w:p>
            <w:pPr>
              <w:spacing w:after="90" w:before="0" w:line="300"/>
            </w:pPr>
            <w:r>
              <w:rPr>
                <w:sz w:val="21"/>
                <w:szCs w:val="21"/>
              </w:rPr>
              <w:t xml:space="preserve">Details of a disclosure are NOT recorded here. They go, separately and in the learner’s own words, to the person you refer to.</w:t>
            </w:r>
          </w:p>
          <w:p>
            <w:pPr>
              <w:spacing w:after="0" w:before="0" w:line="300"/>
            </w:pPr>
            <w:r>
              <w:rPr>
                <w:sz w:val="21"/>
                <w:szCs w:val="21"/>
              </w:rPr>
              <w:t xml:space="preserve">One page, one learner. Keep it where another learner cannot read it.</w:t>
            </w:r>
          </w:p>
        </w:tc>
      </w:tr>
    </w:tbl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Learner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Language we talk in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other facilitators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40"/>
      </w:pPr>
      <w:r>
        <w:rPr>
          <w:b/>
          <w:bCs/>
          <w:color w:val="1F3A5F"/>
          <w:sz w:val="21"/>
          <w:szCs w:val="21"/>
        </w:rPr>
        <w:t xml:space="preserve">Their learning goal (update it when it changes)  </w:t>
      </w:r>
      <w:r>
        <w:rPr>
          <w:color w:val="B9B3A6"/>
          <w:sz w:val="21"/>
          <w:szCs w:val="21"/>
        </w:rPr>
        <w:t xml:space="preserve">____________________________</w:t>
      </w:r>
    </w:p>
    <w:p>
      <w:pPr>
        <w:spacing w:after="120" w:before="0" w:line="300"/>
      </w:pPr>
      <w:r>
        <w:rPr>
          <w:color w:val="5A6473"/>
          <w:sz w:val="19"/>
          <w:szCs w:val="19"/>
        </w:rPr>
        <w:t xml:space="preserve">Flag key:   ! = watch this   → = referred (write the date)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3400"/>
        <w:gridCol w:w="2100"/>
        <w:gridCol w:w="800"/>
      </w:tblGrid>
      <w:tr>
        <w:trPr>
          <w:tblHeader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Week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Step we agreed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What I noticed (facts, not diagnosis)</w:t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Last step happened?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1F3A5F"/>
                <w:sz w:val="17"/>
                <w:szCs w:val="17"/>
              </w:rPr>
              <w:t xml:space="preserve">Flag</w:t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7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8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9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10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11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7A3B69"/>
                <w:sz w:val="19"/>
                <w:szCs w:val="19"/>
              </w:rPr>
              <w:t xml:space="preserve">12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140" w:before="160" w:line="300"/>
      </w:pPr>
      <w:r>
        <w:rPr>
          <w:b/>
          <w:bCs/>
          <w:color w:val="6E7A2E"/>
          <w:sz w:val="20"/>
          <w:szCs w:val="20"/>
        </w:rPr>
        <w:t xml:space="preserve">Read the WHOLE page every few weeks, not just the last row. The pattern is the point, and it is invisible one row at a time.</w:t>
      </w:r>
    </w:p>
    <w:p>
      <w:pPr>
        <w:spacing w:after="140" w:before="60" w:line="300"/>
      </w:pPr>
      <w:r>
        <w:rPr>
          <w:b/>
          <w:bCs/>
          <w:color w:val="5A6473"/>
          <w:sz w:val="20"/>
          <w:szCs w:val="20"/>
        </w:rPr>
        <w:t xml:space="preserve">Bring this to the Week-6 and Week-12 judgements. What you saw and heard in mentoring is legitimate evidence — for a learner who cannot yet write, it may be your strongest.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Learning Bridge+ (Cox's Bazar) · Mentoring and Wellbeing · Amala Education with NRC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2026-08-24T08:39:17.398Z</dcterms:created>
  <dcterms:modified xsi:type="dcterms:W3CDTF">2026-08-24T08:39:17.398Z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