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before="0" w:line="300"/>
      </w:pPr>
      <w:r>
        <w:rPr>
          <w:b/>
          <w:bCs/>
          <w:color w:val="6E7A2E"/>
          <w:sz w:val="22"/>
          <w:szCs w:val="22"/>
        </w:rPr>
        <w:t xml:space="preserve">Learning Bridge+ (Cox's Bazar)</w:t>
      </w:r>
    </w:p>
    <w:p>
      <w:pPr>
        <w:spacing w:after="40"/>
      </w:pPr>
      <w:r>
        <w:rPr>
          <w:b/>
          <w:bCs/>
          <w:color w:val="1F3A5F"/>
          <w:sz w:val="52"/>
          <w:szCs w:val="52"/>
        </w:rPr>
        <w:t xml:space="preserve">Mentoring and Wellbeing</w:t>
      </w:r>
    </w:p>
    <w:p>
      <w:pPr>
        <w:spacing w:after="200" w:before="0" w:line="300"/>
      </w:pPr>
      <w:r>
        <w:rPr>
          <w:b/>
          <w:bCs/>
          <w:color w:val="7A3B69"/>
          <w:sz w:val="30"/>
          <w:szCs w:val="30"/>
        </w:rPr>
        <w:t xml:space="preserve">Mentor Guide</w:t>
      </w:r>
    </w:p>
    <w:p>
      <w:pPr>
        <w:pStyle w:val="Heading2"/>
        <w:keepNext/>
        <w:spacing w:after="100" w:before="280"/>
      </w:pPr>
      <w:r>
        <w:rPr>
          <w:b/>
          <w:bCs/>
          <w:color w:val="7A3B69"/>
          <w:sz w:val="28"/>
          <w:szCs w:val="28"/>
        </w:rPr>
        <w:t xml:space="preserve">How to print this</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Nothing here needs colour to make sense.</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copy per facilitator. It is a reference book — you will come back to it, so it is worth binding.</w:t>
      </w:r>
    </w:p>
    <w:p>
      <w:pPr>
        <w:pStyle w:val="ListParagraph"/>
        <w:numPr>
          <w:ilvl w:val="0"/>
          <w:numId w:val="1"/>
        </w:numPr>
        <w:spacing w:after="80" w:line="300"/>
      </w:pPr>
      <w:r>
        <w:rPr>
          <w:sz w:val="22"/>
          <w:szCs w:val="22"/>
        </w:rPr>
        <w:t xml:space="preserve">If paper is short, print "Safeguarding and referral" and "The ten-minute conversation" first — those two you need in your hand.</w:t>
      </w:r>
    </w:p>
    <w:p>
      <w:pPr>
        <w:pBdr>
          <w:bottom w:val="single" w:color="B9B3A6" w:sz="4"/>
        </w:pBdr>
        <w:spacing w:after="180" w:before="60"/>
      </w:pPr>
    </w:p>
    <w:p>
      <w:pPr>
        <w:pStyle w:val="Heading1"/>
        <w:keepNext/>
        <w:spacing w:after="140" w:before="320"/>
      </w:pPr>
      <w:r>
        <w:rPr>
          <w:b/>
          <w:bCs/>
          <w:color w:val="1F3A5F"/>
          <w:sz w:val="36"/>
          <w:szCs w:val="36"/>
        </w:rPr>
        <w:t xml:space="preserve">Contents</w:t>
      </w:r>
    </w:p>
    <w:p>
      <w:pPr>
        <w:spacing w:after="140" w:before="0" w:line="300"/>
      </w:pPr>
      <w:r>
        <w:rPr>
          <w:color w:val="5A6473"/>
          <w:sz w:val="22"/>
          <w:szCs w:val="22"/>
        </w:rPr>
        <w:t xml:space="preserve">The sections of this guide, with the page each one starts on. Word fills the numbers in when this file is opened.</w:t>
      </w:r>
    </w:p>
    <w:sdt>
      <w:sdtPr>
        <w:alias w:val="Contents"/>
      </w:sdtPr>
      <w:sdtContent>
        <w:p>
          <w:r>
            <w:fldChar w:fldCharType="begin" w:dirty="true"/>
            <w:instrText xml:space="preserve">TOC \h \o "1-1"</w:instrText>
            <w:fldChar w:fldCharType="separate"/>
          </w:r>
        </w:p>
        <w:p>
          <w:r>
            <w:fldChar w:fldCharType="end"/>
          </w:r>
        </w:p>
      </w:sdtContent>
    </w:sdt>
    <w:p>
      <w:pPr>
        <w:spacing w:after="140" w:before="200" w:line="300"/>
      </w:pPr>
      <w:r>
        <w:rPr>
          <w:color w:val="5A6473"/>
          <w:sz w:val="17"/>
          <w:szCs w:val="17"/>
        </w:rPr>
        <w:t xml:space="preserve">If this page is empty, right-click here and choose "Update field" (in LibreOffice, press F9).</w:t>
      </w:r>
    </w:p>
    <w:p>
      <w:r>
        <w:br w:type="page"/>
      </w:r>
    </w:p>
    <w:p>
      <w:pPr>
        <w:spacing w:after="140" w:before="0" w:line="300"/>
      </w:pPr>
      <w:r>
        <w:rPr>
          <w:sz w:val="22"/>
          <w:szCs w:val="22"/>
        </w:rPr>
        <w:t xml:space="preserve">The plan for the fourth component: short 1:1 conversations, most weeks, folded into the in-person time the other three components already use. It is set out as an arc rather than in hours, because a mentoring relationship over twelve weeks has phases — getting known, keeping the goal alive, the week-6 checkpoint, surfacing growth, and an honest closing conversation — and which phase you are in changes what the conversation is for. It adds no hours to the timetable.</w:t>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1"/>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2"/>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2"/>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1"/>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2"/>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2"/>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2"/>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2"/>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2"/>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2"/>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2"/>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1"/>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2"/>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2"/>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2"/>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2"/>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2"/>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2"/>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2"/>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2"/>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1"/>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2"/>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2"/>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2"/>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2"/>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2"/>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2"/>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1"/>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2"/>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2"/>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2"/>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2"/>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2"/>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2"/>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2"/>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1"/>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2"/>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3"/>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3"/>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3"/>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3"/>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2"/>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3"/>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2"/>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3"/>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3"/>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2"/>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3"/>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2"/>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3"/>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3"/>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2"/>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3"/>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1"/>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2"/>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2"/>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2"/>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the whole opening.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purpose of the next step after an absence is not progress; it is proving to the learner that they are still in this.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2"/>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2"/>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1"/>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2"/>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2"/>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2"/>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2"/>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2"/>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 which is the point, and shows up in the goals they set</w:t>
      </w:r>
    </w:p>
    <w:p>
      <w:pPr>
        <w:spacing w:after="140" w:before="0" w:line="300"/>
      </w:pPr>
      <w:r>
        <w:rPr>
          <w:sz w:val="22"/>
          <w:szCs w:val="22"/>
        </w:rPr>
        <w:t xml:space="preserve">next, so watch for a goal getting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1"/>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2"/>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2"/>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you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2"/>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2"/>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3"/>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3"/>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3"/>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1"/>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2"/>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2"/>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Specific beats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2"/>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It is not kindness; it is a debt that comes due after you have stopped seeing them, and it teaches a learner that adults' encouragement is worthless.</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2"/>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2"/>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240" w:line="300"/>
      </w:pPr>
      <w:r>
        <w:rPr>
          <w:color w:val="5A6473"/>
          <w:sz w:val="18"/>
          <w:szCs w:val="18"/>
        </w:rPr>
        <w:t xml:space="preserve">This guide is part of a fully offline, editable pack.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Learning Bridge+ (Cox's Bazar) · Mentoring and Wellbeing · Amala Education with NRC</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2026-08-24T08:39:17.395Z</dcterms:created>
  <dcterms:modified xsi:type="dcterms:W3CDTF">2026-08-24T08:39:17.396Z</dcterms:modified>
</cp:coreProperties>
</file>

<file path=docProps/custom.xml><?xml version="1.0" encoding="utf-8"?>
<Properties xmlns="http://schemas.openxmlformats.org/officeDocument/2006/custom-properties" xmlns:vt="http://schemas.openxmlformats.org/officeDocument/2006/docPropsVTypes"/>
</file>