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Coordinator Guide</w:t>
      </w:r>
    </w:p>
    <w:p>
      <w:pPr>
        <w:spacing w:after="60" w:before="0" w:line="300"/>
      </w:pPr>
      <w:r>
        <w:rPr>
          <w:b/>
          <w:bCs/>
          <w:color w:val="7A3B69"/>
          <w:sz w:val="28"/>
          <w:szCs w:val="28"/>
        </w:rPr>
        <w:t xml:space="preserve">Running the programme in the camps</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spacing w:after="140" w:before="0" w:line="300"/>
      </w:pPr>
      <w:r>
        <w:rPr>
          <w:sz w:val="22"/>
          <w:szCs w:val="22"/>
        </w:rPr>
        <w:t xml:space="preserve">This guide is for the NRC programme coordinator - the person who holds the programme together across sites. It explains what the programme is, who does what, how to set it up, and the 12-week rhythm you run each cohort through, including the two assessment points and Amala’s moderation. It is a companion to the Educator Guide, which is the facilitators’ complete manual: everything they deliver from is in that one document.</w:t>
      </w:r>
    </w:p>
    <w:p>
      <w:pPr>
        <w:pBdr>
          <w:bottom w:val="single" w:color="B9B3A6" w:sz="4"/>
        </w:pBdr>
        <w:spacing w:after="180" w:before="60"/>
      </w:pPr>
    </w:p>
    <w:p>
      <w:pPr>
        <w:pStyle w:val="Heading1"/>
        <w:keepNext/>
        <w:spacing w:after="140" w:before="320"/>
      </w:pPr>
      <w:r>
        <w:rPr>
          <w:b/>
          <w:bCs/>
          <w:color w:val="1F3A5F"/>
          <w:sz w:val="36"/>
          <w:szCs w:val="36"/>
        </w:rPr>
        <w:t xml:space="preserve">1. What this programme is</w:t>
      </w:r>
    </w:p>
    <w:p>
      <w:pPr>
        <w:spacing w:after="140" w:before="0" w:line="300"/>
      </w:pPr>
      <w:r>
        <w:rPr>
          <w:sz w:val="22"/>
          <w:szCs w:val="22"/>
        </w:rPr>
        <w:t xml:space="preserve">Learning Bridge+ (Cox’s Bazar) is a readiness bridge. It prepares Rohingya refugee youth - typically aged 14 to 24, at around Grade 6 of the Myanmar curriculum - to enter and sustain an accredited secondary education pathway. It keeps the components and competencies of Amala’s Learning Bridge programme, but delivery is rebuilt for this context: fully offline, in Community Based Learning Facilities (CBLFs), for a largely pre-literate cohort, under the protection realities of the camps.</w:t>
      </w:r>
    </w:p>
    <w:p>
      <w:pPr>
        <w:spacing w:after="140" w:before="0" w:line="300"/>
      </w:pPr>
      <w:r>
        <w:rPr>
          <w:sz w:val="22"/>
          <w:szCs w:val="22"/>
        </w:rPr>
        <w:t xml:space="preserve">It is the certificated Learning Bridge+ tier, so learners are formally assessed in two competencies to support the decision about whether they are ready to transition.</w:t>
      </w:r>
    </w:p>
    <w:p>
      <w:pPr>
        <w:keepNext/>
        <w:spacing w:after="60" w:before="180"/>
      </w:pPr>
      <w:r>
        <w:rPr>
          <w:b/>
          <w:bCs/>
          <w:color w:val="6E7A2E"/>
          <w:spacing w:val="24"/>
          <w:sz w:val="17"/>
          <w:szCs w:val="17"/>
        </w:rPr>
        <w:t xml:space="preserve">THE HEADLINE SUCCESS MEASURE</w:t>
      </w:r>
    </w:p>
    <w:p>
      <w:pPr>
        <w:spacing w:after="140" w:before="0" w:line="300"/>
      </w:pPr>
      <w:r>
        <w:rPr>
          <w:sz w:val="22"/>
          <w:szCs w:val="22"/>
        </w:rPr>
        <w:t xml:space="preserve">Agreed with NRC: at least 70% of learners who complete the programme demonstrate the competencies needed to enrol in the accredited secondary education pathway, as measured by the final assessment. Everything below serves that measure.</w:t>
      </w:r>
    </w:p>
    <w:p>
      <w:pPr>
        <w:pStyle w:val="Heading2"/>
        <w:keepNext/>
        <w:spacing w:after="100" w:before="280"/>
      </w:pPr>
      <w:r>
        <w:rPr>
          <w:b/>
          <w:bCs/>
          <w:color w:val="7A3B69"/>
          <w:sz w:val="28"/>
          <w:szCs w:val="28"/>
        </w:rPr>
        <w:t xml:space="preserve">Agency for positive change - what this is all for</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keepNext/>
        <w:spacing w:after="60" w:before="180"/>
      </w:pPr>
      <w:r>
        <w:rPr>
          <w:b/>
          <w:bCs/>
          <w:color w:val="6E7A2E"/>
          <w:spacing w:val="24"/>
          <w:sz w:val="17"/>
          <w:szCs w:val="17"/>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keepNext/>
        <w:spacing w:after="60" w:before="180"/>
      </w:pPr>
      <w:r>
        <w:rPr>
          <w:b/>
          <w:bCs/>
          <w:color w:val="6E7A2E"/>
          <w:spacing w:val="24"/>
          <w:sz w:val="17"/>
          <w:szCs w:val="17"/>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pPr>
        <w:pStyle w:val="Heading1"/>
        <w:keepNext/>
        <w:spacing w:after="140" w:before="320"/>
      </w:pPr>
      <w:r>
        <w:rPr>
          <w:b/>
          <w:bCs/>
          <w:color w:val="1F3A5F"/>
          <w:sz w:val="36"/>
          <w:szCs w:val="36"/>
        </w:rPr>
        <w:t xml:space="preserve">2. Who does what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Responsibility</w:t>
            </w:r>
          </w:p>
        </w:tc>
      </w:tr>
      <w:tr>
        <w:tc>
          <w:tcPr>
            <w:tcW w:type="dxa" w:w="2687"/>
            <w:tcMar>
              <w:top w:type="dxa" w:w="70"/>
              <w:left w:type="dxa" w:w="130"/>
              <w:bottom w:type="dxa" w:w="70"/>
              <w:right w:type="dxa" w:w="130"/>
            </w:tcMar>
          </w:tcPr>
          <w:p>
            <w:pPr>
              <w:spacing w:line="260"/>
            </w:pPr>
            <w:r>
              <w:rPr>
                <w:b/>
                <w:bCs/>
                <w:color w:val="7A3B69"/>
                <w:sz w:val="19"/>
                <w:szCs w:val="19"/>
              </w:rPr>
              <w:t xml:space="preserve">Amala</w:t>
            </w:r>
          </w:p>
        </w:tc>
        <w:tc>
          <w:tcPr>
            <w:tcW w:type="dxa" w:w="6382"/>
            <w:tcMar>
              <w:top w:type="dxa" w:w="70"/>
              <w:left w:type="dxa" w:w="130"/>
              <w:bottom w:type="dxa" w:w="70"/>
              <w:right w:type="dxa" w:w="130"/>
            </w:tcMar>
          </w:tcPr>
          <w:p>
            <w:pPr>
              <w:spacing w:line="260"/>
            </w:pPr>
            <w:r>
              <w:rPr>
                <w:b w:val="false"/>
                <w:bCs w:val="false"/>
                <w:sz w:val="19"/>
                <w:szCs w:val="19"/>
              </w:rPr>
              <w:t xml:space="preserve">Remote technical consultant. Contextualises the curriculum, supplies ready-made offline resources, trains facilitators and you (the coordinator), supports the Week-6 assessment, and moderates the final judgements. Amala does not deliver in the camps.</w:t>
            </w:r>
          </w:p>
        </w:tc>
      </w:tr>
      <w:tr>
        <w:tc>
          <w:tcPr>
            <w:tcW w:type="dxa" w:w="2687"/>
            <w:tcMar>
              <w:top w:type="dxa" w:w="70"/>
              <w:left w:type="dxa" w:w="130"/>
              <w:bottom w:type="dxa" w:w="70"/>
              <w:right w:type="dxa" w:w="130"/>
            </w:tcMar>
          </w:tcPr>
          <w:p>
            <w:pPr>
              <w:spacing w:line="260"/>
            </w:pPr>
            <w:r>
              <w:rPr>
                <w:b/>
                <w:bCs/>
                <w:color w:val="7A3B69"/>
                <w:sz w:val="19"/>
                <w:szCs w:val="19"/>
              </w:rPr>
              <w:t xml:space="preserve">You (coordinator)</w:t>
            </w:r>
          </w:p>
        </w:tc>
        <w:tc>
          <w:tcPr>
            <w:tcW w:type="dxa" w:w="6382"/>
            <w:tcMar>
              <w:top w:type="dxa" w:w="70"/>
              <w:left w:type="dxa" w:w="130"/>
              <w:bottom w:type="dxa" w:w="70"/>
              <w:right w:type="dxa" w:w="130"/>
            </w:tcMar>
          </w:tcPr>
          <w:p>
            <w:pPr>
              <w:spacing w:line="260"/>
            </w:pPr>
            <w:r>
              <w:rPr>
                <w:b w:val="false"/>
                <w:bCs w:val="false"/>
                <w:sz w:val="19"/>
                <w:szCs w:val="19"/>
              </w:rPr>
              <w:t xml:space="preserve">Lead implementation on the ground. Set up sites and materials, recruit and support facilitators, hold the calendar and the two assessment windows, keep safeguarding pathways live, and be the bridge between the camps and Amala.</w:t>
            </w:r>
          </w:p>
        </w:tc>
      </w:tr>
      <w:tr>
        <w:tc>
          <w:tcPr>
            <w:tcW w:type="dxa" w:w="2687"/>
            <w:tcMar>
              <w:top w:type="dxa" w:w="70"/>
              <w:left w:type="dxa" w:w="130"/>
              <w:bottom w:type="dxa" w:w="70"/>
              <w:right w:type="dxa" w:w="130"/>
            </w:tcMar>
          </w:tcPr>
          <w:p>
            <w:pPr>
              <w:spacing w:line="260"/>
            </w:pPr>
            <w:r>
              <w:rPr>
                <w:b/>
                <w:bCs/>
                <w:color w:val="7A3B69"/>
                <w:sz w:val="19"/>
                <w:szCs w:val="19"/>
              </w:rPr>
              <w:t xml:space="preserve">Educators</w:t>
            </w:r>
          </w:p>
        </w:tc>
        <w:tc>
          <w:tcPr>
            <w:tcW w:type="dxa" w:w="6382"/>
            <w:tcMar>
              <w:top w:type="dxa" w:w="70"/>
              <w:left w:type="dxa" w:w="130"/>
              <w:bottom w:type="dxa" w:w="70"/>
              <w:right w:type="dxa" w:w="130"/>
            </w:tcMar>
          </w:tcPr>
          <w:p>
            <w:pPr>
              <w:spacing w:line="260"/>
            </w:pPr>
            <w:r>
              <w:rPr>
                <w:b w:val="false"/>
                <w:bCs w:val="false"/>
                <w:sz w:val="19"/>
                <w:szCs w:val="19"/>
              </w:rPr>
              <w:t xml:space="preserve">Deliver the programme. Each educator holds three functions - they facilitate the sessions, mentor learners 1:1, and assess the competencies. Everything they need is in the Educator Guide.</w:t>
            </w:r>
          </w:p>
        </w:tc>
      </w:tr>
      <w:tr>
        <w:tc>
          <w:tcPr>
            <w:tcW w:type="dxa" w:w="2687"/>
            <w:tcMar>
              <w:top w:type="dxa" w:w="70"/>
              <w:left w:type="dxa" w:w="130"/>
              <w:bottom w:type="dxa" w:w="70"/>
              <w:right w:type="dxa" w:w="130"/>
            </w:tcMar>
          </w:tcPr>
          <w:p>
            <w:pPr>
              <w:spacing w:line="260"/>
            </w:pPr>
            <w:r>
              <w:rPr>
                <w:b/>
                <w:bCs/>
                <w:color w:val="7A3B69"/>
                <w:sz w:val="19"/>
                <w:szCs w:val="19"/>
              </w:rPr>
              <w:t xml:space="preserve">NRC</w:t>
            </w:r>
          </w:p>
        </w:tc>
        <w:tc>
          <w:tcPr>
            <w:tcW w:type="dxa" w:w="6382"/>
            <w:tcMar>
              <w:top w:type="dxa" w:w="70"/>
              <w:left w:type="dxa" w:w="130"/>
              <w:bottom w:type="dxa" w:w="70"/>
              <w:right w:type="dxa" w:w="130"/>
            </w:tcMar>
          </w:tcPr>
          <w:p>
            <w:pPr>
              <w:spacing w:line="260"/>
            </w:pPr>
            <w:r>
              <w:rPr>
                <w:b w:val="false"/>
                <w:bCs w:val="false"/>
                <w:sz w:val="19"/>
                <w:szCs w:val="19"/>
              </w:rPr>
              <w:t xml:space="preserve">Owns the programme, employs and manages staff, and owns the Code of Conduct, safeguarding, and MHPSS/protection referral pathways.</w:t>
            </w:r>
          </w:p>
        </w:tc>
      </w:tr>
    </w:tbl>
    <w:p>
      <w:r>
        <w:br w:type="page"/>
      </w:r>
    </w:p>
    <w:p>
      <w:pPr>
        <w:pStyle w:val="Heading1"/>
        <w:keepNext/>
        <w:spacing w:after="140" w:before="320"/>
      </w:pPr>
      <w:r>
        <w:rPr>
          <w:b/>
          <w:bCs/>
          <w:color w:val="1F3A5F"/>
          <w:sz w:val="36"/>
          <w:szCs w:val="36"/>
        </w:rPr>
        <w:t xml:space="preserve">3. Setting up a cohort</w:t>
      </w:r>
    </w:p>
    <w:p>
      <w:pPr>
        <w:spacing w:after="140" w:before="0" w:line="300"/>
      </w:pPr>
      <w:r>
        <w:rPr>
          <w:sz w:val="22"/>
          <w:szCs w:val="22"/>
        </w:rPr>
        <w:t xml:space="preserve">Work through this before Week 1. Most of it you do once per site, then maintain.</w:t>
      </w:r>
    </w:p>
    <w:p>
      <w:pPr>
        <w:pStyle w:val="ListParagraph"/>
        <w:numPr>
          <w:ilvl w:val="0"/>
          <w:numId w:val="2"/>
        </w:numPr>
        <w:spacing w:after="80" w:line="300"/>
      </w:pPr>
      <w:r>
        <w:rPr>
          <w:sz w:val="22"/>
          <w:szCs w:val="22"/>
        </w:rPr>
        <w:t xml:space="preserve">Confirm the sites (CBLFs) and the space each offers. A CBLF is often a room in a teacher’s shelter - plan for no internet, and often no reliable power or learner devices.</w:t>
      </w:r>
    </w:p>
    <w:p>
      <w:pPr>
        <w:pStyle w:val="ListParagraph"/>
        <w:numPr>
          <w:ilvl w:val="0"/>
          <w:numId w:val="2"/>
        </w:numPr>
        <w:spacing w:after="80" w:line="300"/>
      </w:pPr>
      <w:r>
        <w:rPr>
          <w:sz w:val="22"/>
          <w:szCs w:val="22"/>
        </w:rPr>
        <w:t xml:space="preserve">Confirm facilitators. Plan for female facilitators and same-gender grouping wherever girls’ participation depends on it, and match language so learners can take part in the language they use at home. Keep mentor caseloads small enough that each learner is genuinely known.</w:t>
      </w:r>
    </w:p>
    <w:p>
      <w:pPr>
        <w:pStyle w:val="ListParagraph"/>
        <w:numPr>
          <w:ilvl w:val="0"/>
          <w:numId w:val="2"/>
        </w:numPr>
        <w:spacing w:after="80" w:line="300"/>
      </w:pPr>
      <w:r>
        <w:rPr>
          <w:sz w:val="22"/>
          <w:szCs w:val="22"/>
        </w:rPr>
        <w:t xml:space="preserve">Distribute the offline pack. Every resource is supplied ready-made and editable, distributed physically by USB or hard drive. The Educator Guide is the single document a facilitator delivers from - it carries the unit plans, the learner books, the cards and the assessment records inside it - with the picture-card PDF alongside on the USB.</w:t>
      </w:r>
    </w:p>
    <w:p>
      <w:pPr>
        <w:pStyle w:val="ListParagraph"/>
        <w:numPr>
          <w:ilvl w:val="0"/>
          <w:numId w:val="2"/>
        </w:numPr>
        <w:spacing w:after="80" w:line="300"/>
      </w:pPr>
      <w:r>
        <w:rPr>
          <w:sz w:val="22"/>
          <w:szCs w:val="22"/>
        </w:rPr>
        <w:t xml:space="preserve">Agree with each site how the learner books will reach learners: one printed book each is best, one shared between two or three works, and a single displayed copy with learners using notebooks is the floor. The books carry the teaching and the worked examples, so what matters is that every learner can SEE them - not that every learner owns one. The books are editable Word files, so pages can be cut before printing if paper is short.</w:t>
      </w:r>
    </w:p>
    <w:p>
      <w:pPr>
        <w:pStyle w:val="ListParagraph"/>
        <w:numPr>
          <w:ilvl w:val="0"/>
          <w:numId w:val="2"/>
        </w:numPr>
        <w:spacing w:after="80" w:line="300"/>
      </w:pPr>
      <w:r>
        <w:rPr>
          <w:sz w:val="22"/>
          <w:szCs w:val="22"/>
        </w:rPr>
        <w:t xml:space="preserve">Make the safeguarding pathway concrete at each site. Before any facilitator takes a mentoring caseload, make sure they know NRC’s Code of Conduct and the camp MHPSS and protection referral pathway - who to hand a concern to, and how.</w:t>
      </w:r>
    </w:p>
    <w:p>
      <w:pPr>
        <w:pStyle w:val="ListParagraph"/>
        <w:numPr>
          <w:ilvl w:val="0"/>
          <w:numId w:val="2"/>
        </w:numPr>
        <w:spacing w:after="80" w:line="300"/>
      </w:pPr>
      <w:r>
        <w:rPr>
          <w:sz w:val="22"/>
          <w:szCs w:val="22"/>
        </w:rPr>
        <w:t xml:space="preserve">Run diagnostic intake. Place each learner, check English proficiency where needed (expect the cohort to be below B1, with a range of literacy levels), and pair each learner with a mentor.</w:t>
      </w:r>
    </w:p>
    <w:p>
      <w:pPr>
        <w:pStyle w:val="ListParagraph"/>
        <w:numPr>
          <w:ilvl w:val="0"/>
          <w:numId w:val="2"/>
        </w:numPr>
        <w:spacing w:after="80" w:line="300"/>
      </w:pPr>
      <w:r>
        <w:rPr>
          <w:sz w:val="22"/>
          <w:szCs w:val="22"/>
        </w:rPr>
        <w:t xml:space="preserve">Plan the closing showcase early. The programme ends with ONE shared event in the last week, not three separate ones: learners present their research, show their "My Name, My Voice" card, and name one way they have grown - and each learner invites at least one person themselves. You need a space that can hold guests, a date fixed early enough for invitations, and the guest arrangements cleared against NRC’s Code of Conduct. Alongside the people learners invite themselves, agree with your sites who else should be there: camp committee members, majhis, imams, teachers, NRC staff, and anyone working on the hills the research is about. The research is about a shared problem, and the people who could act on it should hear it. Confirm the same-gender seating and grouping plan BEFORE invitations go out.</w:t>
      </w:r>
    </w:p>
    <w:p>
      <w:pPr>
        <w:pStyle w:val="ListParagraph"/>
        <w:numPr>
          <w:ilvl w:val="0"/>
          <w:numId w:val="2"/>
        </w:numPr>
        <w:spacing w:after="80" w:line="300"/>
      </w:pPr>
      <w:r>
        <w:rPr>
          <w:sz w:val="22"/>
          <w:szCs w:val="22"/>
        </w:rPr>
        <w:t xml:space="preserve">Decide whether your sites will offer the optional significant adult meeting - a three-way conversation between a mentor, a learner, and one adult the learner chooses, best placed between Weeks 7 and 11. It is the fastest way to make a learner’s growth visible to the people whose belief shapes what happens next, and it is genuinely demanding to organise. Run it for some learners and not others if that is what you can manage. Do not run it where there is an open protection concern. Full guidance is in the Educator Guide, Part 2.3.</w:t>
      </w:r>
    </w:p>
    <w:p>
      <w:pPr>
        <w:pStyle w:val="Heading1"/>
        <w:keepNext/>
        <w:spacing w:after="140" w:before="320"/>
      </w:pPr>
      <w:r>
        <w:rPr>
          <w:b/>
          <w:bCs/>
          <w:color w:val="1F3A5F"/>
          <w:sz w:val="36"/>
          <w:szCs w:val="36"/>
        </w:rPr>
        <w:t xml:space="preserve">4. The programme structure and the 12-week rhythm</w:t>
      </w:r>
    </w:p>
    <w:p>
      <w:pPr>
        <w:spacing w:after="140" w:before="0" w:line="300"/>
      </w:pPr>
      <w:r>
        <w:rPr>
          <w:sz w:val="22"/>
          <w:szCs w:val="22"/>
        </w:rPr>
        <w:t xml:space="preserve">The programme has three taught components plus ongoing mentoring, running side by side across the same weeks.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Hours and cadence</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Set and Pursue Goals (assessed).</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Investigate Real World Issues (assessed).</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Compulsory in this edition; assessed formatively against A1 Can-Do outcomes, not one of the two graded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Ongoing · short 1:1 or small-group conversations folded into the weekly in-person time. Not a fixed block of hours.</w:t>
            </w:r>
          </w:p>
        </w:tc>
      </w:tr>
    </w:tbl>
    <w:p>
      <w:pPr>
        <w:spacing w:after="140" w:before="0" w:line="300"/>
      </w:pPr>
      <w:r>
        <w:rPr>
          <w:sz w:val="22"/>
          <w:szCs w:val="22"/>
        </w:rPr>
        <w:t xml:space="preserve">All three taught components run side by side across the same 10–12 weeks. At 3 hours in-person and 2 hours independent each, a full week is about 9 hours in-person and 6 hours of independent tasks (done at home between sessions), with mentoring folded into the in-person time - around 150 hours of taught learning in total.</w:t>
      </w:r>
    </w:p>
    <w:p>
      <w:pPr>
        <w:pStyle w:val="Heading2"/>
        <w:keepNext/>
        <w:spacing w:after="100" w:before="280"/>
      </w:pPr>
      <w:r>
        <w:rPr>
          <w:b/>
          <w:bCs/>
          <w:color w:val="7A3B69"/>
          <w:sz w:val="28"/>
          <w:szCs w:val="28"/>
        </w:rPr>
        <w:t xml:space="preserve">What a week could look like</w:t>
      </w:r>
    </w:p>
    <w:p>
      <w:pPr>
        <w:spacing w:after="140" w:before="0" w:line="300"/>
      </w:pPr>
      <w:r>
        <w:rPr>
          <w:sz w:val="22"/>
          <w:szCs w:val="22"/>
        </w:rPr>
        <w:t xml:space="preserve">The simplest way to place the hours is three learning days a week: three hours with the educator each day - one hour per component - and about two hours of independent work at home before the next day. Mentoring check-ins happen inside the in-person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the educator,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the educator = 9 in-person hours. 3 days × about 2 hours at home = 6 independent hours. That is 15 hours a week, and about 150 hours across the 10 weeks of delivery - the full programme.</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educators: which days each site uses (place the local rest day, for example Friday), and whether a site spreads the same hours over more days with shorter sessions.</w:t>
      </w:r>
    </w:p>
    <w:p>
      <w:pPr>
        <w:pStyle w:val="Heading2"/>
        <w:keepNext/>
        <w:spacing w:after="100" w:before="280"/>
      </w:pPr>
      <w:r>
        <w:rPr>
          <w:b/>
          <w:bCs/>
          <w:color w:val="7A3B69"/>
          <w:sz w:val="28"/>
          <w:szCs w:val="28"/>
        </w:rPr>
        <w:t xml:space="preserve">The 12-week rhythm</w:t>
      </w:r>
    </w:p>
    <w:p>
      <w:pPr>
        <w:spacing w:after="140" w:before="0" w:line="300"/>
      </w:pPr>
      <w:r>
        <w:rPr>
          <w:sz w:val="22"/>
          <w:szCs w:val="22"/>
        </w:rPr>
        <w:t xml:space="preserve">Around that weekly learning, hold this assessment rhythm: five weeks of learning, a supported assessment, five more weeks, then the final assessment. Your job is to protect the two assessment windows and keep them on the calendar.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THE TWO ASSESSMENT POINTS, IN ONE LINE</w:t>
            </w:r>
          </w:p>
          <w:p>
            <w:pPr>
              <w:spacing w:after="90" w:before="0" w:line="300"/>
            </w:pPr>
            <w:r>
              <w:rPr>
                <w:sz w:val="21"/>
                <w:szCs w:val="21"/>
              </w:rPr>
              <w:t xml:space="preserve">Week 6 - supported assessment: a first, provisional judgement, made with Amala’s support. A checkpoint and a rehearsal.</w:t>
            </w:r>
          </w:p>
          <w:p>
            <w:pPr>
              <w:spacing w:after="0" w:before="0" w:line="300"/>
            </w:pPr>
            <w:r>
              <w:rPr>
                <w:sz w:val="21"/>
                <w:szCs w:val="21"/>
              </w:rPr>
              <w:t xml:space="preserve">Week 12 - final assessment: the educators’ final judgement of the two competencies, which Amala then moderates.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READING THE WEEK-6 RESULTS</w:t>
            </w:r>
          </w:p>
          <w:p>
            <w:pPr>
              <w:spacing w:after="90" w:before="0" w:line="300"/>
            </w:pPr>
            <w:r>
              <w:rPr>
                <w:sz w:val="21"/>
                <w:szCs w:val="21"/>
              </w:rPr>
              <w:t xml:space="preserve">Expect most learners to sit at Theorist at Week 6. The goal-pursuit weeks in Agency in Learning, and the analysis and output weeks in the Research Project, both fall AFTER it - so Week 6 is measured before most of the evidence exists.</w:t>
            </w:r>
          </w:p>
          <w:p>
            <w:pPr>
              <w:spacing w:after="90" w:before="0" w:line="300"/>
            </w:pPr>
            <w:r>
              <w:rPr>
                <w:sz w:val="21"/>
                <w:szCs w:val="21"/>
              </w:rPr>
              <w:t xml:space="preserve">A low Week-6 picture does not mean the cohort is failing. It is the checkpoint doing its job, showing where to concentrate support across Weeks 7 to 11.</w:t>
            </w:r>
          </w:p>
          <w:p>
            <w:pPr>
              <w:spacing w:after="0" w:before="0" w:line="300"/>
            </w:pPr>
            <w:r>
              <w:rPr>
                <w:sz w:val="21"/>
                <w:szCs w:val="21"/>
              </w:rPr>
              <w:t xml:space="preserve">The 70% measure is taken at Week 12, on the final judgement, and nowhere else.</w:t>
            </w:r>
          </w:p>
        </w:tc>
      </w:tr>
    </w:tbl>
    <w:p>
      <w:r>
        <w:br w:type="page"/>
      </w:r>
    </w:p>
    <w:p>
      <w:pPr>
        <w:pStyle w:val="Heading1"/>
        <w:keepNext/>
        <w:spacing w:after="140" w:before="320"/>
      </w:pPr>
      <w:r>
        <w:rPr>
          <w:b/>
          <w:bCs/>
          <w:color w:val="1F3A5F"/>
          <w:sz w:val="36"/>
          <w:szCs w:val="36"/>
        </w:rPr>
        <w:t xml:space="preserve">5. Coordinating assessment and moderation</w:t>
      </w:r>
    </w:p>
    <w:p>
      <w:pPr>
        <w:spacing w:after="140" w:before="0" w:line="300"/>
      </w:pPr>
      <w:r>
        <w:rPr>
          <w:sz w:val="22"/>
          <w:szCs w:val="22"/>
        </w:rPr>
        <w:t xml:space="preserve">Assessment rests on educator judgement across varied evidence, not on a single test. Your role is to make that judgement possible and fair.</w:t>
      </w:r>
    </w:p>
    <w:p>
      <w:pPr>
        <w:keepNext/>
        <w:spacing w:after="60" w:before="180"/>
      </w:pPr>
      <w:r>
        <w:rPr>
          <w:b/>
          <w:bCs/>
          <w:color w:val="6E7A2E"/>
          <w:spacing w:val="24"/>
          <w:sz w:val="17"/>
          <w:szCs w:val="17"/>
        </w:rPr>
        <w:t xml:space="preserve">WHAT DEVELOPING THESE TWO COMPETENCIES GIVES A LEARNER</w:t>
      </w:r>
    </w:p>
    <w:p>
      <w:pPr>
        <w:spacing w:after="140" w:before="0" w:line="300"/>
      </w:pPr>
      <w:r>
        <w:rPr>
          <w:sz w:val="22"/>
          <w:szCs w:val="22"/>
        </w:rPr>
        <w:t xml:space="preserve">These are the two you assess. They are not only hoops for the readiness decision - each one is a piece of the agency the whole programme is for.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bl>
    <w:p>
      <w:pPr>
        <w:keepNext/>
        <w:spacing w:after="60" w:before="180"/>
      </w:pPr>
      <w:r>
        <w:rPr>
          <w:b/>
          <w:bCs/>
          <w:color w:val="6E7A2E"/>
          <w:spacing w:val="24"/>
          <w:sz w:val="17"/>
          <w:szCs w:val="17"/>
        </w:rPr>
        <w:t xml:space="preserve">BEFORE WEEK 6</w:t>
      </w:r>
    </w:p>
    <w:p>
      <w:pPr>
        <w:pStyle w:val="ListParagraph"/>
        <w:numPr>
          <w:ilvl w:val="0"/>
          <w:numId w:val="1"/>
        </w:numPr>
        <w:spacing w:after="80" w:line="300"/>
      </w:pPr>
      <w:r>
        <w:rPr>
          <w:sz w:val="22"/>
          <w:szCs w:val="22"/>
        </w:rPr>
        <w:t xml:space="preserve">Check educators are gathering evidence as they teach - from workbooks, steps taken, the growth path, and what learners say and do - not leaving it to the end. Much of this evidence is oral and visual, because many learners are not yet literate, which is expected.</w:t>
      </w:r>
    </w:p>
    <w:p>
      <w:pPr>
        <w:pStyle w:val="ListParagraph"/>
        <w:numPr>
          <w:ilvl w:val="0"/>
          <w:numId w:val="1"/>
        </w:numPr>
        <w:spacing w:after="80" w:line="300"/>
      </w:pPr>
      <w:r>
        <w:rPr>
          <w:sz w:val="22"/>
          <w:szCs w:val="22"/>
        </w:rPr>
        <w:t xml:space="preserve">Check each educator has the two assessment records (in Part 9 of their guide) copied, one per learner, and started.</w:t>
      </w:r>
    </w:p>
    <w:p>
      <w:pPr>
        <w:pStyle w:val="ListParagraph"/>
        <w:numPr>
          <w:ilvl w:val="0"/>
          <w:numId w:val="1"/>
        </w:numPr>
        <w:spacing w:after="80" w:line="300"/>
      </w:pPr>
      <w:r>
        <w:rPr>
          <w:sz w:val="22"/>
          <w:szCs w:val="22"/>
        </w:rPr>
        <w:t xml:space="preserve">Schedule the Week-6 supported assessment with Amala, so educators make their first judgements with support and calibration.</w:t>
      </w:r>
    </w:p>
    <w:p>
      <w:pPr>
        <w:keepNext/>
        <w:spacing w:after="60" w:before="180"/>
      </w:pPr>
      <w:r>
        <w:rPr>
          <w:b/>
          <w:bCs/>
          <w:color w:val="6E7A2E"/>
          <w:spacing w:val="24"/>
          <w:sz w:val="17"/>
          <w:szCs w:val="17"/>
        </w:rPr>
        <w:t xml:space="preserve">BETWEEN WEEK 6 AND WEEK 12</w:t>
      </w:r>
    </w:p>
    <w:p>
      <w:pPr>
        <w:pStyle w:val="ListParagraph"/>
        <w:numPr>
          <w:ilvl w:val="0"/>
          <w:numId w:val="1"/>
        </w:numPr>
        <w:spacing w:after="80" w:line="300"/>
      </w:pPr>
      <w:r>
        <w:rPr>
          <w:sz w:val="22"/>
          <w:szCs w:val="22"/>
        </w:rPr>
        <w:t xml:space="preserve">Feed back what Week 6 surfaced: which learners need more evidence, where educators’ judgements were uncertain, which competency needs more attention in the second block.</w:t>
      </w:r>
    </w:p>
    <w:p>
      <w:pPr>
        <w:keepNext/>
        <w:spacing w:after="60" w:before="180"/>
      </w:pPr>
      <w:r>
        <w:rPr>
          <w:b/>
          <w:bCs/>
          <w:color w:val="6E7A2E"/>
          <w:spacing w:val="24"/>
          <w:sz w:val="17"/>
          <w:szCs w:val="17"/>
        </w:rPr>
        <w:t xml:space="preserve">AT WEEK 12</w:t>
      </w:r>
    </w:p>
    <w:p>
      <w:pPr>
        <w:pStyle w:val="ListParagraph"/>
        <w:numPr>
          <w:ilvl w:val="0"/>
          <w:numId w:val="1"/>
        </w:numPr>
        <w:spacing w:after="80" w:line="300"/>
      </w:pPr>
      <w:r>
        <w:rPr>
          <w:sz w:val="22"/>
          <w:szCs w:val="22"/>
        </w:rPr>
        <w:t xml:space="preserve">Educators make their final judgement of each learner in the two competencies against the Proficiency Scale. Collect the judgements and the evidence behind them.</w:t>
      </w:r>
    </w:p>
    <w:p>
      <w:pPr>
        <w:pStyle w:val="ListParagraph"/>
        <w:numPr>
          <w:ilvl w:val="0"/>
          <w:numId w:val="1"/>
        </w:numPr>
        <w:spacing w:after="80" w:line="300"/>
      </w:pPr>
      <w:r>
        <w:rPr>
          <w:sz w:val="22"/>
          <w:szCs w:val="22"/>
        </w:rPr>
        <w:t xml:space="preserve">Hand a sample to Amala for moderation - a case-based review that confirms judgements are consistent and fair before the readiness decision is confirmed.</w:t>
      </w:r>
    </w:p>
    <w:p>
      <w:pPr>
        <w:pStyle w:val="Heading2"/>
        <w:keepNext/>
        <w:spacing w:after="100" w:before="280"/>
      </w:pPr>
      <w:r>
        <w:rPr>
          <w:b/>
          <w:bCs/>
          <w:color w:val="7A3B69"/>
          <w:sz w:val="28"/>
          <w:szCs w:val="28"/>
        </w:rPr>
        <w:t xml:space="preserve">The two assessed competencies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Developed through</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The Agency in Learning component. The ability to set clear objectives for learning and growth and take deliberate steps toward them.</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component. The ability to research challenges affecting people and the planet to develop actionable insights.</w:t>
            </w:r>
          </w:p>
        </w:tc>
      </w:tr>
    </w:tbl>
    <w:p>
      <w:pPr>
        <w:spacing w:after="140" w:before="0" w:line="300"/>
      </w:pPr>
      <w:r>
        <w:rPr>
          <w:b/>
          <w:bCs/>
          <w:color w:val="5A6473"/>
          <w:sz w:val="21"/>
          <w:szCs w:val="21"/>
        </w:rPr>
        <w:t xml:space="preserve">Note: the Research Project is contextualised around a single shared local challenge, which is being agreed with NRC and the community. Until it is finalised, early cohorts may reach the final assessment in Set and Pursue Goals first; confirm the assessed scope for your cohort with Amala.</w:t>
      </w:r>
    </w:p>
    <w:p>
      <w:pPr>
        <w:pStyle w:val="Heading2"/>
        <w:keepNext/>
        <w:spacing w:after="100" w:before="280"/>
      </w:pPr>
      <w:r>
        <w:rPr>
          <w:b/>
          <w:bCs/>
          <w:color w:val="7A3B69"/>
          <w:sz w:val="28"/>
          <w:szCs w:val="28"/>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r>
        <w:br w:type="page"/>
      </w:r>
    </w:p>
    <w:p>
      <w:pPr>
        <w:pStyle w:val="Heading1"/>
        <w:keepNext/>
        <w:spacing w:after="140" w:before="320"/>
      </w:pPr>
      <w:r>
        <w:rPr>
          <w:b/>
          <w:bCs/>
          <w:color w:val="1F3A5F"/>
          <w:sz w:val="36"/>
          <w:szCs w:val="36"/>
        </w:rPr>
        <w:t xml:space="preserve">6. Safeguarding and protection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THIS IS NOT OPTIONAL, AND IT IS NOT YOURS TO IMPROVISE</w:t>
            </w:r>
          </w:p>
          <w:p>
            <w:pPr>
              <w:spacing w:after="90" w:before="0" w:line="300"/>
            </w:pPr>
            <w:r>
              <w:rPr>
                <w:sz w:val="21"/>
                <w:szCs w:val="21"/>
              </w:rPr>
              <w:t xml:space="preserve">All delivery follows NRC’s Code of Conduct and protection principles. Safeguarding is built into every activity that could surface loss, family, marriage, or displacement: no learner ever has to share.</w:t>
            </w:r>
          </w:p>
          <w:p>
            <w:pPr>
              <w:spacing w:after="90" w:before="0" w:line="300"/>
            </w:pPr>
            <w:r>
              <w:rPr>
                <w:sz w:val="21"/>
                <w:szCs w:val="21"/>
              </w:rPr>
              <w:t xml:space="preserve">Disclosures here may involve protection risks common in displacement - child marriage, family separation, gender-based violence. Educators are told to notice, steady, and refer - never to counsel, and never to promise secrecy.</w:t>
            </w:r>
          </w:p>
          <w:p>
            <w:pPr>
              <w:spacing w:after="0" w:before="0" w:line="300"/>
            </w:pPr>
            <w:r>
              <w:rPr>
                <w:sz w:val="21"/>
                <w:szCs w:val="21"/>
              </w:rPr>
              <w:t xml:space="preserve">Your job as coordinator: make sure the referral pathway is known and live at every site before delivery starts, and that every educator has been briefed on it.</w:t>
            </w:r>
          </w:p>
        </w:tc>
      </w:tr>
    </w:tbl>
    <w:p>
      <w:pPr>
        <w:pStyle w:val="Heading1"/>
        <w:keepNext/>
        <w:spacing w:after="140" w:before="320"/>
      </w:pPr>
      <w:r>
        <w:rPr>
          <w:b/>
          <w:bCs/>
          <w:color w:val="1F3A5F"/>
          <w:sz w:val="36"/>
          <w:szCs w:val="36"/>
        </w:rPr>
        <w:t xml:space="preserve">7. Coordinator checklist</w:t>
      </w:r>
    </w:p>
    <w:p>
      <w:pPr>
        <w:keepNext/>
        <w:spacing w:after="60" w:before="180"/>
      </w:pPr>
      <w:r>
        <w:rPr>
          <w:b/>
          <w:bCs/>
          <w:color w:val="6E7A2E"/>
          <w:spacing w:val="24"/>
          <w:sz w:val="17"/>
          <w:szCs w:val="17"/>
        </w:rPr>
        <w:t xml:space="preserve">ONCE PER COHORT, BEFORE WEEK 1</w:t>
      </w:r>
    </w:p>
    <w:p>
      <w:pPr>
        <w:pStyle w:val="ListParagraph"/>
        <w:numPr>
          <w:ilvl w:val="0"/>
          <w:numId w:val="1"/>
        </w:numPr>
        <w:spacing w:after="80" w:line="300"/>
      </w:pPr>
      <w:r>
        <w:rPr>
          <w:sz w:val="22"/>
          <w:szCs w:val="22"/>
        </w:rPr>
        <w:t xml:space="preserve">Sites confirmed; offline packs distributed and checked at each site.</w:t>
      </w:r>
    </w:p>
    <w:p>
      <w:pPr>
        <w:pStyle w:val="ListParagraph"/>
        <w:numPr>
          <w:ilvl w:val="0"/>
          <w:numId w:val="1"/>
        </w:numPr>
        <w:spacing w:after="80" w:line="300"/>
      </w:pPr>
      <w:r>
        <w:rPr>
          <w:sz w:val="22"/>
          <w:szCs w:val="22"/>
        </w:rPr>
        <w:t xml:space="preserve">Facilitators confirmed, with female facilitators and same-gender grouping where needed, and language matched.</w:t>
      </w:r>
    </w:p>
    <w:p>
      <w:pPr>
        <w:pStyle w:val="ListParagraph"/>
        <w:numPr>
          <w:ilvl w:val="0"/>
          <w:numId w:val="1"/>
        </w:numPr>
        <w:spacing w:after="80" w:line="300"/>
      </w:pPr>
      <w:r>
        <w:rPr>
          <w:sz w:val="22"/>
          <w:szCs w:val="22"/>
        </w:rPr>
        <w:t xml:space="preserve">Safeguarding and referral pathway concrete and briefed at every site.</w:t>
      </w:r>
    </w:p>
    <w:p>
      <w:pPr>
        <w:pStyle w:val="ListParagraph"/>
        <w:numPr>
          <w:ilvl w:val="0"/>
          <w:numId w:val="1"/>
        </w:numPr>
        <w:spacing w:after="80" w:line="300"/>
      </w:pPr>
      <w:r>
        <w:rPr>
          <w:sz w:val="22"/>
          <w:szCs w:val="22"/>
        </w:rPr>
        <w:t xml:space="preserve">Diagnostic intake complete; learners placed and paired with mentors.</w:t>
      </w:r>
    </w:p>
    <w:p>
      <w:pPr>
        <w:pStyle w:val="ListParagraph"/>
        <w:numPr>
          <w:ilvl w:val="0"/>
          <w:numId w:val="1"/>
        </w:numPr>
        <w:spacing w:after="80" w:line="300"/>
      </w:pPr>
      <w:r>
        <w:rPr>
          <w:sz w:val="22"/>
          <w:szCs w:val="22"/>
        </w:rPr>
        <w:t xml:space="preserve">Week-6 and Week-12 assessment windows on the calendar; Week-6 support booked with Amala.</w:t>
      </w:r>
    </w:p>
    <w:p>
      <w:pPr>
        <w:keepNext/>
        <w:spacing w:after="60" w:before="180"/>
      </w:pPr>
      <w:r>
        <w:rPr>
          <w:b/>
          <w:bCs/>
          <w:color w:val="6E7A2E"/>
          <w:spacing w:val="24"/>
          <w:sz w:val="17"/>
          <w:szCs w:val="17"/>
        </w:rPr>
        <w:t xml:space="preserve">THROUGH THE COHORT</w:t>
      </w:r>
    </w:p>
    <w:p>
      <w:pPr>
        <w:pStyle w:val="ListParagraph"/>
        <w:numPr>
          <w:ilvl w:val="0"/>
          <w:numId w:val="1"/>
        </w:numPr>
        <w:spacing w:after="80" w:line="300"/>
      </w:pPr>
      <w:r>
        <w:rPr>
          <w:sz w:val="22"/>
          <w:szCs w:val="22"/>
        </w:rPr>
        <w:t xml:space="preserve">Evidence being gathered continuously, not left to the end.</w:t>
      </w:r>
    </w:p>
    <w:p>
      <w:pPr>
        <w:pStyle w:val="ListParagraph"/>
        <w:numPr>
          <w:ilvl w:val="0"/>
          <w:numId w:val="1"/>
        </w:numPr>
        <w:spacing w:after="80" w:line="300"/>
      </w:pPr>
      <w:r>
        <w:rPr>
          <w:sz w:val="22"/>
          <w:szCs w:val="22"/>
        </w:rPr>
        <w:t xml:space="preserve">Attendance is stop-start by nature - pick learners up where they are; a return after absence is progress, not a fresh start.</w:t>
      </w:r>
    </w:p>
    <w:p>
      <w:pPr>
        <w:pStyle w:val="ListParagraph"/>
        <w:numPr>
          <w:ilvl w:val="0"/>
          <w:numId w:val="1"/>
        </w:numPr>
        <w:spacing w:after="80" w:line="300"/>
      </w:pPr>
      <w:r>
        <w:rPr>
          <w:sz w:val="22"/>
          <w:szCs w:val="22"/>
        </w:rPr>
        <w:t xml:space="preserve">Week-6 supported assessment run with Amala; findings fed back to educators.</w:t>
      </w:r>
    </w:p>
    <w:p>
      <w:pPr>
        <w:pStyle w:val="ListParagraph"/>
        <w:numPr>
          <w:ilvl w:val="0"/>
          <w:numId w:val="1"/>
        </w:numPr>
        <w:spacing w:after="80" w:line="300"/>
      </w:pPr>
      <w:r>
        <w:rPr>
          <w:sz w:val="22"/>
          <w:szCs w:val="22"/>
        </w:rPr>
        <w:t xml:space="preserve">Week-12 final assessment collected; sample handed to Amala for moderation.</w:t>
      </w:r>
    </w:p>
    <w:p>
      <w:pPr>
        <w:pStyle w:val="ListParagraph"/>
        <w:numPr>
          <w:ilvl w:val="0"/>
          <w:numId w:val="1"/>
        </w:numPr>
        <w:spacing w:after="80" w:line="300"/>
      </w:pPr>
      <w:r>
        <w:rPr>
          <w:sz w:val="22"/>
          <w:szCs w:val="22"/>
        </w:rPr>
        <w:t xml:space="preserve">Track the cohort against the 70% readiness measure.</w:t>
      </w:r>
    </w:p>
    <w:p>
      <w:pPr>
        <w:spacing w:after="140" w:before="240" w:line="300"/>
      </w:pPr>
      <w:r>
        <w:rPr>
          <w:color w:val="5A6473"/>
          <w:sz w:val="18"/>
          <w:szCs w:val="18"/>
        </w:rPr>
        <w:t xml:space="preserve">This guide is part of a fully offline, editable pack for Learning Bridge+ (Cox’s Bazar).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Coordinator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2026-08-27T05:13:56.115Z</dcterms:created>
  <dcterms:modified xsi:type="dcterms:W3CDTF">2026-08-27T05:13:56.116Z</dcterms:modified>
</cp:coreProperties>
</file>

<file path=docProps/custom.xml><?xml version="1.0" encoding="utf-8"?>
<Properties xmlns="http://schemas.openxmlformats.org/officeDocument/2006/custom-properties" xmlns:vt="http://schemas.openxmlformats.org/officeDocument/2006/docPropsVTypes"/>
</file>