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before="0" w:line="300"/>
      </w:pPr>
      <w:r>
        <w:rPr>
          <w:b/>
          <w:bCs/>
          <w:color w:val="6E7A2E"/>
          <w:sz w:val="22"/>
          <w:szCs w:val="22"/>
        </w:rPr>
        <w:t xml:space="preserve">Learning Bridge+ (Cox's Bazar)</w:t>
      </w:r>
    </w:p>
    <w:p>
      <w:pPr>
        <w:spacing w:after="40"/>
      </w:pPr>
      <w:r>
        <w:rPr>
          <w:b/>
          <w:bCs/>
          <w:color w:val="1F3A5F"/>
          <w:sz w:val="52"/>
          <w:szCs w:val="52"/>
        </w:rPr>
        <w:t xml:space="preserve">Mentoring and Wellbeing</w:t>
      </w:r>
    </w:p>
    <w:p>
      <w:pPr>
        <w:spacing w:after="200" w:before="0" w:line="300"/>
      </w:pPr>
      <w:r>
        <w:rPr>
          <w:b/>
          <w:bCs/>
          <w:color w:val="7A3B69"/>
          <w:sz w:val="30"/>
          <w:szCs w:val="30"/>
        </w:rPr>
        <w:t xml:space="preserve">Mentor Guide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 the book can still be read and used without printing in colour.</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Style w:val="ListParagraph"/>
        <w:numPr>
          <w:ilvl w:val="0"/>
          <w:numId w:val="1"/>
        </w:numPr>
        <w:spacing w:after="80" w:line="300"/>
      </w:pPr>
      <w:r>
        <w:rPr>
          <w:sz w:val="22"/>
          <w:szCs w:val="22"/>
        </w:rPr>
        <w:t xml:space="preserve">If paper is short, print "Safeguarding and referral" and "The ten-minute conversation" first - those two you need in your hand.</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sections of this guide,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plan for the fourth component: short 1:1 conversations, most weeks, folded into the in-person time the other three components already use. It is set out as an arc rather than in hours, because a mentoring relationship over twelve weeks has phases - getting known, keeping the goal alive, the week-6 checkpoint, surfacing growth, and an honest closing conversation - and which phase you are in changes what the conversation is for. It adds no hours to the timetable.</w:t>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conversations are working towards - the plan is how, this is why.</w:t>
      </w:r>
    </w:p>
    <w:p>
      <w:pPr>
        <w:spacing w:after="140" w:before="0" w:line="300"/>
      </w:pPr>
      <w:r>
        <w:rPr>
          <w:sz w:val="22"/>
          <w:szCs w:val="22"/>
        </w:rPr>
        <w:t xml:space="preserve">Mentoring and Wellbeing is what makes the programme add up to a person rather than three courses. It is the only component that touches the same learner across all twelve weeks and all three of the others: the place where a young person is known as an individual, where the goal set in Agency in Learning stays alive between sessions, where distress is noticed early enough to act on, and where the capability a learner already exercises in daily life is recognised as capability. It adds no hours of its own - about ten minutes per learner, most weeks, inside the in-person time the taught components already use.</w:t>
      </w:r>
    </w:p>
    <w:p>
      <w:pPr>
        <w:pStyle w:val="Heading2"/>
        <w:keepNext/>
        <w:spacing w:after="100" w:before="280"/>
      </w:pPr>
      <w:r>
        <w:rPr>
          <w:b/>
          <w:bCs/>
          <w:color w:val="7A3B69"/>
          <w:sz w:val="28"/>
          <w:szCs w:val="28"/>
        </w:rPr>
        <w:t xml:space="preserve">What it is working towards</w:t>
      </w:r>
    </w:p>
    <w:p>
      <w:pPr>
        <w:spacing w:after="120" w:before="0" w:line="300"/>
      </w:pPr>
      <w:r>
        <w:rPr>
          <w:sz w:val="22"/>
          <w:szCs w:val="22"/>
        </w:rPr>
        <w:t xml:space="preserve">Five aims, and they are the same five things Amala’s shared mentoring practice covers. The arc later in this guide is how they are reached across twelve weeks.</w:t>
      </w:r>
    </w:p>
    <w:p>
      <w:pPr>
        <w:pStyle w:val="Heading3"/>
        <w:keepNext/>
        <w:spacing w:after="80" w:before="220"/>
      </w:pPr>
      <w:r>
        <w:rPr>
          <w:b/>
          <w:bCs/>
          <w:color w:val="1F3A5F"/>
          <w:sz w:val="24"/>
          <w:szCs w:val="24"/>
        </w:rPr>
        <w:t xml:space="preserve">1.  A learner is known as a person, and knows they are</w:t>
      </w:r>
    </w:p>
    <w:p>
      <w:pPr>
        <w:spacing w:after="140" w:before="0" w:line="300"/>
      </w:pPr>
      <w:r>
        <w:rPr>
          <w:sz w:val="21"/>
          <w:szCs w:val="21"/>
        </w:rPr>
        <w:t xml:space="preserve">What you do:  Short, regular 1:1 conversations that begin with a genuine check-in rather than a progress check, with small enough caseloads that each learner is actually known, and pairing for gender and language so a learner can speak freely.</w:t>
      </w:r>
    </w:p>
    <w:p>
      <w:pPr>
        <w:spacing w:after="140" w:before="0" w:line="300"/>
      </w:pPr>
      <w:r>
        <w:rPr>
          <w:color w:val="5A6473"/>
          <w:sz w:val="21"/>
          <w:szCs w:val="21"/>
        </w:rPr>
        <w:t xml:space="preserve">What it looks like when it is working:  A learner talks to you about something that is not the task. A learner who was silent in week one is answering by week four.</w:t>
      </w:r>
    </w:p>
    <w:p>
      <w:pPr>
        <w:pStyle w:val="Heading3"/>
        <w:keepNext/>
        <w:spacing w:after="80" w:before="220"/>
      </w:pPr>
      <w:r>
        <w:rPr>
          <w:b/>
          <w:bCs/>
          <w:color w:val="1F3A5F"/>
          <w:sz w:val="24"/>
          <w:szCs w:val="24"/>
        </w:rPr>
        <w:t xml:space="preserve">2.  Distress is noticed early, and referred - not counselled</w:t>
      </w:r>
    </w:p>
    <w:p>
      <w:pPr>
        <w:spacing w:after="140" w:before="0" w:line="300"/>
      </w:pPr>
      <w:r>
        <w:rPr>
          <w:sz w:val="21"/>
          <w:szCs w:val="21"/>
        </w:rPr>
        <w:t xml:space="preserve">What you do:  You watch the pattern across weeks rather than the answer in one conversation, keep a light record so each conversation builds on the last, and know NRC's referral pathway before you take a single learner.</w:t>
      </w:r>
    </w:p>
    <w:p>
      <w:pPr>
        <w:spacing w:after="140" w:before="0" w:line="300"/>
      </w:pPr>
      <w:r>
        <w:rPr>
          <w:color w:val="5A6473"/>
          <w:sz w:val="21"/>
          <w:szCs w:val="21"/>
        </w:rPr>
        <w:t xml:space="preserve">What it looks like when it is working:  You spot a change in how "fine" sounds, and act on it before it becomes a crisis. When something surfaces, you already know who to hand it to.</w:t>
      </w:r>
    </w:p>
    <w:p>
      <w:pPr>
        <w:pStyle w:val="Heading3"/>
        <w:keepNext/>
        <w:spacing w:after="80" w:before="220"/>
      </w:pPr>
      <w:r>
        <w:rPr>
          <w:b/>
          <w:bCs/>
          <w:color w:val="1F3A5F"/>
          <w:sz w:val="24"/>
          <w:szCs w:val="24"/>
        </w:rPr>
        <w:t xml:space="preserve">3.  The learning goal stays alive between sessions</w:t>
      </w:r>
    </w:p>
    <w:p>
      <w:pPr>
        <w:spacing w:after="140" w:before="0" w:line="300"/>
      </w:pPr>
      <w:r>
        <w:rPr>
          <w:sz w:val="21"/>
          <w:szCs w:val="21"/>
        </w:rPr>
        <w:t xml:space="preserve">What you do:  Every conversation picks up the step agreed last time, asks what got in the way without making it a test, and ends with one new step small enough to actually happen - said by the learner, not by you.</w:t>
      </w:r>
    </w:p>
    <w:p>
      <w:pPr>
        <w:spacing w:after="140" w:before="0" w:line="300"/>
      </w:pPr>
      <w:r>
        <w:rPr>
          <w:color w:val="5A6473"/>
          <w:sz w:val="21"/>
          <w:szCs w:val="21"/>
        </w:rPr>
        <w:t xml:space="preserve">What it looks like when it is working:  Steps are being taken between sessions, and a learner who missed a week is picked up rather than restarted. The goal changes when it should, instead of being quietly abandoned.</w:t>
      </w:r>
    </w:p>
    <w:p>
      <w:pPr>
        <w:pStyle w:val="Heading3"/>
        <w:keepNext/>
        <w:spacing w:after="80" w:before="220"/>
      </w:pPr>
      <w:r>
        <w:rPr>
          <w:b/>
          <w:bCs/>
          <w:color w:val="1F3A5F"/>
          <w:sz w:val="24"/>
          <w:szCs w:val="24"/>
        </w:rPr>
        <w:t xml:space="preserve">4.  The capability a learner already has is recognised as capability</w:t>
      </w:r>
    </w:p>
    <w:p>
      <w:pPr>
        <w:spacing w:after="140" w:before="0" w:line="300"/>
      </w:pPr>
      <w:r>
        <w:rPr>
          <w:sz w:val="21"/>
          <w:szCs w:val="21"/>
        </w:rPr>
        <w:t xml:space="preserve">What you do:  Asking about a day rather than about the learner, catching what they actually did - caring for siblings, translating, earning, resolving a dispute - and naming it plainly, then naming it as the competency.</w:t>
      </w:r>
    </w:p>
    <w:p>
      <w:pPr>
        <w:spacing w:after="140" w:before="0" w:line="300"/>
      </w:pPr>
      <w:r>
        <w:rPr>
          <w:color w:val="5A6473"/>
          <w:sz w:val="21"/>
          <w:szCs w:val="21"/>
        </w:rPr>
        <w:t xml:space="preserve">What it looks like when it is working:  A learner counts something they did not count before, and the goals they set afterwards get more ambitious. You have evidence for the Set and Pursue Goals judgement that no workbook would show.</w:t>
      </w:r>
    </w:p>
    <w:p>
      <w:pPr>
        <w:pStyle w:val="Heading3"/>
        <w:keepNext/>
        <w:spacing w:after="80" w:before="220"/>
      </w:pPr>
      <w:r>
        <w:rPr>
          <w:b/>
          <w:bCs/>
          <w:color w:val="1F3A5F"/>
          <w:sz w:val="24"/>
          <w:szCs w:val="24"/>
        </w:rPr>
        <w:t xml:space="preserve">5.  What comes next stays honest and within reach</w:t>
      </w:r>
    </w:p>
    <w:p>
      <w:pPr>
        <w:spacing w:after="140" w:before="0" w:line="300"/>
      </w:pPr>
      <w:r>
        <w:rPr>
          <w:sz w:val="21"/>
          <w:szCs w:val="21"/>
        </w:rPr>
        <w:t xml:space="preserve">What you do:  Keeping pathways conversations on the next controllable step rather than on futures that are currently blocked, and - where a site can manage it - bringing an adult who matters into the picture through the optional three-way meeting.</w:t>
      </w:r>
    </w:p>
    <w:p>
      <w:pPr>
        <w:spacing w:after="140" w:before="0" w:line="300"/>
      </w:pPr>
      <w:r>
        <w:rPr>
          <w:color w:val="5A6473"/>
          <w:sz w:val="21"/>
          <w:szCs w:val="21"/>
        </w:rPr>
        <w:t xml:space="preserve">What it looks like when it is working:  A learner leaves the final conversation holding something they can act on, whatever the readiness decision was, rather than holding a verdict.</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Ongoing · about 10 minutes per learner, most weeks. It adds no hours of its own - it runs inside the in-person time the taught components already use.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1"/>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Amala's mentor moves, carried in full in the mentoring guide that ships with this programme; the notes below say how those moves are held in the Cox's Bazar context, where displacement, protection risks, and interrupted schooling shape every conversation.</w:t>
      </w:r>
    </w:p>
    <w:p>
      <w:pPr>
        <w:pStyle w:val="Heading2"/>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2"/>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1"/>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2"/>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2"/>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2"/>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2"/>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2"/>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2"/>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1"/>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2"/>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2"/>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2"/>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2"/>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2"/>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2"/>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2"/>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2"/>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1"/>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2"/>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2"/>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2"/>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2"/>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2"/>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2"/>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1"/>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2"/>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2"/>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2"/>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2"/>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2"/>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2"/>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2"/>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1"/>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2"/>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3"/>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3"/>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3"/>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3"/>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2"/>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3"/>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2"/>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3"/>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3"/>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2"/>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3"/>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2"/>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3"/>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3"/>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2"/>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3"/>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1"/>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2"/>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2"/>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2"/>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all the opening needs.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next step after an absence is there to show the learner they are still in this, not to make progress.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2"/>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2"/>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1"/>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2"/>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2"/>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2"/>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2"/>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2"/>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Watch for it in the goals they set next, which often</w:t>
      </w:r>
    </w:p>
    <w:p>
      <w:pPr>
        <w:spacing w:after="140" w:before="0" w:line="300"/>
      </w:pPr>
      <w:r>
        <w:rPr>
          <w:sz w:val="22"/>
          <w:szCs w:val="22"/>
        </w:rPr>
        <w:t xml:space="preserve">get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1"/>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2"/>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2"/>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2"/>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2"/>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3"/>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3"/>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3"/>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1"/>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2"/>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2"/>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Be specific rather than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2"/>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That is not kindness. The promise comes due after you have stopped seeing them, and it teaches a learner that encouragement from adults is worth nothing.</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2"/>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2"/>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240" w:line="300"/>
      </w:pPr>
      <w:r>
        <w:rPr>
          <w:color w:val="5A6473"/>
          <w:sz w:val="18"/>
          <w:szCs w:val="18"/>
        </w:rPr>
        <w:t xml:space="preserve">This guide is part of a fully offline, editable pack.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Learning Bridge+ (Cox's Bazar) · Mentoring and Wellbeing · Amala Education with NRC</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2026-08-27T05:13:55.947Z</dcterms:created>
  <dcterms:modified xsi:type="dcterms:W3CDTF">2026-08-27T05:13:55.948Z</dcterms:modified>
</cp:coreProperties>
</file>

<file path=docProps/custom.xml><?xml version="1.0" encoding="utf-8"?>
<Properties xmlns="http://schemas.openxmlformats.org/officeDocument/2006/custom-properties" xmlns:vt="http://schemas.openxmlformats.org/officeDocument/2006/docPropsVTypes"/>
</file>