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0"/>
      </w:pPr>
      <w:r>
        <w:drawing>
          <wp:inline distT="0" distB="0" distL="0" distR="0">
            <wp:extent cx="11239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571500"/>
                    </a:xfrm>
                    <a:prstGeom prst="rect">
                      <a:avLst/>
                    </a:prstGeom>
                  </pic:spPr>
                </pic:pic>
              </a:graphicData>
            </a:graphic>
          </wp:inline>
        </w:drawing>
      </w:r>
    </w:p>
    <w:p>
      <w:pPr>
        <w:spacing w:after="160"/>
      </w:pPr>
      <w:r>
        <w:rPr>
          <w:b/>
          <w:bCs/>
          <w:color w:val="5A6473"/>
          <w:spacing w:val="40"/>
          <w:sz w:val="20"/>
          <w:szCs w:val="20"/>
        </w:rPr>
        <w:t xml:space="preserve">THE ENGLISH CHECK</w:t>
      </w:r>
    </w:p>
    <w:p>
      <w:pPr>
        <w:spacing w:after="180"/>
      </w:pPr>
      <w:r>
        <w:rPr>
          <w:b/>
          <w:bCs/>
          <w:color w:val="1F3A5F"/>
          <w:sz w:val="52"/>
          <w:szCs w:val="52"/>
        </w:rPr>
        <w:t xml:space="preserve">Record and profile sheets</w:t>
      </w:r>
    </w:p>
    <w:p>
      <w:pPr>
        <w:spacing w:after="320"/>
      </w:pPr>
      <w:r>
        <w:rPr>
          <w:color w:val="5A6473"/>
          <w:sz w:val="24"/>
          <w:szCs w:val="24"/>
        </w:rPr>
        <w:t xml:space="preserve">The class record sheet, and the learner’s own profile.</w:t>
      </w:r>
    </w:p>
    <w:p>
      <w:pPr>
        <w:spacing w:after="140" w:before="0" w:line="300"/>
      </w:pPr>
      <w:r>
        <w:rPr>
          <w:color w:val="5A6473"/>
          <w:sz w:val="20"/>
          <w:szCs w:val="20"/>
        </w:rPr>
        <w:t xml:space="preserve">The class record sheet is one per class, filled in twice. The profile sheet is one per learner and is given to them - read it through together.</w:t>
      </w:r>
    </w:p>
    <w:p>
      <w:r>
        <w:br w:type="page"/>
      </w:r>
    </w:p>
    <w:p>
      <w:pPr>
        <w:pStyle w:val="Heading1"/>
        <w:keepNext/>
        <w:spacing w:after="140" w:before="320"/>
      </w:pPr>
      <w:r>
        <w:rPr>
          <w:b/>
          <w:bCs/>
          <w:color w:val="1F3A5F"/>
          <w:sz w:val="36"/>
          <w:szCs w:val="36"/>
        </w:rPr>
        <w:t xml:space="preserve">3 · The class record sheet</w:t>
      </w:r>
    </w:p>
    <w:p>
      <w:pPr>
        <w:spacing w:after="140" w:before="0" w:line="300"/>
      </w:pPr>
      <w:r>
        <w:rPr>
          <w:sz w:val="22"/>
          <w:szCs w:val="22"/>
        </w:rPr>
        <w:t xml:space="preserve">One per class. Filled in twice — once after the baseline, once after the endline.</w:t>
      </w:r>
    </w:p>
    <w:p>
      <w:pPr>
        <w:spacing w:after="140" w:before="0" w:line="300"/>
      </w:pPr>
      <w:r>
        <w:rPr>
          <w:sz w:val="22"/>
          <w:szCs w:val="22"/>
        </w:rPr>
        <w:t xml:space="preserve">Class ________ · Facilitator ________ · Mode used: ☐ Part 0 ☐ Part 0G Baseline date ________ · Endline date ________ Talk: ☐ everyone ☐ sample of _ , chosen at random on ________</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907"/>
        <w:gridCol w:w="907"/>
        <w:gridCol w:w="907"/>
        <w:gridCol w:w="907"/>
        <w:gridCol w:w="907"/>
        <w:gridCol w:w="907"/>
        <w:gridCol w:w="907"/>
        <w:gridCol w:w="907"/>
        <w:gridCol w:w="907"/>
        <w:gridCol w:w="907"/>
      </w:tblGrid>
      <w:tr>
        <w:tc>
          <w:tcPr>
            <w:tcW w:type="dxa" w:w="907"/>
            <w:tcMar>
              <w:top w:type="dxa" w:w="70"/>
              <w:left w:type="dxa" w:w="120"/>
              <w:bottom w:type="dxa" w:w="70"/>
              <w:right w:type="dxa" w:w="120"/>
            </w:tcMar>
          </w:tcPr>
          <w:p>
            <w:pPr>
              <w:spacing w:line="260"/>
            </w:pPr>
            <w:r>
              <w:rPr>
                <w:b/>
                <w:bCs/>
                <w:color w:val="1F3A5F"/>
                <w:sz w:val="19"/>
                <w:szCs w:val="19"/>
              </w:rPr>
              <w:t xml:space="preserve">#</w:t>
            </w:r>
          </w:p>
        </w:tc>
        <w:tc>
          <w:tcPr>
            <w:tcW w:type="dxa" w:w="907"/>
            <w:tcMar>
              <w:top w:type="dxa" w:w="70"/>
              <w:left w:type="dxa" w:w="120"/>
              <w:bottom w:type="dxa" w:w="70"/>
              <w:right w:type="dxa" w:w="120"/>
            </w:tcMar>
          </w:tcPr>
          <w:p>
            <w:pPr>
              <w:spacing w:line="260"/>
            </w:pPr>
            <w:r>
              <w:rPr>
                <w:b/>
                <w:bCs/>
                <w:color w:val="1F3A5F"/>
                <w:sz w:val="19"/>
                <w:szCs w:val="19"/>
              </w:rPr>
              <w:t xml:space="preserve">Learner</w:t>
            </w:r>
          </w:p>
        </w:tc>
        <w:tc>
          <w:tcPr>
            <w:tcW w:type="dxa" w:w="907"/>
            <w:tcMar>
              <w:top w:type="dxa" w:w="70"/>
              <w:left w:type="dxa" w:w="120"/>
              <w:bottom w:type="dxa" w:w="70"/>
              <w:right w:type="dxa" w:w="120"/>
            </w:tcMar>
          </w:tcPr>
          <w:p>
            <w:pPr>
              <w:spacing w:line="260"/>
            </w:pPr>
            <w:r>
              <w:rPr>
                <w:b/>
                <w:bCs/>
                <w:color w:val="1F3A5F"/>
                <w:sz w:val="19"/>
                <w:szCs w:val="19"/>
              </w:rPr>
              <w:t xml:space="preserve">Reading start</w:t>
            </w:r>
          </w:p>
        </w:tc>
        <w:tc>
          <w:tcPr>
            <w:tcW w:type="dxa" w:w="907"/>
            <w:tcMar>
              <w:top w:type="dxa" w:w="70"/>
              <w:left w:type="dxa" w:w="120"/>
              <w:bottom w:type="dxa" w:w="70"/>
              <w:right w:type="dxa" w:w="120"/>
            </w:tcMar>
          </w:tcPr>
          <w:p>
            <w:pPr>
              <w:spacing w:line="260"/>
            </w:pPr>
            <w:r>
              <w:rPr>
                <w:b/>
                <w:bCs/>
                <w:color w:val="1F3A5F"/>
                <w:sz w:val="19"/>
                <w:szCs w:val="19"/>
              </w:rPr>
              <w:t xml:space="preserve">Reading end</w:t>
            </w:r>
          </w:p>
        </w:tc>
        <w:tc>
          <w:tcPr>
            <w:tcW w:type="dxa" w:w="907"/>
            <w:tcMar>
              <w:top w:type="dxa" w:w="70"/>
              <w:left w:type="dxa" w:w="120"/>
              <w:bottom w:type="dxa" w:w="70"/>
              <w:right w:type="dxa" w:w="120"/>
            </w:tcMar>
          </w:tcPr>
          <w:p>
            <w:pPr>
              <w:spacing w:line="260"/>
            </w:pPr>
            <w:r>
              <w:rPr>
                <w:b/>
                <w:bCs/>
                <w:color w:val="1F3A5F"/>
                <w:sz w:val="19"/>
                <w:szCs w:val="19"/>
              </w:rPr>
              <w:t xml:space="preserve">Writing start</w:t>
            </w:r>
          </w:p>
        </w:tc>
        <w:tc>
          <w:tcPr>
            <w:tcW w:type="dxa" w:w="907"/>
            <w:tcMar>
              <w:top w:type="dxa" w:w="70"/>
              <w:left w:type="dxa" w:w="120"/>
              <w:bottom w:type="dxa" w:w="70"/>
              <w:right w:type="dxa" w:w="120"/>
            </w:tcMar>
          </w:tcPr>
          <w:p>
            <w:pPr>
              <w:spacing w:line="260"/>
            </w:pPr>
            <w:r>
              <w:rPr>
                <w:b/>
                <w:bCs/>
                <w:color w:val="1F3A5F"/>
                <w:sz w:val="19"/>
                <w:szCs w:val="19"/>
              </w:rPr>
              <w:t xml:space="preserve">Writing end</w:t>
            </w:r>
          </w:p>
        </w:tc>
        <w:tc>
          <w:tcPr>
            <w:tcW w:type="dxa" w:w="907"/>
            <w:tcMar>
              <w:top w:type="dxa" w:w="70"/>
              <w:left w:type="dxa" w:w="120"/>
              <w:bottom w:type="dxa" w:w="70"/>
              <w:right w:type="dxa" w:w="120"/>
            </w:tcMar>
          </w:tcPr>
          <w:p>
            <w:pPr>
              <w:spacing w:line="260"/>
            </w:pPr>
            <w:r>
              <w:rPr>
                <w:b/>
                <w:bCs/>
                <w:color w:val="1F3A5F"/>
                <w:sz w:val="19"/>
                <w:szCs w:val="19"/>
              </w:rPr>
              <w:t xml:space="preserve">Talk start</w:t>
            </w:r>
          </w:p>
        </w:tc>
        <w:tc>
          <w:tcPr>
            <w:tcW w:type="dxa" w:w="907"/>
            <w:tcMar>
              <w:top w:type="dxa" w:w="70"/>
              <w:left w:type="dxa" w:w="120"/>
              <w:bottom w:type="dxa" w:w="70"/>
              <w:right w:type="dxa" w:w="120"/>
            </w:tcMar>
          </w:tcPr>
          <w:p>
            <w:pPr>
              <w:spacing w:line="260"/>
            </w:pPr>
            <w:r>
              <w:rPr>
                <w:b/>
                <w:bCs/>
                <w:color w:val="1F3A5F"/>
                <w:sz w:val="19"/>
                <w:szCs w:val="19"/>
              </w:rPr>
              <w:t xml:space="preserve">Talk end</w:t>
            </w:r>
          </w:p>
        </w:tc>
        <w:tc>
          <w:tcPr>
            <w:tcW w:type="dxa" w:w="907"/>
            <w:tcMar>
              <w:top w:type="dxa" w:w="70"/>
              <w:left w:type="dxa" w:w="120"/>
              <w:bottom w:type="dxa" w:w="70"/>
              <w:right w:type="dxa" w:w="120"/>
            </w:tcMar>
          </w:tcPr>
          <w:p>
            <w:pPr>
              <w:spacing w:line="260"/>
            </w:pPr>
            <w:r>
              <w:rPr>
                <w:b/>
                <w:bCs/>
                <w:color w:val="1F3A5F"/>
                <w:sz w:val="19"/>
                <w:szCs w:val="19"/>
              </w:rPr>
              <w:t xml:space="preserve">Anchor start</w:t>
            </w:r>
          </w:p>
        </w:tc>
        <w:tc>
          <w:tcPr>
            <w:tcW w:type="dxa" w:w="907"/>
            <w:tcMar>
              <w:top w:type="dxa" w:w="70"/>
              <w:left w:type="dxa" w:w="120"/>
              <w:bottom w:type="dxa" w:w="70"/>
              <w:right w:type="dxa" w:w="120"/>
            </w:tcMar>
          </w:tcPr>
          <w:p>
            <w:pPr>
              <w:spacing w:line="260"/>
            </w:pPr>
            <w:r>
              <w:rPr>
                <w:b/>
                <w:bCs/>
                <w:color w:val="1F3A5F"/>
                <w:sz w:val="19"/>
                <w:szCs w:val="19"/>
              </w:rPr>
              <w:t xml:space="preserve">Anchor end</w:t>
            </w:r>
          </w:p>
        </w:tc>
      </w:tr>
      <w:tr>
        <w:tc>
          <w:tcPr>
            <w:tcW w:type="dxa" w:w="907"/>
            <w:tcMar>
              <w:top w:type="dxa" w:w="70"/>
              <w:left w:type="dxa" w:w="120"/>
              <w:bottom w:type="dxa" w:w="70"/>
              <w:right w:type="dxa" w:w="120"/>
            </w:tcMar>
          </w:tcPr>
          <w:p>
            <w:pPr>
              <w:spacing w:line="260"/>
            </w:pPr>
            <w:r>
              <w:rPr>
                <w:b w:val="false"/>
                <w:bCs w:val="false"/>
                <w:sz w:val="19"/>
                <w:szCs w:val="19"/>
              </w:rPr>
              <w:t xml:space="preserve">1</w:t>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r>
      <w:tr>
        <w:tc>
          <w:tcPr>
            <w:tcW w:type="dxa" w:w="907"/>
            <w:tcMar>
              <w:top w:type="dxa" w:w="70"/>
              <w:left w:type="dxa" w:w="120"/>
              <w:bottom w:type="dxa" w:w="70"/>
              <w:right w:type="dxa" w:w="120"/>
            </w:tcMar>
          </w:tcPr>
          <w:p>
            <w:pPr>
              <w:spacing w:line="260"/>
            </w:pPr>
            <w:r>
              <w:rPr>
                <w:b w:val="false"/>
                <w:bCs w:val="false"/>
                <w:sz w:val="19"/>
                <w:szCs w:val="19"/>
              </w:rPr>
              <w:t xml:space="preserve">2</w:t>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r>
      <w:tr>
        <w:tc>
          <w:tcPr>
            <w:tcW w:type="dxa" w:w="907"/>
            <w:tcMar>
              <w:top w:type="dxa" w:w="70"/>
              <w:left w:type="dxa" w:w="120"/>
              <w:bottom w:type="dxa" w:w="70"/>
              <w:right w:type="dxa" w:w="120"/>
            </w:tcMar>
          </w:tcPr>
          <w:p>
            <w:pPr>
              <w:spacing w:line="260"/>
            </w:pPr>
            <w:r>
              <w:rPr>
                <w:b w:val="false"/>
                <w:bCs w:val="false"/>
                <w:sz w:val="19"/>
                <w:szCs w:val="19"/>
              </w:rPr>
              <w:t xml:space="preserve">3</w:t>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c>
          <w:tcPr>
            <w:tcW w:type="dxa" w:w="907"/>
            <w:tcMar>
              <w:top w:type="dxa" w:w="70"/>
              <w:left w:type="dxa" w:w="120"/>
              <w:bottom w:type="dxa" w:w="70"/>
              <w:right w:type="dxa" w:w="120"/>
            </w:tcMar>
          </w:tcPr>
          <w:p>
            <w:pPr>
              <w:spacing w:line="260"/>
            </w:pPr>
            <w:r>
              <w:rPr>
                <w:b w:val="false"/>
                <w:bCs w:val="false"/>
                <w:sz w:val="19"/>
                <w:szCs w:val="19"/>
              </w:rPr>
              <w:t xml:space="preserve"/>
            </w:r>
          </w:p>
        </w:tc>
      </w:tr>
    </w:tbl>
    <w:p>
      <w:pPr>
        <w:spacing w:after="140" w:before="0" w:line="300"/>
      </w:pPr>
      <w:r>
        <w:rPr>
          <w:sz w:val="22"/>
          <w:szCs w:val="22"/>
        </w:rPr>
        <w:t xml:space="preserve">(Continue for the class. Steps are 1–10. Anchor = the total of F2, F6, F7, C1, C2 and L11 — a drift check, not a result.)</w:t>
      </w:r>
    </w:p>
    <w:p>
      <w:pPr>
        <w:pStyle w:val="Heading2"/>
        <w:keepNext/>
        <w:spacing w:after="100" w:before="280"/>
      </w:pPr>
      <w:r>
        <w:rPr>
          <w:b/>
          <w:bCs/>
          <w:color w:val="7A3B69"/>
          <w:sz w:val="28"/>
          <w:szCs w:val="28"/>
        </w:rPr>
        <w:t xml:space="preserve">The summary, for the report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c>
          <w:tcPr>
            <w:tcW w:type="dxa" w:w="2267"/>
            <w:tcMar>
              <w:top w:type="dxa" w:w="70"/>
              <w:left w:type="dxa" w:w="120"/>
              <w:bottom w:type="dxa" w:w="70"/>
              <w:right w:type="dxa" w:w="120"/>
            </w:tcMar>
          </w:tcPr>
          <w:p>
            <w:pPr>
              <w:spacing w:line="260"/>
            </w:pPr>
            <w:r>
              <w:rPr>
                <w:b/>
                <w:bCs/>
                <w:color w:val="1F3A5F"/>
                <w:sz w:val="19"/>
                <w:szCs w:val="19"/>
              </w:rPr>
              <w:t xml:space="preserve"/>
            </w:r>
          </w:p>
        </w:tc>
        <w:tc>
          <w:tcPr>
            <w:tcW w:type="dxa" w:w="2267"/>
            <w:tcMar>
              <w:top w:type="dxa" w:w="70"/>
              <w:left w:type="dxa" w:w="120"/>
              <w:bottom w:type="dxa" w:w="70"/>
              <w:right w:type="dxa" w:w="120"/>
            </w:tcMar>
          </w:tcPr>
          <w:p>
            <w:pPr>
              <w:spacing w:line="260"/>
            </w:pPr>
            <w:r>
              <w:rPr>
                <w:b/>
                <w:bCs/>
                <w:color w:val="1F3A5F"/>
                <w:sz w:val="19"/>
                <w:szCs w:val="19"/>
              </w:rPr>
              <w:t xml:space="preserve">Reading</w:t>
            </w:r>
          </w:p>
        </w:tc>
        <w:tc>
          <w:tcPr>
            <w:tcW w:type="dxa" w:w="2267"/>
            <w:tcMar>
              <w:top w:type="dxa" w:w="70"/>
              <w:left w:type="dxa" w:w="120"/>
              <w:bottom w:type="dxa" w:w="70"/>
              <w:right w:type="dxa" w:w="120"/>
            </w:tcMar>
          </w:tcPr>
          <w:p>
            <w:pPr>
              <w:spacing w:line="260"/>
            </w:pPr>
            <w:r>
              <w:rPr>
                <w:b/>
                <w:bCs/>
                <w:color w:val="1F3A5F"/>
                <w:sz w:val="19"/>
                <w:szCs w:val="19"/>
              </w:rPr>
              <w:t xml:space="preserve">Writing</w:t>
            </w:r>
          </w:p>
        </w:tc>
        <w:tc>
          <w:tcPr>
            <w:tcW w:type="dxa" w:w="2267"/>
            <w:tcMar>
              <w:top w:type="dxa" w:w="70"/>
              <w:left w:type="dxa" w:w="120"/>
              <w:bottom w:type="dxa" w:w="70"/>
              <w:right w:type="dxa" w:w="120"/>
            </w:tcMar>
          </w:tcPr>
          <w:p>
            <w:pPr>
              <w:spacing w:line="260"/>
            </w:pPr>
            <w:r>
              <w:rPr>
                <w:b/>
                <w:bCs/>
                <w:color w:val="1F3A5F"/>
                <w:sz w:val="19"/>
                <w:szCs w:val="19"/>
              </w:rPr>
              <w:t xml:space="preserve">Speaking</w:t>
            </w:r>
          </w:p>
        </w:tc>
      </w:tr>
      <w:tr>
        <w:tc>
          <w:tcPr>
            <w:tcW w:type="dxa" w:w="2267"/>
            <w:tcMar>
              <w:top w:type="dxa" w:w="70"/>
              <w:left w:type="dxa" w:w="120"/>
              <w:bottom w:type="dxa" w:w="70"/>
              <w:right w:type="dxa" w:w="120"/>
            </w:tcMar>
          </w:tcPr>
          <w:p>
            <w:pPr>
              <w:spacing w:line="260"/>
            </w:pPr>
            <w:r>
              <w:rPr>
                <w:b w:val="false"/>
                <w:bCs w:val="false"/>
                <w:sz w:val="19"/>
                <w:szCs w:val="19"/>
              </w:rPr>
              <w:t xml:space="preserve">Learners with a start and an end number</w:t>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r>
      <w:tr>
        <w:tc>
          <w:tcPr>
            <w:tcW w:type="dxa" w:w="2267"/>
            <w:tcMar>
              <w:top w:type="dxa" w:w="70"/>
              <w:left w:type="dxa" w:w="120"/>
              <w:bottom w:type="dxa" w:w="70"/>
              <w:right w:type="dxa" w:w="120"/>
            </w:tcMar>
          </w:tcPr>
          <w:p>
            <w:pPr>
              <w:spacing w:line="260"/>
            </w:pPr>
            <w:r>
              <w:rPr>
                <w:b w:val="false"/>
                <w:bCs w:val="false"/>
                <w:sz w:val="19"/>
                <w:szCs w:val="19"/>
              </w:rPr>
              <w:t xml:space="preserve">Moved up 1 step</w:t>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r>
      <w:tr>
        <w:tc>
          <w:tcPr>
            <w:tcW w:type="dxa" w:w="2267"/>
            <w:tcMar>
              <w:top w:type="dxa" w:w="70"/>
              <w:left w:type="dxa" w:w="120"/>
              <w:bottom w:type="dxa" w:w="70"/>
              <w:right w:type="dxa" w:w="120"/>
            </w:tcMar>
          </w:tcPr>
          <w:p>
            <w:pPr>
              <w:spacing w:line="260"/>
            </w:pPr>
            <w:r>
              <w:rPr>
                <w:b w:val="false"/>
                <w:bCs w:val="false"/>
                <w:sz w:val="19"/>
                <w:szCs w:val="19"/>
              </w:rPr>
              <w:t xml:space="preserve">Moved up 2 steps</w:t>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r>
      <w:tr>
        <w:tc>
          <w:tcPr>
            <w:tcW w:type="dxa" w:w="2267"/>
            <w:tcMar>
              <w:top w:type="dxa" w:w="70"/>
              <w:left w:type="dxa" w:w="120"/>
              <w:bottom w:type="dxa" w:w="70"/>
              <w:right w:type="dxa" w:w="120"/>
            </w:tcMar>
          </w:tcPr>
          <w:p>
            <w:pPr>
              <w:spacing w:line="260"/>
            </w:pPr>
            <w:r>
              <w:rPr>
                <w:b w:val="false"/>
                <w:bCs w:val="false"/>
                <w:sz w:val="19"/>
                <w:szCs w:val="19"/>
              </w:rPr>
              <w:t xml:space="preserve">Moved up 3 or more</w:t>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r>
      <w:tr>
        <w:tc>
          <w:tcPr>
            <w:tcW w:type="dxa" w:w="2267"/>
            <w:tcMar>
              <w:top w:type="dxa" w:w="70"/>
              <w:left w:type="dxa" w:w="120"/>
              <w:bottom w:type="dxa" w:w="70"/>
              <w:right w:type="dxa" w:w="120"/>
            </w:tcMar>
          </w:tcPr>
          <w:p>
            <w:pPr>
              <w:spacing w:line="260"/>
            </w:pPr>
            <w:r>
              <w:rPr>
                <w:b w:val="false"/>
                <w:bCs w:val="false"/>
                <w:sz w:val="19"/>
                <w:szCs w:val="19"/>
              </w:rPr>
              <w:t xml:space="preserve">No change</w:t>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r>
      <w:tr>
        <w:tc>
          <w:tcPr>
            <w:tcW w:type="dxa" w:w="2267"/>
            <w:tcMar>
              <w:top w:type="dxa" w:w="70"/>
              <w:left w:type="dxa" w:w="120"/>
              <w:bottom w:type="dxa" w:w="70"/>
              <w:right w:type="dxa" w:w="120"/>
            </w:tcMar>
          </w:tcPr>
          <w:p>
            <w:pPr>
              <w:spacing w:line="260"/>
            </w:pPr>
            <w:r>
              <w:rPr>
                <w:b w:val="false"/>
                <w:bCs w:val="false"/>
                <w:sz w:val="19"/>
                <w:szCs w:val="19"/>
              </w:rPr>
              <w:t xml:space="preserve">Moved down</w:t>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c>
          <w:tcPr>
            <w:tcW w:type="dxa" w:w="2267"/>
            <w:tcMar>
              <w:top w:type="dxa" w:w="70"/>
              <w:left w:type="dxa" w:w="120"/>
              <w:bottom w:type="dxa" w:w="70"/>
              <w:right w:type="dxa" w:w="120"/>
            </w:tcMar>
          </w:tcPr>
          <w:p>
            <w:pPr>
              <w:spacing w:line="260"/>
            </w:pPr>
            <w:r>
              <w:rPr>
                <w:b w:val="false"/>
                <w:bCs w:val="false"/>
                <w:sz w:val="19"/>
                <w:szCs w:val="19"/>
              </w:rPr>
              <w:t xml:space="preserve"/>
            </w:r>
          </w:p>
        </w:tc>
      </w:tr>
    </w:tbl>
    <w:p>
      <w:pPr>
        <w:spacing w:after="140" w:before="0" w:line="300"/>
      </w:pPr>
      <w:r>
        <w:rPr>
          <w:sz w:val="22"/>
          <w:szCs w:val="22"/>
        </w:rPr>
        <w:t xml:space="preserve">Sentences to include in any report</w:t>
      </w:r>
    </w:p>
    <w:p>
      <w:pPr>
        <w:pStyle w:val="ListParagraph"/>
        <w:numPr>
          <w:ilvl w:val="0"/>
          <w:numId w:val="1"/>
        </w:numPr>
        <w:spacing w:after="80" w:line="300"/>
      </w:pPr>
      <w:r>
        <w:rPr>
          <w:sz w:val="22"/>
          <w:szCs w:val="22"/>
        </w:rPr>
        <w:t xml:space="preserve">This check measures reading, writing and speaking. It does not measure listening.</w:t>
      </w:r>
    </w:p>
    <w:p>
      <w:pPr>
        <w:pStyle w:val="ListParagraph"/>
        <w:numPr>
          <w:ilvl w:val="0"/>
          <w:numId w:val="1"/>
        </w:numPr>
        <w:spacing w:after="80" w:line="300"/>
      </w:pPr>
      <w:r>
        <w:rPr>
          <w:sz w:val="22"/>
          <w:szCs w:val="22"/>
        </w:rPr>
        <w:t xml:space="preserve">Reading, writing and speaking are reported separately and are not averaged.</w:t>
      </w:r>
    </w:p>
    <w:p>
      <w:pPr>
        <w:pStyle w:val="ListParagraph"/>
        <w:numPr>
          <w:ilvl w:val="0"/>
          <w:numId w:val="1"/>
        </w:numPr>
        <w:spacing w:after="80" w:line="300"/>
      </w:pPr>
      <w:r>
        <w:rPr>
          <w:sz w:val="22"/>
          <w:szCs w:val="22"/>
        </w:rPr>
        <w:t xml:space="preserve">(If sampled) Speaking was assessed for _ of _ learners, chosen at random before the course</w:t>
      </w:r>
    </w:p>
    <w:p>
      <w:pPr>
        <w:spacing w:after="140" w:before="0" w:line="300"/>
      </w:pPr>
      <w:r>
        <w:rPr>
          <w:sz w:val="22"/>
          <w:szCs w:val="22"/>
        </w:rPr>
        <w:t xml:space="preserve">began, and the same learners were assessed again at the end.</w:t>
      </w:r>
    </w:p>
    <w:p>
      <w:pPr>
        <w:pStyle w:val="ListParagraph"/>
        <w:numPr>
          <w:ilvl w:val="0"/>
          <w:numId w:val="1"/>
        </w:numPr>
        <w:spacing w:after="80" w:line="300"/>
      </w:pPr>
      <w:r>
        <w:rPr>
          <w:sz w:val="22"/>
          <w:szCs w:val="22"/>
        </w:rPr>
        <w:t xml:space="preserve">(If anything was skipped) _ was not run, because _.</w:t>
      </w:r>
    </w:p>
    <w:p>
      <w:pPr>
        <w:spacing w:after="140" w:before="0" w:line="300"/>
      </w:pPr>
      <w:r>
        <w:rPr>
          <w:sz w:val="22"/>
          <w:szCs w:val="22"/>
        </w:rPr>
        <w:t xml:space="preserve">If the anchor totals moved as much as everything else, look at the administration before you believe the result — the two sittings were probably not run the same way.</w:t>
      </w:r>
    </w:p>
    <w:p>
      <w:pPr>
        <w:pBdr>
          <w:bottom w:val="single" w:color="B9B3A6" w:sz="4"/>
        </w:pBdr>
        <w:spacing w:after="180" w:before="60"/>
      </w:pPr>
    </w:p>
    <w:p>
      <w:pPr>
        <w:spacing w:after="140" w:before="0" w:line="300"/>
      </w:pPr>
      <w:r>
        <w:rPr>
          <w:sz w:val="22"/>
          <w:szCs w:val="22"/>
        </w:rPr>
        <w:t xml:space="preserve">---</w:t>
      </w:r>
    </w:p>
    <w:p>
      <w:r>
        <w:br w:type="page"/>
      </w:r>
    </w:p>
    <w:p>
      <w:pPr>
        <w:pStyle w:val="Heading1"/>
        <w:keepNext/>
        <w:spacing w:after="140" w:before="320"/>
      </w:pPr>
      <w:r>
        <w:rPr>
          <w:b/>
          <w:bCs/>
          <w:color w:val="1F3A5F"/>
          <w:sz w:val="36"/>
          <w:szCs w:val="36"/>
        </w:rPr>
        <w:t xml:space="preserve">4 · The learner profile sheet</w:t>
      </w:r>
    </w:p>
    <w:p>
      <w:pPr>
        <w:spacing w:after="140" w:before="0" w:line="300"/>
      </w:pPr>
      <w:r>
        <w:rPr>
          <w:sz w:val="22"/>
          <w:szCs w:val="22"/>
        </w:rPr>
        <w:t xml:space="preserve">One per learner. Given to them, not filed. Read it through with them — most learners at this level cannot read it alone, and that is fine.</w:t>
      </w:r>
    </w:p>
    <w:p>
      <w:pPr>
        <w:pStyle w:val="Heading2"/>
        <w:keepNext/>
        <w:spacing w:after="100" w:before="280"/>
      </w:pPr>
      <w:r>
        <w:rPr>
          <w:b/>
          <w:bCs/>
          <w:color w:val="7A3B69"/>
          <w:sz w:val="28"/>
          <w:szCs w:val="28"/>
        </w:rPr>
        <w:t xml:space="preserve">What I can do in English</w:t>
      </w:r>
    </w:p>
    <w:p>
      <w:pPr>
        <w:spacing w:after="140" w:before="0" w:line="300"/>
      </w:pPr>
      <w:r>
        <w:rPr>
          <w:sz w:val="22"/>
          <w:szCs w:val="22"/>
        </w:rPr>
        <w:t xml:space="preserve">Tick together. It is fine if some are not ticked. You will keep growing.</w:t>
      </w:r>
    </w:p>
    <w:p>
      <w:pPr>
        <w:spacing w:after="140" w:before="0" w:line="300"/>
      </w:pPr>
      <w:r>
        <w:rPr>
          <w:sz w:val="22"/>
          <w:szCs w:val="22"/>
        </w:rPr>
        <w:t xml:space="preserve">Listening and sounds ☐ I can hear the first sound in a word. ☐ I can hear the difference between two sounds.</w:t>
      </w:r>
    </w:p>
    <w:p>
      <w:pPr>
        <w:spacing w:after="140" w:before="0" w:line="300"/>
      </w:pPr>
      <w:r>
        <w:rPr>
          <w:sz w:val="22"/>
          <w:szCs w:val="22"/>
        </w:rPr>
        <w:t xml:space="preserve">Reading ☐ I know some letters. ☐ I can find my own name. ☐ I can read the words I · am · from · like. ☐ I can sound out short words. ☐ I can read a short sentence about someone. ☐ I can find what I need on a notice or a timetable.</w:t>
      </w:r>
    </w:p>
    <w:p>
      <w:pPr>
        <w:spacing w:after="140" w:before="0" w:line="300"/>
      </w:pPr>
      <w:r>
        <w:rPr>
          <w:sz w:val="22"/>
          <w:szCs w:val="22"/>
        </w:rPr>
        <w:t xml:space="preserve">Writing ☐ I can write my own name. ☐ I can copy a sentence. ☐ I can fill in a form with my name and my age. ☐ I can write true sentences about myself. ☐ I can write a short note to somebody.</w:t>
      </w:r>
    </w:p>
    <w:p>
      <w:pPr>
        <w:spacing w:after="140" w:before="0" w:line="300"/>
      </w:pPr>
      <w:r>
        <w:rPr>
          <w:sz w:val="22"/>
          <w:szCs w:val="22"/>
        </w:rPr>
        <w:t xml:space="preserve">Speaking ☐ I can say my name in English. ☐ I can say who I live with. ☐ I can say what I like. ☐ I can talk about a picture. ☐ I can answer questions about my day. ☐ I can talk about what I want to do next.</w:t>
      </w:r>
    </w:p>
    <w:p>
      <w:pPr>
        <w:pStyle w:val="Heading2"/>
        <w:keepNext/>
        <w:spacing w:after="100" w:before="280"/>
      </w:pPr>
      <w:r>
        <w:rPr>
          <w:b/>
          <w:bCs/>
          <w:color w:val="7A3B69"/>
          <w:sz w:val="28"/>
          <w:szCs w:val="28"/>
        </w:rPr>
        <w:t xml:space="preserve">My growth</w:t>
      </w:r>
    </w:p>
    <w:p>
      <w:pPr>
        <w:pStyle w:val="ListParagraph"/>
        <w:numPr>
          <w:ilvl w:val="0"/>
          <w:numId w:val="1"/>
        </w:numPr>
        <w:spacing w:after="80" w:line="300"/>
      </w:pPr>
      <w:r>
        <w:rPr>
          <w:sz w:val="22"/>
          <w:szCs w:val="22"/>
        </w:rPr>
        <w:t xml:space="preserve">At the start I could ____________________.</w:t>
      </w:r>
    </w:p>
    <w:p>
      <w:pPr>
        <w:pStyle w:val="ListParagraph"/>
        <w:numPr>
          <w:ilvl w:val="0"/>
          <w:numId w:val="1"/>
        </w:numPr>
        <w:spacing w:after="80" w:line="300"/>
      </w:pPr>
      <w:r>
        <w:rPr>
          <w:sz w:val="22"/>
          <w:szCs w:val="22"/>
        </w:rPr>
        <w:t xml:space="preserve">Now I can also ____________________.</w:t>
      </w:r>
    </w:p>
    <w:p>
      <w:pPr>
        <w:pStyle w:val="ListParagraph"/>
        <w:numPr>
          <w:ilvl w:val="0"/>
          <w:numId w:val="1"/>
        </w:numPr>
        <w:spacing w:after="80" w:line="300"/>
      </w:pPr>
      <w:r>
        <w:rPr>
          <w:sz w:val="22"/>
          <w:szCs w:val="22"/>
        </w:rPr>
        <w:t xml:space="preserve">One thing I want to get better at is ____________________.</w:t>
      </w:r>
    </w:p>
    <w:p>
      <w:pPr>
        <w:pStyle w:val="ListParagraph"/>
        <w:numPr>
          <w:ilvl w:val="0"/>
          <w:numId w:val="1"/>
        </w:numPr>
        <w:spacing w:after="80" w:line="300"/>
      </w:pPr>
      <w:r>
        <w:rPr>
          <w:sz w:val="22"/>
          <w:szCs w:val="22"/>
        </w:rPr>
        <w:t xml:space="preserve">I feel __________________ about learning English.</w:t>
      </w:r>
    </w:p>
    <w:p>
      <w:pPr>
        <w:spacing w:after="140" w:before="0" w:line="300"/>
      </w:pPr>
      <w:r>
        <w:rPr>
          <w:sz w:val="22"/>
          <w:szCs w:val="22"/>
        </w:rPr>
        <w:t xml:space="preserve">For the facilitator: fill the first two lines from the learner's own two sheets, in their words, not in levels. "At the start you could write your name. Now you can also write five sentences." Never show a learner a step number or a CEFR level — it means nothing to them and it can only discourage.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The English Check - Learning Bridge+ Cox’s Bazar - Amala</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2026-09-03T00:23:54.501Z</dcterms:created>
  <dcterms:modified xsi:type="dcterms:W3CDTF">2026-09-03T00:23:54.501Z</dcterms:modified>
</cp:coreProperties>
</file>

<file path=docProps/custom.xml><?xml version="1.0" encoding="utf-8"?>
<Properties xmlns="http://schemas.openxmlformats.org/officeDocument/2006/custom-properties" xmlns:vt="http://schemas.openxmlformats.org/officeDocument/2006/docPropsVTypes"/>
</file>