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 w:before="0"/>
      </w:pPr>
      <w:r>
        <w:drawing>
          <wp:inline distT="0" distB="0" distL="0" distR="0">
            <wp:extent cx="1428750" cy="733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0" cy="733425"/>
                    </a:xfrm>
                    <a:prstGeom prst="rect">
                      <a:avLst/>
                    </a:prstGeom>
                  </pic:spPr>
                </pic:pic>
              </a:graphicData>
            </a:graphic>
          </wp:inline>
        </w:drawing>
      </w:r>
    </w:p>
    <w:p>
      <w:pPr>
        <w:spacing w:after="20"/>
      </w:pPr>
      <w:r>
        <w:rPr>
          <w:b/>
          <w:bCs/>
          <w:color w:val="6E7A2E"/>
          <w:sz w:val="22"/>
          <w:szCs w:val="22"/>
        </w:rPr>
        <w:t xml:space="preserve">Learning Bridge+</w:t>
      </w:r>
    </w:p>
    <w:p>
      <w:pPr>
        <w:spacing w:after="60"/>
      </w:pPr>
      <w:r>
        <w:rPr>
          <w:b/>
          <w:bCs/>
          <w:color w:val="1F3A5F"/>
          <w:sz w:val="52"/>
          <w:szCs w:val="52"/>
        </w:rPr>
        <w:t xml:space="preserve">Coordinator Guide</w:t>
      </w:r>
    </w:p>
    <w:p>
      <w:pPr>
        <w:spacing w:after="60" w:before="0" w:line="300"/>
      </w:pPr>
      <w:r>
        <w:rPr>
          <w:b/>
          <w:bCs/>
          <w:color w:val="7A3B69"/>
          <w:sz w:val="28"/>
          <w:szCs w:val="28"/>
        </w:rPr>
        <w:t xml:space="preserve">Running the programme in the camps</w:t>
      </w:r>
    </w:p>
    <w:p>
      <w:pPr>
        <w:spacing w:after="20" w:before="0" w:line="300"/>
      </w:pPr>
      <w:r>
        <w:rPr>
          <w:color w:val="5A6473"/>
          <w:sz w:val="21"/>
          <w:szCs w:val="21"/>
        </w:rPr>
        <w:t xml:space="preserve">Learning Bridge+ (Cox's Bazar)  ·  a fully offline readiness programme for Rohingya youth</w:t>
      </w:r>
    </w:p>
    <w:p>
      <w:pPr>
        <w:spacing w:after="220" w:before="0" w:line="300"/>
      </w:pPr>
      <w:r>
        <w:rPr>
          <w:color w:val="5A6473"/>
          <w:sz w:val="21"/>
          <w:szCs w:val="21"/>
        </w:rPr>
        <w:t xml:space="preserve">Amala Education, remote technical consultant to the Norwegian Refugee Council (NRC)</w:t>
      </w:r>
    </w:p>
    <w:p>
      <w:pPr>
        <w:spacing w:after="140" w:before="0" w:line="300"/>
      </w:pPr>
      <w:r>
        <w:rPr>
          <w:sz w:val="22"/>
          <w:szCs w:val="22"/>
        </w:rPr>
        <w:t xml:space="preserve">This guide is for the NRC programme coordinator - the person who holds the programme together across sites. It explains what the programme is, who does what, how to set it up, and the 12-week rhythm you run each cohort through, including the two assessment points and Amala’s moderation. It is a companion to the Educator Guide, which is the facilitators’ complete manual: everything they deliver from is in that one document.</w:t>
      </w:r>
    </w:p>
    <w:p>
      <w:pPr>
        <w:pBdr>
          <w:bottom w:val="single" w:color="B9B3A6" w:sz="4"/>
        </w:pBdr>
        <w:spacing w:after="180" w:before="60"/>
      </w:pPr>
    </w:p>
    <w:p>
      <w:pPr>
        <w:pStyle w:val="Heading1"/>
        <w:keepNext/>
        <w:spacing w:after="140" w:before="320"/>
      </w:pPr>
      <w:r>
        <w:rPr>
          <w:b/>
          <w:bCs/>
          <w:color w:val="1F3A5F"/>
          <w:sz w:val="36"/>
          <w:szCs w:val="36"/>
        </w:rPr>
        <w:t xml:space="preserve">1. What this programme is</w:t>
      </w:r>
    </w:p>
    <w:p>
      <w:pPr>
        <w:spacing w:after="140" w:before="0" w:line="300"/>
      </w:pPr>
      <w:r>
        <w:rPr>
          <w:sz w:val="22"/>
          <w:szCs w:val="22"/>
        </w:rPr>
        <w:t xml:space="preserve">Learning Bridge+ (Cox’s Bazar) is a readiness bridge. It prepares Rohingya refugee youth - typically aged 14 to 24, at around Grade 6 of the Myanmar curriculum - to enter and sustain an accredited secondary education pathway. It keeps the components and competencies of Amala’s Learning Bridge programme, but delivery is rebuilt for this context: fully offline, in Community Based Learning Facilities (CBLFs), for a largely pre-literate cohort, under the protection realities of the camps.</w:t>
      </w:r>
    </w:p>
    <w:p>
      <w:pPr>
        <w:spacing w:after="140" w:before="0" w:line="300"/>
      </w:pPr>
      <w:r>
        <w:rPr>
          <w:sz w:val="22"/>
          <w:szCs w:val="22"/>
        </w:rPr>
        <w:t xml:space="preserve">It is the certificated Learning Bridge+ tier, so learners are formally assessed in two competencies to support the decision about whether they are ready to transition.</w:t>
      </w:r>
    </w:p>
    <w:p>
      <w:pPr>
        <w:keepNext/>
        <w:spacing w:after="60" w:before="180"/>
      </w:pPr>
      <w:r>
        <w:rPr>
          <w:b/>
          <w:bCs/>
          <w:color w:val="6E7A2E"/>
          <w:spacing w:val="24"/>
          <w:sz w:val="17"/>
          <w:szCs w:val="17"/>
        </w:rPr>
        <w:t xml:space="preserve">THE HEADLINE SUCCESS MEASURE</w:t>
      </w:r>
    </w:p>
    <w:p>
      <w:pPr>
        <w:spacing w:after="140" w:before="0" w:line="300"/>
      </w:pPr>
      <w:r>
        <w:rPr>
          <w:sz w:val="22"/>
          <w:szCs w:val="22"/>
        </w:rPr>
        <w:t xml:space="preserve">Agreed with NRC: at least 70% of learners who complete the programme demonstrate the competencies needed to enrol in the accredited secondary education pathway, as measured by the final assessment. Everything below serves that measure.</w:t>
      </w:r>
    </w:p>
    <w:p>
      <w:pPr>
        <w:pStyle w:val="Heading2"/>
        <w:keepNext/>
        <w:spacing w:after="100" w:before="280"/>
      </w:pPr>
      <w:r>
        <w:rPr>
          <w:b/>
          <w:bCs/>
          <w:color w:val="7A3B69"/>
          <w:sz w:val="28"/>
          <w:szCs w:val="28"/>
        </w:rPr>
        <w:t xml:space="preserve">Agency for positive change - what this is all for</w:t>
      </w:r>
    </w:p>
    <w:p>
      <w:pPr>
        <w:spacing w:after="140" w:before="0" w:line="300"/>
      </w:pPr>
      <w:r>
        <w:rPr>
          <w:sz w:val="22"/>
          <w:szCs w:val="22"/>
        </w:rPr>
        <w:t xml:space="preserve">Everything in this programme serves one outcome: that a young person leaves it with more agency for positive change than they arrived with - more ability and will to make informed, intentional decisions that improve their own life and contribute to their community. Readiness for accredited secondary education is the near-term form that agency takes here. It is the door this programme is trying to open, not the whole of what it is for.</w:t>
      </w:r>
    </w:p>
    <w:p>
      <w:pPr>
        <w:spacing w:after="140" w:before="0" w:line="300"/>
      </w:pPr>
      <w:r>
        <w:rPr>
          <w:sz w:val="22"/>
          <w:szCs w:val="22"/>
        </w:rPr>
        <w:t xml:space="preserve">Agency is hard-won in a camp, because so much of a young person's life is decided by other people. That is why this edition reframes goal-setting around what is genuinely within a learner's control, and why it never asks a learner to plan for futures that are currently blocked. The three taught components each take one part of the work - deciding and pursuing (Agency in Learning), being understood and being heard (English), and understanding a real challenge well enough to act on it (Research Project) - and mentoring is what holds the three together in one person's life across the twelve weeks. None of the four builds agency on its own; the programme is designed so that the same learner does all four at once.</w:t>
      </w:r>
    </w:p>
    <w:tbl>
      <w:tblPr>
        <w:tblW w:type="pct" w:w="100%"/>
        <w:tblBorders>
          <w:top w:val="none"/>
          <w:left w:val="single" w:color="7A3B69" w:sz="18"/>
          <w:bottom w:val="none"/>
          <w:right w:val="none"/>
          <w:insideH w:val="none"/>
          <w:insideV w:val="none"/>
        </w:tblBorders>
      </w:tblPr>
      <w:tblGrid>
        <w:gridCol w:w="9070"/>
      </w:tblGrid>
      <w:tr>
        <w:tc>
          <w:tcPr>
            <w:tcW w:type="dxa" w:w="9070"/>
            <w:tcMar>
              <w:top w:type="dxa" w:w="120"/>
              <w:left w:type="dxa" w:w="200"/>
              <w:bottom w:type="dxa" w:w="120"/>
              <w:right w:type="dxa" w:w="140"/>
            </w:tcMar>
          </w:tcPr>
          <w:p>
            <w:pPr>
              <w:spacing w:after="90"/>
            </w:pPr>
            <w:r>
              <w:rPr>
                <w:b/>
                <w:bCs/>
                <w:color w:val="7A3B69"/>
                <w:spacing w:val="24"/>
                <w:sz w:val="17"/>
                <w:szCs w:val="17"/>
              </w:rPr>
              <w:t xml:space="preserve">THE THREE INDICATORS OF AGENCY</w:t>
            </w:r>
          </w:p>
          <w:p>
            <w:pPr>
              <w:spacing w:after="90" w:before="0" w:line="300"/>
            </w:pPr>
            <w:r>
              <w:rPr>
                <w:sz w:val="21"/>
                <w:szCs w:val="21"/>
              </w:rPr>
              <w:t xml:space="preserve">Making impactful contributions to community</w:t>
            </w:r>
          </w:p>
          <w:p>
            <w:pPr>
              <w:spacing w:after="90" w:before="0" w:line="300"/>
            </w:pPr>
            <w:r>
              <w:rPr>
                <w:sz w:val="21"/>
                <w:szCs w:val="21"/>
              </w:rPr>
              <w:t xml:space="preserve">Control of and access to future pathways</w:t>
            </w:r>
          </w:p>
          <w:p>
            <w:pPr>
              <w:spacing w:after="0" w:before="0" w:line="300"/>
            </w:pPr>
            <w:r>
              <w:rPr>
                <w:sz w:val="21"/>
                <w:szCs w:val="21"/>
              </w:rPr>
              <w:t xml:space="preserve">Power over wellbeing and self-direction</w:t>
            </w:r>
          </w:p>
        </w:tc>
      </w:tr>
    </w:tbl>
    <w:p>
      <w:pPr>
        <w:keepNext/>
        <w:spacing w:after="60" w:before="180"/>
      </w:pPr>
      <w:r>
        <w:rPr>
          <w:b/>
          <w:bCs/>
          <w:color w:val="6E7A2E"/>
          <w:spacing w:val="24"/>
          <w:sz w:val="17"/>
          <w:szCs w:val="17"/>
        </w:rPr>
        <w:t xml:space="preserve">WHAT EACH COMPONENT CONTRIBUTES</w:t>
      </w:r>
    </w:p>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2687"/>
        <w:gridCol w:w="6382"/>
      </w:tblGrid>
      <w:tr>
        <w:trPr>
          <w:tblHeader/>
        </w:trPr>
        <w:tc>
          <w:tcPr>
            <w:tcW w:type="dxa" w:w="2687"/>
            <w:tcMar>
              <w:top w:type="dxa" w:w="70"/>
              <w:left w:type="dxa" w:w="130"/>
              <w:bottom w:type="dxa" w:w="70"/>
              <w:right w:type="dxa" w:w="130"/>
            </w:tcMar>
          </w:tcPr>
          <w:p>
            <w:pPr>
              <w:spacing w:line="260"/>
            </w:pPr>
            <w:r>
              <w:rPr>
                <w:b/>
                <w:bCs/>
                <w:color w:val="1F3A5F"/>
                <w:sz w:val="19"/>
                <w:szCs w:val="19"/>
              </w:rPr>
              <w:t xml:space="preserve">Component</w:t>
            </w:r>
          </w:p>
        </w:tc>
        <w:tc>
          <w:tcPr>
            <w:tcW w:type="dxa" w:w="6382"/>
            <w:tcMar>
              <w:top w:type="dxa" w:w="70"/>
              <w:left w:type="dxa" w:w="130"/>
              <w:bottom w:type="dxa" w:w="70"/>
              <w:right w:type="dxa" w:w="130"/>
            </w:tcMar>
          </w:tcPr>
          <w:p>
            <w:pPr>
              <w:spacing w:line="260"/>
            </w:pPr>
            <w:r>
              <w:rPr>
                <w:b/>
                <w:bCs/>
                <w:color w:val="1F3A5F"/>
                <w:sz w:val="19"/>
                <w:szCs w:val="19"/>
              </w:rPr>
              <w:t xml:space="preserve">What it builds, and which indicators</w:t>
            </w:r>
          </w:p>
        </w:tc>
      </w:tr>
      <w:tr>
        <w:tc>
          <w:tcPr>
            <w:tcW w:type="dxa" w:w="2687"/>
            <w:tcMar>
              <w:top w:type="dxa" w:w="70"/>
              <w:left w:type="dxa" w:w="130"/>
              <w:bottom w:type="dxa" w:w="70"/>
              <w:right w:type="dxa" w:w="130"/>
            </w:tcMar>
          </w:tcPr>
          <w:p>
            <w:pPr>
              <w:spacing w:line="260"/>
            </w:pPr>
            <w:r>
              <w:rPr>
                <w:b/>
                <w:bCs/>
                <w:color w:val="7A3B69"/>
                <w:sz w:val="19"/>
                <w:szCs w:val="19"/>
              </w:rPr>
              <w:t xml:space="preserve">Agency in Learning</w:t>
            </w:r>
          </w:p>
        </w:tc>
        <w:tc>
          <w:tcPr>
            <w:tcW w:type="dxa" w:w="6382"/>
            <w:tcMar>
              <w:top w:type="dxa" w:w="70"/>
              <w:left w:type="dxa" w:w="130"/>
              <w:bottom w:type="dxa" w:w="70"/>
              <w:right w:type="dxa" w:w="130"/>
            </w:tcMar>
          </w:tcPr>
          <w:p>
            <w:pPr>
              <w:spacing w:line="260"/>
            </w:pPr>
            <w:r>
              <w:rPr>
                <w:b w:val="false"/>
                <w:bCs w:val="false"/>
                <w:sz w:val="19"/>
                <w:szCs w:val="19"/>
              </w:rPr>
              <w:t xml:space="preserve">This is where a learner discovers that at least one thing - what they learn - is theirs to direct. They run a full cycle on a goal they chose: understanding themselves as a learner, setting the goal, planning and taking real steps, using feedback, and seeing how far they came. That is self-direction made concrete. It reaches into pathways because the learner leaves with a method they can point at any next step, and with evidence that their effort changed something - which is what makes a future feel actionable rather than assigned.</w:t>
            </w:r>
          </w:p>
          <w:p>
            <w:pPr>
              <w:spacing w:line="260"/>
            </w:pPr>
            <w:r>
              <w:rPr>
                <w:b w:val="false"/>
                <w:bCs w:val="false"/>
                <w:sz w:val="19"/>
                <w:szCs w:val="19"/>
              </w:rPr>
              <w:t xml:space="preserve"/>
            </w:r>
          </w:p>
          <w:p>
            <w:pPr>
              <w:spacing w:line="260"/>
            </w:pPr>
            <w:r>
              <w:rPr>
                <w:b w:val="false"/>
                <w:bCs w:val="false"/>
                <w:sz w:val="19"/>
                <w:szCs w:val="19"/>
              </w:rPr>
              <w:t xml:space="preserve">Indicators: Power over wellbeing and self-direction  ·  Control of and access to future pathways</w:t>
            </w:r>
          </w:p>
        </w:tc>
      </w:tr>
      <w:tr>
        <w:tc>
          <w:tcPr>
            <w:tcW w:type="dxa" w:w="2687"/>
            <w:tcMar>
              <w:top w:type="dxa" w:w="70"/>
              <w:left w:type="dxa" w:w="130"/>
              <w:bottom w:type="dxa" w:w="70"/>
              <w:right w:type="dxa" w:w="130"/>
            </w:tcMar>
          </w:tcPr>
          <w:p>
            <w:pPr>
              <w:spacing w:line="260"/>
            </w:pPr>
            <w:r>
              <w:rPr>
                <w:b/>
                <w:bCs/>
                <w:color w:val="7A3B69"/>
                <w:sz w:val="19"/>
                <w:szCs w:val="19"/>
              </w:rPr>
              <w:t xml:space="preserve">English Language Development</w:t>
            </w:r>
          </w:p>
        </w:tc>
        <w:tc>
          <w:tcPr>
            <w:tcW w:type="dxa" w:w="6382"/>
            <w:tcMar>
              <w:top w:type="dxa" w:w="70"/>
              <w:left w:type="dxa" w:w="130"/>
              <w:bottom w:type="dxa" w:w="70"/>
              <w:right w:type="dxa" w:w="130"/>
            </w:tcMar>
          </w:tcPr>
          <w:p>
            <w:pPr>
              <w:spacing w:line="260"/>
            </w:pPr>
            <w:r>
              <w:rPr>
                <w:b w:val="false"/>
                <w:bCs w:val="false"/>
                <w:sz w:val="19"/>
                <w:szCs w:val="19"/>
              </w:rPr>
              <w:t xml:space="preserve">Voice is the precondition for agency: you cannot act on a world you cannot be understood in. Starting from the sound of their own name, learners gain the English to say who they are, and the confidence to say it to someone new. That is pathways in the most literal sense - English below B1 is the specific barrier standing between this cohort and an accredited secondary place. It is self-direction because learners choose who to practise with and what to say about themselves, and it reaches into community because a learner who can introduce themselves and others can speak for people who cannot yet.</w:t>
            </w:r>
          </w:p>
          <w:p>
            <w:pPr>
              <w:spacing w:line="260"/>
            </w:pPr>
            <w:r>
              <w:rPr>
                <w:b w:val="false"/>
                <w:bCs w:val="false"/>
                <w:sz w:val="19"/>
                <w:szCs w:val="19"/>
              </w:rPr>
              <w:t xml:space="preserve"/>
            </w:r>
          </w:p>
          <w:p>
            <w:pPr>
              <w:spacing w:line="260"/>
            </w:pPr>
            <w:r>
              <w:rPr>
                <w:b w:val="false"/>
                <w:bCs w:val="false"/>
                <w:sz w:val="19"/>
                <w:szCs w:val="19"/>
              </w:rPr>
              <w:t xml:space="preserve">Indicators: Control of and access to future pathways  ·  Power over wellbeing and self-direction  ·  Making impactful contributions to community</w:t>
            </w:r>
          </w:p>
        </w:tc>
      </w:tr>
      <w:tr>
        <w:tc>
          <w:tcPr>
            <w:tcW w:type="dxa" w:w="2687"/>
            <w:tcMar>
              <w:top w:type="dxa" w:w="70"/>
              <w:left w:type="dxa" w:w="130"/>
              <w:bottom w:type="dxa" w:w="70"/>
              <w:right w:type="dxa" w:w="130"/>
            </w:tcMar>
          </w:tcPr>
          <w:p>
            <w:pPr>
              <w:spacing w:line="260"/>
            </w:pPr>
            <w:r>
              <w:rPr>
                <w:b/>
                <w:bCs/>
                <w:color w:val="7A3B69"/>
                <w:sz w:val="19"/>
                <w:szCs w:val="19"/>
              </w:rPr>
              <w:t xml:space="preserve">Research Project</w:t>
            </w:r>
          </w:p>
        </w:tc>
        <w:tc>
          <w:tcPr>
            <w:tcW w:type="dxa" w:w="6382"/>
            <w:tcMar>
              <w:top w:type="dxa" w:w="70"/>
              <w:left w:type="dxa" w:w="130"/>
              <w:bottom w:type="dxa" w:w="70"/>
              <w:right w:type="dxa" w:w="130"/>
            </w:tcMar>
          </w:tcPr>
          <w:p>
            <w:pPr>
              <w:spacing w:line="260"/>
            </w:pPr>
            <w:r>
              <w:rPr>
                <w:b w:val="false"/>
                <w:bCs w:val="false"/>
                <w:sz w:val="19"/>
                <w:szCs w:val="19"/>
              </w:rPr>
              <w:t xml:space="preserve">You cannot act well on a challenge you do not understand. Learners investigate something real about the place they live, and produce evidence-based insight they share with an audience they chose - which is itself a contribution to their community, not a rehearsal for one. It builds self-direction because it replaces "what people say" with "what we found out", and pathways because investigating is a transferable move: a learner who has done it once on the hills can do it on anything that matters to them next.</w:t>
            </w:r>
          </w:p>
          <w:p>
            <w:pPr>
              <w:spacing w:line="260"/>
            </w:pPr>
            <w:r>
              <w:rPr>
                <w:b w:val="false"/>
                <w:bCs w:val="false"/>
                <w:sz w:val="19"/>
                <w:szCs w:val="19"/>
              </w:rPr>
              <w:t xml:space="preserve"/>
            </w:r>
          </w:p>
          <w:p>
            <w:pPr>
              <w:spacing w:line="260"/>
            </w:pPr>
            <w:r>
              <w:rPr>
                <w:b w:val="false"/>
                <w:bCs w:val="false"/>
                <w:sz w:val="19"/>
                <w:szCs w:val="19"/>
              </w:rPr>
              <w:t xml:space="preserve">Indicators: Making impactful contributions to community  ·  Control of and access to future pathways  ·  Power over wellbeing and self-direction</w:t>
            </w:r>
          </w:p>
        </w:tc>
      </w:tr>
      <w:tr>
        <w:tc>
          <w:tcPr>
            <w:tcW w:type="dxa" w:w="2687"/>
            <w:tcMar>
              <w:top w:type="dxa" w:w="70"/>
              <w:left w:type="dxa" w:w="130"/>
              <w:bottom w:type="dxa" w:w="70"/>
              <w:right w:type="dxa" w:w="130"/>
            </w:tcMar>
          </w:tcPr>
          <w:p>
            <w:pPr>
              <w:spacing w:line="260"/>
            </w:pPr>
            <w:r>
              <w:rPr>
                <w:b/>
                <w:bCs/>
                <w:color w:val="7A3B69"/>
                <w:sz w:val="19"/>
                <w:szCs w:val="19"/>
              </w:rPr>
              <w:t xml:space="preserve">Mentoring and Wellbeing</w:t>
            </w:r>
          </w:p>
        </w:tc>
        <w:tc>
          <w:tcPr>
            <w:tcW w:type="dxa" w:w="6382"/>
            <w:tcMar>
              <w:top w:type="dxa" w:w="70"/>
              <w:left w:type="dxa" w:w="130"/>
              <w:bottom w:type="dxa" w:w="70"/>
              <w:right w:type="dxa" w:w="130"/>
            </w:tcMar>
          </w:tcPr>
          <w:p>
            <w:pPr>
              <w:spacing w:line="260"/>
            </w:pPr>
            <w:r>
              <w:rPr>
                <w:b w:val="false"/>
                <w:bCs w:val="false"/>
                <w:sz w:val="19"/>
                <w:szCs w:val="19"/>
              </w:rPr>
              <w:t xml:space="preserve">Mentoring is the only place all three indicators are held together, in one learner's life, across the whole twelve weeks. It is where the goal set in Agency in Learning stays alive between sessions, where a learner is helped to notice and name their own state rather than only endure it, where the skills they already use in camp life - caring for siblings, translating, resolving disputes - are surfaced and recognised as capability, and where the next step towards a pathway is kept honest and near-term. Without it the three taught components are three courses; with it they are one person's development.</w:t>
            </w:r>
          </w:p>
          <w:p>
            <w:pPr>
              <w:spacing w:line="260"/>
            </w:pPr>
            <w:r>
              <w:rPr>
                <w:b w:val="false"/>
                <w:bCs w:val="false"/>
                <w:sz w:val="19"/>
                <w:szCs w:val="19"/>
              </w:rPr>
              <w:t xml:space="preserve"/>
            </w:r>
          </w:p>
          <w:p>
            <w:pPr>
              <w:spacing w:line="260"/>
            </w:pPr>
            <w:r>
              <w:rPr>
                <w:b w:val="false"/>
                <w:bCs w:val="false"/>
                <w:sz w:val="19"/>
                <w:szCs w:val="19"/>
              </w:rPr>
              <w:t xml:space="preserve">Indicators: Power over wellbeing and self-direction  ·  Control of and access to future pathways  ·  Making impactful contributions to community</w:t>
            </w:r>
          </w:p>
        </w:tc>
      </w:tr>
    </w:tbl>
    <w:p>
      <w:pPr>
        <w:keepNext/>
        <w:spacing w:after="60" w:before="180"/>
      </w:pPr>
      <w:r>
        <w:rPr>
          <w:b/>
          <w:bCs/>
          <w:color w:val="6E7A2E"/>
          <w:spacing w:val="24"/>
          <w:sz w:val="17"/>
          <w:szCs w:val="17"/>
        </w:rPr>
        <w:t xml:space="preserve">HOW YOU SEE IT - AND HOW NOT TO TURN IT INTO ANOTHER TEST</w:t>
      </w:r>
    </w:p>
    <w:p>
      <w:pPr>
        <w:pStyle w:val="ListParagraph"/>
        <w:numPr>
          <w:ilvl w:val="0"/>
          <w:numId w:val="1"/>
        </w:numPr>
        <w:spacing w:after="80" w:line="300"/>
      </w:pPr>
      <w:r>
        <w:rPr>
          <w:sz w:val="22"/>
          <w:szCs w:val="22"/>
        </w:rPr>
        <w:t xml:space="preserve">The two graded competencies are the formal measure, but they are not the whole of it. Agency shows in things a scale does not capture: a learner who asks for help without being prompted, who picks a plan back up after a week indoors, who chooses to share when they were not going to, who speaks English to someone outside the learning space.</w:t>
      </w:r>
    </w:p>
    <w:p>
      <w:pPr>
        <w:pStyle w:val="ListParagraph"/>
        <w:numPr>
          <w:ilvl w:val="0"/>
          <w:numId w:val="1"/>
        </w:numPr>
        <w:spacing w:after="80" w:line="300"/>
      </w:pPr>
      <w:r>
        <w:rPr>
          <w:sz w:val="22"/>
          <w:szCs w:val="22"/>
        </w:rPr>
        <w:t xml:space="preserve">The learner's own growth self-check, marked once in the middle and once at the end, carries one plain question per indicator, answerable by drawing, marking or speaking. That is the record that works for a cohort that is largely not yet literate.</w:t>
      </w:r>
    </w:p>
    <w:p>
      <w:pPr>
        <w:pStyle w:val="ListParagraph"/>
        <w:numPr>
          <w:ilvl w:val="0"/>
          <w:numId w:val="1"/>
        </w:numPr>
        <w:spacing w:after="80" w:line="300"/>
      </w:pPr>
      <w:r>
        <w:rPr>
          <w:sz w:val="22"/>
          <w:szCs w:val="22"/>
        </w:rPr>
        <w:t xml:space="preserve">Mentors notice it first and notice it earliest, because they see the same learner across all three components. A light paper note of what a mentor saw is legitimate evidence, and it is often the strongest evidence there is.</w:t>
      </w:r>
    </w:p>
    <w:p>
      <w:pPr>
        <w:pStyle w:val="ListParagraph"/>
        <w:numPr>
          <w:ilvl w:val="0"/>
          <w:numId w:val="1"/>
        </w:numPr>
        <w:spacing w:after="80" w:line="300"/>
      </w:pPr>
      <w:r>
        <w:rPr>
          <w:sz w:val="22"/>
          <w:szCs w:val="22"/>
        </w:rPr>
        <w:t xml:space="preserve">Do not turn this into another thing to assess. Agency is what the programme is FOR; the two competency judgements are how it is graded. Recording movement in agency informs the readiness picture and NRC's reporting - it is not a third grade.</w:t>
      </w:r>
    </w:p>
    <w:p>
      <w:pPr>
        <w:pStyle w:val="Heading1"/>
        <w:keepNext/>
        <w:spacing w:after="140" w:before="320"/>
      </w:pPr>
      <w:r>
        <w:rPr>
          <w:b/>
          <w:bCs/>
          <w:color w:val="1F3A5F"/>
          <w:sz w:val="36"/>
          <w:szCs w:val="36"/>
        </w:rPr>
        <w:t xml:space="preserve">2. Who does what</w:t>
      </w:r>
    </w:p>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2687"/>
        <w:gridCol w:w="6382"/>
      </w:tblGrid>
      <w:tr>
        <w:trPr>
          <w:tblHeader/>
        </w:trPr>
        <w:tc>
          <w:tcPr>
            <w:tcW w:type="dxa" w:w="2687"/>
            <w:tcMar>
              <w:top w:type="dxa" w:w="70"/>
              <w:left w:type="dxa" w:w="130"/>
              <w:bottom w:type="dxa" w:w="70"/>
              <w:right w:type="dxa" w:w="130"/>
            </w:tcMar>
          </w:tcPr>
          <w:p>
            <w:pPr>
              <w:spacing w:line="260"/>
            </w:pPr>
            <w:r>
              <w:rPr>
                <w:b/>
                <w:bCs/>
                <w:color w:val="1F3A5F"/>
                <w:sz w:val="19"/>
                <w:szCs w:val="19"/>
              </w:rPr>
              <w:t xml:space="preserve">Role</w:t>
            </w:r>
          </w:p>
        </w:tc>
        <w:tc>
          <w:tcPr>
            <w:tcW w:type="dxa" w:w="6382"/>
            <w:tcMar>
              <w:top w:type="dxa" w:w="70"/>
              <w:left w:type="dxa" w:w="130"/>
              <w:bottom w:type="dxa" w:w="70"/>
              <w:right w:type="dxa" w:w="130"/>
            </w:tcMar>
          </w:tcPr>
          <w:p>
            <w:pPr>
              <w:spacing w:line="260"/>
            </w:pPr>
            <w:r>
              <w:rPr>
                <w:b/>
                <w:bCs/>
                <w:color w:val="1F3A5F"/>
                <w:sz w:val="19"/>
                <w:szCs w:val="19"/>
              </w:rPr>
              <w:t xml:space="preserve">Responsibility</w:t>
            </w:r>
          </w:p>
        </w:tc>
      </w:tr>
      <w:tr>
        <w:tc>
          <w:tcPr>
            <w:tcW w:type="dxa" w:w="2687"/>
            <w:tcMar>
              <w:top w:type="dxa" w:w="70"/>
              <w:left w:type="dxa" w:w="130"/>
              <w:bottom w:type="dxa" w:w="70"/>
              <w:right w:type="dxa" w:w="130"/>
            </w:tcMar>
          </w:tcPr>
          <w:p>
            <w:pPr>
              <w:spacing w:line="260"/>
            </w:pPr>
            <w:r>
              <w:rPr>
                <w:b/>
                <w:bCs/>
                <w:color w:val="7A3B69"/>
                <w:sz w:val="19"/>
                <w:szCs w:val="19"/>
              </w:rPr>
              <w:t xml:space="preserve">Amala</w:t>
            </w:r>
          </w:p>
        </w:tc>
        <w:tc>
          <w:tcPr>
            <w:tcW w:type="dxa" w:w="6382"/>
            <w:tcMar>
              <w:top w:type="dxa" w:w="70"/>
              <w:left w:type="dxa" w:w="130"/>
              <w:bottom w:type="dxa" w:w="70"/>
              <w:right w:type="dxa" w:w="130"/>
            </w:tcMar>
          </w:tcPr>
          <w:p>
            <w:pPr>
              <w:spacing w:line="260"/>
            </w:pPr>
            <w:r>
              <w:rPr>
                <w:b w:val="false"/>
                <w:bCs w:val="false"/>
                <w:sz w:val="19"/>
                <w:szCs w:val="19"/>
              </w:rPr>
              <w:t xml:space="preserve">Remote technical consultant. Contextualises the curriculum, supplies ready-made offline resources, trains your master educators and you (the coordinator), and moderates the moderators: after each assessment point, every master educator brings a case to a call with Amala. Amala does not train facilitators directly and does not deliver in the camps.</w:t>
            </w:r>
          </w:p>
        </w:tc>
      </w:tr>
      <w:tr>
        <w:tc>
          <w:tcPr>
            <w:tcW w:type="dxa" w:w="2687"/>
            <w:tcMar>
              <w:top w:type="dxa" w:w="70"/>
              <w:left w:type="dxa" w:w="130"/>
              <w:bottom w:type="dxa" w:w="70"/>
              <w:right w:type="dxa" w:w="130"/>
            </w:tcMar>
          </w:tcPr>
          <w:p>
            <w:pPr>
              <w:spacing w:line="260"/>
            </w:pPr>
            <w:r>
              <w:rPr>
                <w:b/>
                <w:bCs/>
                <w:color w:val="7A3B69"/>
                <w:sz w:val="19"/>
                <w:szCs w:val="19"/>
              </w:rPr>
              <w:t xml:space="preserve">You (coordinator)</w:t>
            </w:r>
          </w:p>
        </w:tc>
        <w:tc>
          <w:tcPr>
            <w:tcW w:type="dxa" w:w="6382"/>
            <w:tcMar>
              <w:top w:type="dxa" w:w="70"/>
              <w:left w:type="dxa" w:w="130"/>
              <w:bottom w:type="dxa" w:w="70"/>
              <w:right w:type="dxa" w:w="130"/>
            </w:tcMar>
          </w:tcPr>
          <w:p>
            <w:pPr>
              <w:spacing w:line="260"/>
            </w:pPr>
            <w:r>
              <w:rPr>
                <w:b w:val="false"/>
                <w:bCs w:val="false"/>
                <w:sz w:val="19"/>
                <w:szCs w:val="19"/>
              </w:rPr>
              <w:t xml:space="preserve">Lead implementation on the ground. Set up sites and materials, recruit and support facilitators, hold the calendar and the two assessment windows, keep safeguarding pathways live, and be the bridge between the camps and Amala.</w:t>
            </w:r>
          </w:p>
        </w:tc>
      </w:tr>
      <w:tr>
        <w:tc>
          <w:tcPr>
            <w:tcW w:type="dxa" w:w="2687"/>
            <w:tcMar>
              <w:top w:type="dxa" w:w="70"/>
              <w:left w:type="dxa" w:w="130"/>
              <w:bottom w:type="dxa" w:w="70"/>
              <w:right w:type="dxa" w:w="130"/>
            </w:tcMar>
          </w:tcPr>
          <w:p>
            <w:pPr>
              <w:spacing w:line="260"/>
            </w:pPr>
            <w:r>
              <w:rPr>
                <w:b/>
                <w:bCs/>
                <w:color w:val="7A3B69"/>
                <w:sz w:val="19"/>
                <w:szCs w:val="19"/>
              </w:rPr>
              <w:t xml:space="preserve">Master educators</w:t>
            </w:r>
          </w:p>
        </w:tc>
        <w:tc>
          <w:tcPr>
            <w:tcW w:type="dxa" w:w="6382"/>
            <w:tcMar>
              <w:top w:type="dxa" w:w="70"/>
              <w:left w:type="dxa" w:w="130"/>
              <w:bottom w:type="dxa" w:w="70"/>
              <w:right w:type="dxa" w:w="130"/>
            </w:tcMar>
          </w:tcPr>
          <w:p>
            <w:pPr>
              <w:spacing w:line="260"/>
            </w:pPr>
            <w:r>
              <w:rPr>
                <w:b w:val="false"/>
                <w:bCs w:val="false"/>
                <w:sz w:val="19"/>
                <w:szCs w:val="19"/>
              </w:rPr>
              <w:t xml:space="preserve">Your own experienced educators, qualified by Amala to train. They induct the facilitators before a cohort starts, using the Trainer Guide, and they run moderation with those facilitators at Week 6 and Week 12, using the Moderation Guide. Two of them can cover a cohort.</w:t>
            </w:r>
          </w:p>
        </w:tc>
      </w:tr>
      <w:tr>
        <w:tc>
          <w:tcPr>
            <w:tcW w:type="dxa" w:w="2687"/>
            <w:tcMar>
              <w:top w:type="dxa" w:w="70"/>
              <w:left w:type="dxa" w:w="130"/>
              <w:bottom w:type="dxa" w:w="70"/>
              <w:right w:type="dxa" w:w="130"/>
            </w:tcMar>
          </w:tcPr>
          <w:p>
            <w:pPr>
              <w:spacing w:line="260"/>
            </w:pPr>
            <w:r>
              <w:rPr>
                <w:b/>
                <w:bCs/>
                <w:color w:val="7A3B69"/>
                <w:sz w:val="19"/>
                <w:szCs w:val="19"/>
              </w:rPr>
              <w:t xml:space="preserve">Educators</w:t>
            </w:r>
          </w:p>
        </w:tc>
        <w:tc>
          <w:tcPr>
            <w:tcW w:type="dxa" w:w="6382"/>
            <w:tcMar>
              <w:top w:type="dxa" w:w="70"/>
              <w:left w:type="dxa" w:w="130"/>
              <w:bottom w:type="dxa" w:w="70"/>
              <w:right w:type="dxa" w:w="130"/>
            </w:tcMar>
          </w:tcPr>
          <w:p>
            <w:pPr>
              <w:spacing w:line="260"/>
            </w:pPr>
            <w:r>
              <w:rPr>
                <w:b w:val="false"/>
                <w:bCs w:val="false"/>
                <w:sz w:val="19"/>
                <w:szCs w:val="19"/>
              </w:rPr>
              <w:t xml:space="preserve">Deliver the programme. Each educator holds three functions - they facilitate the sessions, mentor learners 1:1, and assess the competencies. Everything they need is in the Educator Guide.</w:t>
            </w:r>
          </w:p>
        </w:tc>
      </w:tr>
      <w:tr>
        <w:tc>
          <w:tcPr>
            <w:tcW w:type="dxa" w:w="2687"/>
            <w:tcMar>
              <w:top w:type="dxa" w:w="70"/>
              <w:left w:type="dxa" w:w="130"/>
              <w:bottom w:type="dxa" w:w="70"/>
              <w:right w:type="dxa" w:w="130"/>
            </w:tcMar>
          </w:tcPr>
          <w:p>
            <w:pPr>
              <w:spacing w:line="260"/>
            </w:pPr>
            <w:r>
              <w:rPr>
                <w:b/>
                <w:bCs/>
                <w:color w:val="7A3B69"/>
                <w:sz w:val="19"/>
                <w:szCs w:val="19"/>
              </w:rPr>
              <w:t xml:space="preserve">NRC</w:t>
            </w:r>
          </w:p>
        </w:tc>
        <w:tc>
          <w:tcPr>
            <w:tcW w:type="dxa" w:w="6382"/>
            <w:tcMar>
              <w:top w:type="dxa" w:w="70"/>
              <w:left w:type="dxa" w:w="130"/>
              <w:bottom w:type="dxa" w:w="70"/>
              <w:right w:type="dxa" w:w="130"/>
            </w:tcMar>
          </w:tcPr>
          <w:p>
            <w:pPr>
              <w:spacing w:line="260"/>
            </w:pPr>
            <w:r>
              <w:rPr>
                <w:b w:val="false"/>
                <w:bCs w:val="false"/>
                <w:sz w:val="19"/>
                <w:szCs w:val="19"/>
              </w:rPr>
              <w:t xml:space="preserve">Owns the programme, employs and manages staff, and owns the Code of Conduct, safeguarding, and MHPSS/protection referral pathways.</w:t>
            </w:r>
          </w:p>
        </w:tc>
      </w:tr>
    </w:tbl>
    <w:p>
      <w:r>
        <w:br w:type="page"/>
      </w:r>
    </w:p>
    <w:p>
      <w:pPr>
        <w:pStyle w:val="Heading1"/>
        <w:keepNext/>
        <w:spacing w:after="140" w:before="320"/>
      </w:pPr>
      <w:r>
        <w:rPr>
          <w:b/>
          <w:bCs/>
          <w:color w:val="1F3A5F"/>
          <w:sz w:val="36"/>
          <w:szCs w:val="36"/>
        </w:rPr>
        <w:t xml:space="preserve">3. Setting up a cohort</w:t>
      </w:r>
    </w:p>
    <w:p>
      <w:pPr>
        <w:spacing w:after="140" w:before="0" w:line="300"/>
      </w:pPr>
      <w:r>
        <w:rPr>
          <w:sz w:val="22"/>
          <w:szCs w:val="22"/>
        </w:rPr>
        <w:t xml:space="preserve">Work through this before Week 1. Most of it you do once per site, then maintain.</w:t>
      </w:r>
    </w:p>
    <w:p>
      <w:pPr>
        <w:pStyle w:val="ListParagraph"/>
        <w:numPr>
          <w:ilvl w:val="0"/>
          <w:numId w:val="2"/>
        </w:numPr>
        <w:spacing w:after="80" w:line="300"/>
      </w:pPr>
      <w:r>
        <w:rPr>
          <w:sz w:val="22"/>
          <w:szCs w:val="22"/>
        </w:rPr>
        <w:t xml:space="preserve">Confirm the sites (CBLFs) and the space each offers. A CBLF is often a room in a teacher’s shelter - plan for no internet, and often no reliable power or learner devices.</w:t>
      </w:r>
    </w:p>
    <w:p>
      <w:pPr>
        <w:pStyle w:val="ListParagraph"/>
        <w:numPr>
          <w:ilvl w:val="0"/>
          <w:numId w:val="2"/>
        </w:numPr>
        <w:spacing w:after="80" w:line="300"/>
      </w:pPr>
      <w:r>
        <w:rPr>
          <w:sz w:val="22"/>
          <w:szCs w:val="22"/>
        </w:rPr>
        <w:t xml:space="preserve">Confirm facilitators. Plan for female facilitators and same-gender grouping wherever girls’ participation depends on it, and match language so learners can take part in the language they use at home. Keep mentor caseloads small enough that each learner is genuinely known.</w:t>
      </w:r>
    </w:p>
    <w:p>
      <w:pPr>
        <w:pStyle w:val="ListParagraph"/>
        <w:numPr>
          <w:ilvl w:val="0"/>
          <w:numId w:val="2"/>
        </w:numPr>
        <w:spacing w:after="80" w:line="300"/>
      </w:pPr>
      <w:r>
        <w:rPr>
          <w:sz w:val="22"/>
          <w:szCs w:val="22"/>
        </w:rPr>
        <w:t xml:space="preserve">Induct the facilitators before Week 1. Two inductions, about 7 hours in total, delivered by your master educators from the Trainer Guide: the programme and the Educator Guide, then assessment. Facilitators hold the portable training modules BEFORE induction - induction covers only what does not transfer. Book it far enough ahead that nobody starts a cohort uninducted, and see the Trainer Guide for what to do about a facilitator who joins mid-cohort.</w:t>
      </w:r>
    </w:p>
    <w:p>
      <w:pPr>
        <w:pStyle w:val="ListParagraph"/>
        <w:numPr>
          <w:ilvl w:val="0"/>
          <w:numId w:val="2"/>
        </w:numPr>
        <w:spacing w:after="80" w:line="300"/>
      </w:pPr>
      <w:r>
        <w:rPr>
          <w:sz w:val="22"/>
          <w:szCs w:val="22"/>
        </w:rPr>
        <w:t xml:space="preserve">Distribute the offline pack. Every resource is supplied ready-made and editable, distributed physically by USB or hard drive. The Educator Guide is the single document a facilitator delivers from - it carries the unit plans, the learner books, the cards and the assessment records inside it - with the picture-card PDF alongside on the USB.</w:t>
      </w:r>
    </w:p>
    <w:p>
      <w:pPr>
        <w:pStyle w:val="ListParagraph"/>
        <w:numPr>
          <w:ilvl w:val="0"/>
          <w:numId w:val="2"/>
        </w:numPr>
        <w:spacing w:after="80" w:line="300"/>
      </w:pPr>
      <w:r>
        <w:rPr>
          <w:sz w:val="22"/>
          <w:szCs w:val="22"/>
        </w:rPr>
        <w:t xml:space="preserve">Agree with each site how the learner books will reach learners: one printed book each is best, one shared between two or three works, and a single displayed copy with learners using notebooks is the floor. The books carry the teaching and the worked examples, so what matters is that every learner can SEE them - not that every learner owns one. The books are editable Word files, so pages can be cut before printing if paper is short.</w:t>
      </w:r>
    </w:p>
    <w:p>
      <w:pPr>
        <w:pStyle w:val="ListParagraph"/>
        <w:numPr>
          <w:ilvl w:val="0"/>
          <w:numId w:val="2"/>
        </w:numPr>
        <w:spacing w:after="80" w:line="300"/>
      </w:pPr>
      <w:r>
        <w:rPr>
          <w:sz w:val="22"/>
          <w:szCs w:val="22"/>
        </w:rPr>
        <w:t xml:space="preserve">Make the safeguarding pathway concrete at each site. Before any facilitator takes a mentoring caseload, make sure they know NRC’s Code of Conduct and the camp MHPSS and protection referral pathway - who to hand a concern to, and how.</w:t>
      </w:r>
    </w:p>
    <w:p>
      <w:pPr>
        <w:pStyle w:val="ListParagraph"/>
        <w:numPr>
          <w:ilvl w:val="0"/>
          <w:numId w:val="2"/>
        </w:numPr>
        <w:spacing w:after="80" w:line="300"/>
      </w:pPr>
      <w:r>
        <w:rPr>
          <w:sz w:val="22"/>
          <w:szCs w:val="22"/>
        </w:rPr>
        <w:t xml:space="preserve">Run diagnostic intake. Place each learner, check English proficiency where needed (expect the cohort to be below B1, with a range of literacy levels), and pair each learner with a mentor.</w:t>
      </w:r>
    </w:p>
    <w:p>
      <w:pPr>
        <w:pStyle w:val="ListParagraph"/>
        <w:numPr>
          <w:ilvl w:val="0"/>
          <w:numId w:val="2"/>
        </w:numPr>
        <w:spacing w:after="80" w:line="300"/>
      </w:pPr>
      <w:r>
        <w:rPr>
          <w:sz w:val="22"/>
          <w:szCs w:val="22"/>
        </w:rPr>
        <w:t xml:space="preserve">Print and sit the English Check BASELINE in the first session, before any English teaching starts. One paper per learner, the whole class together, about 45 minutes. Nothing is read out and nothing has to be prepared. The same paper is sat again as the ENDLINE in the final week, and comparing the two is what shows whether English improved. You keep the class spreadsheet; the facilitator gives you raw scores and it works out the levels.</w:t>
      </w:r>
    </w:p>
    <w:p>
      <w:pPr>
        <w:pStyle w:val="ListParagraph"/>
        <w:numPr>
          <w:ilvl w:val="0"/>
          <w:numId w:val="2"/>
        </w:numPr>
        <w:spacing w:after="80" w:line="300"/>
      </w:pPr>
      <w:r>
        <w:rPr>
          <w:sz w:val="22"/>
          <w:szCs w:val="22"/>
        </w:rPr>
        <w:t xml:space="preserve">Plan the closing showcase early. The programme ends with ONE shared event in the last week, not three separate ones: learners present their research, show their "My Name, My Voice" card, and name one way they have grown - and each learner invites at least one person themselves. You need a space that can hold guests, a date fixed early enough for invitations, and the guest arrangements cleared against NRC’s Code of Conduct. Alongside the people learners invite themselves, agree with your sites who else should be there: camp committee members, majhis, imams, teachers, NRC staff, and anyone working on the hills the research is about. The research is about a shared problem, and the people who could act on it should hear it. Confirm the same-gender seating and grouping plan BEFORE invitations go out.</w:t>
      </w:r>
    </w:p>
    <w:p>
      <w:pPr>
        <w:pStyle w:val="ListParagraph"/>
        <w:numPr>
          <w:ilvl w:val="0"/>
          <w:numId w:val="2"/>
        </w:numPr>
        <w:spacing w:after="80" w:line="300"/>
      </w:pPr>
      <w:r>
        <w:rPr>
          <w:sz w:val="22"/>
          <w:szCs w:val="22"/>
        </w:rPr>
        <w:t xml:space="preserve">Decide whether your sites will offer the optional significant adult meeting - a three-way conversation between a mentor, a learner, and one adult the learner chooses, best placed between Weeks 7 and 11. It is the fastest way to make a learner’s growth visible to the people whose belief shapes what happens next, and it is genuinely demanding to organise. Run it for some learners and not others if that is what you can manage. Do not run it where there is an open protection concern. Full guidance is in the Educator Guide, Part 2.3.</w:t>
      </w:r>
    </w:p>
    <w:p>
      <w:pPr>
        <w:pStyle w:val="Heading1"/>
        <w:keepNext/>
        <w:spacing w:after="140" w:before="320"/>
      </w:pPr>
      <w:r>
        <w:rPr>
          <w:b/>
          <w:bCs/>
          <w:color w:val="1F3A5F"/>
          <w:sz w:val="36"/>
          <w:szCs w:val="36"/>
        </w:rPr>
        <w:t xml:space="preserve">4. The programme structure and the 12-week rhythm</w:t>
      </w:r>
    </w:p>
    <w:p>
      <w:pPr>
        <w:spacing w:after="140" w:before="0" w:line="300"/>
      </w:pPr>
      <w:r>
        <w:rPr>
          <w:sz w:val="22"/>
          <w:szCs w:val="22"/>
        </w:rPr>
        <w:t xml:space="preserve">The programme has three taught components plus ongoing mentoring, running side by side across the same weeks.</w:t>
      </w:r>
    </w:p>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2687"/>
        <w:gridCol w:w="6382"/>
      </w:tblGrid>
      <w:tr>
        <w:trPr>
          <w:tblHeader/>
        </w:trPr>
        <w:tc>
          <w:tcPr>
            <w:tcW w:type="dxa" w:w="2687"/>
            <w:tcMar>
              <w:top w:type="dxa" w:w="70"/>
              <w:left w:type="dxa" w:w="130"/>
              <w:bottom w:type="dxa" w:w="70"/>
              <w:right w:type="dxa" w:w="130"/>
            </w:tcMar>
          </w:tcPr>
          <w:p>
            <w:pPr>
              <w:spacing w:line="260"/>
            </w:pPr>
            <w:r>
              <w:rPr>
                <w:b/>
                <w:bCs/>
                <w:color w:val="1F3A5F"/>
                <w:sz w:val="19"/>
                <w:szCs w:val="19"/>
              </w:rPr>
              <w:t xml:space="preserve">Component</w:t>
            </w:r>
          </w:p>
        </w:tc>
        <w:tc>
          <w:tcPr>
            <w:tcW w:type="dxa" w:w="6382"/>
            <w:tcMar>
              <w:top w:type="dxa" w:w="70"/>
              <w:left w:type="dxa" w:w="130"/>
              <w:bottom w:type="dxa" w:w="70"/>
              <w:right w:type="dxa" w:w="130"/>
            </w:tcMar>
          </w:tcPr>
          <w:p>
            <w:pPr>
              <w:spacing w:line="260"/>
            </w:pPr>
            <w:r>
              <w:rPr>
                <w:b/>
                <w:bCs/>
                <w:color w:val="1F3A5F"/>
                <w:sz w:val="19"/>
                <w:szCs w:val="19"/>
              </w:rPr>
              <w:t xml:space="preserve">Hours and cadence</w:t>
            </w:r>
          </w:p>
        </w:tc>
      </w:tr>
      <w:tr>
        <w:tc>
          <w:tcPr>
            <w:tcW w:type="dxa" w:w="2687"/>
            <w:tcMar>
              <w:top w:type="dxa" w:w="70"/>
              <w:left w:type="dxa" w:w="130"/>
              <w:bottom w:type="dxa" w:w="70"/>
              <w:right w:type="dxa" w:w="130"/>
            </w:tcMar>
          </w:tcPr>
          <w:p>
            <w:pPr>
              <w:spacing w:line="260"/>
            </w:pPr>
            <w:r>
              <w:rPr>
                <w:b/>
                <w:bCs/>
                <w:color w:val="7A3B69"/>
                <w:sz w:val="19"/>
                <w:szCs w:val="19"/>
              </w:rPr>
              <w:t xml:space="preserve">Agency in Learning</w:t>
            </w:r>
          </w:p>
        </w:tc>
        <w:tc>
          <w:tcPr>
            <w:tcW w:type="dxa" w:w="6382"/>
            <w:tcMar>
              <w:top w:type="dxa" w:w="70"/>
              <w:left w:type="dxa" w:w="130"/>
              <w:bottom w:type="dxa" w:w="70"/>
              <w:right w:type="dxa" w:w="130"/>
            </w:tcMar>
          </w:tcPr>
          <w:p>
            <w:pPr>
              <w:spacing w:line="260"/>
            </w:pPr>
            <w:r>
              <w:rPr>
                <w:b w:val="false"/>
                <w:bCs w:val="false"/>
                <w:sz w:val="19"/>
                <w:szCs w:val="19"/>
              </w:rPr>
              <w:t xml:space="preserve">About 50 hours · 3h in-person + 2h independent per week. Develops Set and Pursue Goals (assessed).</w:t>
            </w:r>
          </w:p>
        </w:tc>
      </w:tr>
      <w:tr>
        <w:tc>
          <w:tcPr>
            <w:tcW w:type="dxa" w:w="2687"/>
            <w:tcMar>
              <w:top w:type="dxa" w:w="70"/>
              <w:left w:type="dxa" w:w="130"/>
              <w:bottom w:type="dxa" w:w="70"/>
              <w:right w:type="dxa" w:w="130"/>
            </w:tcMar>
          </w:tcPr>
          <w:p>
            <w:pPr>
              <w:spacing w:line="260"/>
            </w:pPr>
            <w:r>
              <w:rPr>
                <w:b/>
                <w:bCs/>
                <w:color w:val="7A3B69"/>
                <w:sz w:val="19"/>
                <w:szCs w:val="19"/>
              </w:rPr>
              <w:t xml:space="preserve">Research Project</w:t>
            </w:r>
          </w:p>
        </w:tc>
        <w:tc>
          <w:tcPr>
            <w:tcW w:type="dxa" w:w="6382"/>
            <w:tcMar>
              <w:top w:type="dxa" w:w="70"/>
              <w:left w:type="dxa" w:w="130"/>
              <w:bottom w:type="dxa" w:w="70"/>
              <w:right w:type="dxa" w:w="130"/>
            </w:tcMar>
          </w:tcPr>
          <w:p>
            <w:pPr>
              <w:spacing w:line="260"/>
            </w:pPr>
            <w:r>
              <w:rPr>
                <w:b w:val="false"/>
                <w:bCs w:val="false"/>
                <w:sz w:val="19"/>
                <w:szCs w:val="19"/>
              </w:rPr>
              <w:t xml:space="preserve">About 50 hours · 3h in-person + 2h independent per week. Develops Investigate Real World Issues (assessed).</w:t>
            </w:r>
          </w:p>
        </w:tc>
      </w:tr>
      <w:tr>
        <w:tc>
          <w:tcPr>
            <w:tcW w:type="dxa" w:w="2687"/>
            <w:tcMar>
              <w:top w:type="dxa" w:w="70"/>
              <w:left w:type="dxa" w:w="130"/>
              <w:bottom w:type="dxa" w:w="70"/>
              <w:right w:type="dxa" w:w="130"/>
            </w:tcMar>
          </w:tcPr>
          <w:p>
            <w:pPr>
              <w:spacing w:line="260"/>
            </w:pPr>
            <w:r>
              <w:rPr>
                <w:b/>
                <w:bCs/>
                <w:color w:val="7A3B69"/>
                <w:sz w:val="19"/>
                <w:szCs w:val="19"/>
              </w:rPr>
              <w:t xml:space="preserve">English Language Development</w:t>
            </w:r>
          </w:p>
        </w:tc>
        <w:tc>
          <w:tcPr>
            <w:tcW w:type="dxa" w:w="6382"/>
            <w:tcMar>
              <w:top w:type="dxa" w:w="70"/>
              <w:left w:type="dxa" w:w="130"/>
              <w:bottom w:type="dxa" w:w="70"/>
              <w:right w:type="dxa" w:w="130"/>
            </w:tcMar>
          </w:tcPr>
          <w:p>
            <w:pPr>
              <w:spacing w:line="260"/>
            </w:pPr>
            <w:r>
              <w:rPr>
                <w:b w:val="false"/>
                <w:bCs w:val="false"/>
                <w:sz w:val="19"/>
                <w:szCs w:val="19"/>
              </w:rPr>
              <w:t xml:space="preserve">About 50 hours · 3h in-person + 2h independent per week. Compulsory in this edition; assessed formatively against A1 Can-Do outcomes, not one of the two graded competencies. Progress is also measured by the English Check - a baseline paper in the first session and an endline in the final week, reported as Pre-A1/A1/A2/B1 for reading, writing and (optionally) speaking.</w:t>
            </w:r>
          </w:p>
        </w:tc>
      </w:tr>
      <w:tr>
        <w:tc>
          <w:tcPr>
            <w:tcW w:type="dxa" w:w="2687"/>
            <w:tcMar>
              <w:top w:type="dxa" w:w="70"/>
              <w:left w:type="dxa" w:w="130"/>
              <w:bottom w:type="dxa" w:w="70"/>
              <w:right w:type="dxa" w:w="130"/>
            </w:tcMar>
          </w:tcPr>
          <w:p>
            <w:pPr>
              <w:spacing w:line="260"/>
            </w:pPr>
            <w:r>
              <w:rPr>
                <w:b/>
                <w:bCs/>
                <w:color w:val="7A3B69"/>
                <w:sz w:val="19"/>
                <w:szCs w:val="19"/>
              </w:rPr>
              <w:t xml:space="preserve">Mentoring and Wellbeing</w:t>
            </w:r>
          </w:p>
        </w:tc>
        <w:tc>
          <w:tcPr>
            <w:tcW w:type="dxa" w:w="6382"/>
            <w:tcMar>
              <w:top w:type="dxa" w:w="70"/>
              <w:left w:type="dxa" w:w="130"/>
              <w:bottom w:type="dxa" w:w="70"/>
              <w:right w:type="dxa" w:w="130"/>
            </w:tcMar>
          </w:tcPr>
          <w:p>
            <w:pPr>
              <w:spacing w:line="260"/>
            </w:pPr>
            <w:r>
              <w:rPr>
                <w:b w:val="false"/>
                <w:bCs w:val="false"/>
                <w:sz w:val="19"/>
                <w:szCs w:val="19"/>
              </w:rPr>
              <w:t xml:space="preserve">Ongoing · short 1:1 or small-group conversations folded into the weekly in-person time. Not a fixed block of hours.</w:t>
            </w:r>
          </w:p>
        </w:tc>
      </w:tr>
    </w:tbl>
    <w:p>
      <w:pPr>
        <w:spacing w:after="140" w:before="0" w:line="300"/>
      </w:pPr>
      <w:r>
        <w:rPr>
          <w:sz w:val="22"/>
          <w:szCs w:val="22"/>
        </w:rPr>
        <w:t xml:space="preserve">All three taught components run side by side across the same 10–12 weeks. At 3 hours in-person and 2 hours independent each, a full week is about 9 hours in-person and 6 hours of independent tasks (done at home between sessions), with mentoring folded into the in-person time - around 150 hours of taught learning in total.</w:t>
      </w:r>
    </w:p>
    <w:p>
      <w:pPr>
        <w:pStyle w:val="Heading2"/>
        <w:keepNext/>
        <w:spacing w:after="100" w:before="280"/>
      </w:pPr>
      <w:r>
        <w:rPr>
          <w:b/>
          <w:bCs/>
          <w:color w:val="7A3B69"/>
          <w:sz w:val="28"/>
          <w:szCs w:val="28"/>
        </w:rPr>
        <w:t xml:space="preserve">What a week could look like</w:t>
      </w:r>
    </w:p>
    <w:p>
      <w:pPr>
        <w:spacing w:after="140" w:before="0" w:line="300"/>
      </w:pPr>
      <w:r>
        <w:rPr>
          <w:sz w:val="22"/>
          <w:szCs w:val="22"/>
        </w:rPr>
        <w:t xml:space="preserve">The simplest way to place the hours is three learning days a week: three hours with the educator each day - one hour per component - and about two hours of independent work at home before the next day. Mentoring check-ins happen inside the in-person time.</w:t>
      </w:r>
    </w:p>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1427"/>
        <w:gridCol w:w="3947"/>
        <w:gridCol w:w="3695"/>
      </w:tblGrid>
      <w:tr>
        <w:trPr>
          <w:tblHeader/>
        </w:trPr>
        <w:tc>
          <w:tcPr>
            <w:tcW w:type="dxa" w:w="1427"/>
            <w:tcMar>
              <w:top w:type="dxa" w:w="70"/>
              <w:left w:type="dxa" w:w="130"/>
              <w:bottom w:type="dxa" w:w="70"/>
              <w:right w:type="dxa" w:w="130"/>
            </w:tcMar>
          </w:tcPr>
          <w:p>
            <w:pPr>
              <w:spacing w:line="260"/>
            </w:pPr>
            <w:r>
              <w:rPr>
                <w:b/>
                <w:bCs/>
                <w:color w:val="1F3A5F"/>
                <w:sz w:val="19"/>
                <w:szCs w:val="19"/>
              </w:rPr>
              <w:t xml:space="preserve">Learning day</w:t>
            </w:r>
          </w:p>
        </w:tc>
        <w:tc>
          <w:tcPr>
            <w:tcW w:type="dxa" w:w="3947"/>
            <w:tcMar>
              <w:top w:type="dxa" w:w="70"/>
              <w:left w:type="dxa" w:w="130"/>
              <w:bottom w:type="dxa" w:w="70"/>
              <w:right w:type="dxa" w:w="130"/>
            </w:tcMar>
          </w:tcPr>
          <w:p>
            <w:pPr>
              <w:spacing w:line="260"/>
            </w:pPr>
            <w:r>
              <w:rPr>
                <w:b/>
                <w:bCs/>
                <w:color w:val="1F3A5F"/>
                <w:sz w:val="19"/>
                <w:szCs w:val="19"/>
              </w:rPr>
              <w:t xml:space="preserve">With the educator, in the CBLF - 3 hours</w:t>
            </w:r>
          </w:p>
        </w:tc>
        <w:tc>
          <w:tcPr>
            <w:tcW w:type="dxa" w:w="3695"/>
            <w:tcMar>
              <w:top w:type="dxa" w:w="70"/>
              <w:left w:type="dxa" w:w="130"/>
              <w:bottom w:type="dxa" w:w="70"/>
              <w:right w:type="dxa" w:w="130"/>
            </w:tcMar>
          </w:tcPr>
          <w:p>
            <w:pPr>
              <w:spacing w:line="260"/>
            </w:pPr>
            <w:r>
              <w:rPr>
                <w:b/>
                <w:bCs/>
                <w:color w:val="1F3A5F"/>
                <w:sz w:val="19"/>
                <w:szCs w:val="19"/>
              </w:rPr>
              <w:t xml:space="preserve">At home before the next day - about 2 hours</w:t>
            </w:r>
          </w:p>
        </w:tc>
      </w:tr>
      <w:tr>
        <w:tc>
          <w:tcPr>
            <w:tcW w:type="dxa" w:w="1427"/>
            <w:tcMar>
              <w:top w:type="dxa" w:w="70"/>
              <w:left w:type="dxa" w:w="130"/>
              <w:bottom w:type="dxa" w:w="70"/>
              <w:right w:type="dxa" w:w="130"/>
            </w:tcMar>
          </w:tcPr>
          <w:p>
            <w:pPr>
              <w:spacing w:line="260"/>
            </w:pPr>
            <w:r>
              <w:rPr>
                <w:b/>
                <w:bCs/>
                <w:color w:val="7A3B69"/>
                <w:sz w:val="19"/>
                <w:szCs w:val="19"/>
              </w:rPr>
              <w:t xml:space="preserve">Day 1</w:t>
            </w:r>
          </w:p>
        </w:tc>
        <w:tc>
          <w:tcPr>
            <w:tcW w:type="dxa" w:w="3947"/>
            <w:tcMar>
              <w:top w:type="dxa" w:w="70"/>
              <w:left w:type="dxa" w:w="130"/>
              <w:bottom w:type="dxa" w:w="70"/>
              <w:right w:type="dxa" w:w="130"/>
            </w:tcMar>
          </w:tcPr>
          <w:p>
            <w:pPr>
              <w:spacing w:line="260"/>
            </w:pPr>
            <w:r>
              <w:rPr>
                <w:b w:val="false"/>
                <w:bCs w:val="false"/>
                <w:sz w:val="19"/>
                <w:szCs w:val="19"/>
              </w:rPr>
              <w:t xml:space="preserve">Hour 1 - Agency in Learning</w:t>
            </w:r>
          </w:p>
          <w:p>
            <w:pPr>
              <w:spacing w:line="260"/>
            </w:pPr>
            <w:r>
              <w:rPr>
                <w:b w:val="false"/>
                <w:bCs w:val="false"/>
                <w:sz w:val="19"/>
                <w:szCs w:val="19"/>
              </w:rPr>
              <w:t xml:space="preserve">Hour 2 - English</w:t>
            </w:r>
          </w:p>
          <w:p>
            <w:pPr>
              <w:spacing w:line="260"/>
            </w:pPr>
            <w:r>
              <w:rPr>
                <w:b w:val="false"/>
                <w:bCs w:val="false"/>
                <w:sz w:val="19"/>
                <w:szCs w:val="19"/>
              </w:rPr>
              <w:t xml:space="preserve">Hour 3 - Research Project</w:t>
            </w:r>
          </w:p>
        </w:tc>
        <w:tc>
          <w:tcPr>
            <w:tcW w:type="dxa" w:w="3695"/>
            <w:tcMar>
              <w:top w:type="dxa" w:w="70"/>
              <w:left w:type="dxa" w:w="130"/>
              <w:bottom w:type="dxa" w:w="70"/>
              <w:right w:type="dxa" w:w="130"/>
            </w:tcMar>
          </w:tcPr>
          <w:p>
            <w:pPr>
              <w:spacing w:line="260"/>
            </w:pPr>
            <w:r>
              <w:rPr>
                <w:b w:val="false"/>
                <w:bCs w:val="false"/>
                <w:color w:val="5A6473"/>
                <w:sz w:val="19"/>
                <w:szCs w:val="19"/>
              </w:rPr>
              <w:t xml:space="preserve">about 40 min - take one step towards your goal, and mark your learning book</w:t>
            </w:r>
          </w:p>
          <w:p>
            <w:pPr>
              <w:spacing w:line="260"/>
            </w:pPr>
            <w:r>
              <w:rPr>
                <w:b w:val="false"/>
                <w:bCs w:val="false"/>
                <w:color w:val="5A6473"/>
                <w:sz w:val="19"/>
                <w:szCs w:val="19"/>
              </w:rPr>
              <w:t xml:space="preserve">about 40 min - practise your English with someone at home</w:t>
            </w:r>
          </w:p>
          <w:p>
            <w:pPr>
              <w:spacing w:line="260"/>
            </w:pPr>
            <w:r>
              <w:rPr>
                <w:b w:val="false"/>
                <w:bCs w:val="false"/>
                <w:color w:val="5A6473"/>
                <w:sz w:val="19"/>
                <w:szCs w:val="19"/>
              </w:rPr>
              <w:t xml:space="preserve">about 40 min - notice or gather one piece of evidence for our question</w:t>
            </w:r>
          </w:p>
        </w:tc>
      </w:tr>
      <w:tr>
        <w:tc>
          <w:tcPr>
            <w:tcW w:type="dxa" w:w="1427"/>
            <w:tcMar>
              <w:top w:type="dxa" w:w="70"/>
              <w:left w:type="dxa" w:w="130"/>
              <w:bottom w:type="dxa" w:w="70"/>
              <w:right w:type="dxa" w:w="130"/>
            </w:tcMar>
          </w:tcPr>
          <w:p>
            <w:pPr>
              <w:spacing w:line="260"/>
            </w:pPr>
            <w:r>
              <w:rPr>
                <w:b/>
                <w:bCs/>
                <w:color w:val="7A3B69"/>
                <w:sz w:val="19"/>
                <w:szCs w:val="19"/>
              </w:rPr>
              <w:t xml:space="preserve">Day 2</w:t>
            </w:r>
          </w:p>
        </w:tc>
        <w:tc>
          <w:tcPr>
            <w:tcW w:type="dxa" w:w="3947"/>
            <w:tcMar>
              <w:top w:type="dxa" w:w="70"/>
              <w:left w:type="dxa" w:w="130"/>
              <w:bottom w:type="dxa" w:w="70"/>
              <w:right w:type="dxa" w:w="130"/>
            </w:tcMar>
          </w:tcPr>
          <w:p>
            <w:pPr>
              <w:spacing w:line="260"/>
            </w:pPr>
            <w:r>
              <w:rPr>
                <w:b w:val="false"/>
                <w:bCs w:val="false"/>
                <w:sz w:val="19"/>
                <w:szCs w:val="19"/>
              </w:rPr>
              <w:t xml:space="preserve">Hour 1 - English</w:t>
            </w:r>
          </w:p>
          <w:p>
            <w:pPr>
              <w:spacing w:line="260"/>
            </w:pPr>
            <w:r>
              <w:rPr>
                <w:b w:val="false"/>
                <w:bCs w:val="false"/>
                <w:sz w:val="19"/>
                <w:szCs w:val="19"/>
              </w:rPr>
              <w:t xml:space="preserve">Hour 2 - Research Project</w:t>
            </w:r>
          </w:p>
          <w:p>
            <w:pPr>
              <w:spacing w:line="260"/>
            </w:pPr>
            <w:r>
              <w:rPr>
                <w:b w:val="false"/>
                <w:bCs w:val="false"/>
                <w:sz w:val="19"/>
                <w:szCs w:val="19"/>
              </w:rPr>
              <w:t xml:space="preserve">Hour 3 - Agency in Learning</w:t>
            </w:r>
          </w:p>
        </w:tc>
        <w:tc>
          <w:tcPr>
            <w:tcW w:type="dxa" w:w="3695"/>
            <w:tcMar>
              <w:top w:type="dxa" w:w="70"/>
              <w:left w:type="dxa" w:w="130"/>
              <w:bottom w:type="dxa" w:w="70"/>
              <w:right w:type="dxa" w:w="130"/>
            </w:tcMar>
          </w:tcPr>
          <w:p>
            <w:pPr>
              <w:spacing w:line="260"/>
            </w:pPr>
            <w:r>
              <w:rPr>
                <w:b w:val="false"/>
                <w:bCs w:val="false"/>
                <w:color w:val="5A6473"/>
                <w:sz w:val="19"/>
                <w:szCs w:val="19"/>
              </w:rPr>
              <w:t xml:space="preserve">about 40 min - practise your English with someone at home</w:t>
            </w:r>
          </w:p>
          <w:p>
            <w:pPr>
              <w:spacing w:line="260"/>
            </w:pPr>
            <w:r>
              <w:rPr>
                <w:b w:val="false"/>
                <w:bCs w:val="false"/>
                <w:color w:val="5A6473"/>
                <w:sz w:val="19"/>
                <w:szCs w:val="19"/>
              </w:rPr>
              <w:t xml:space="preserve">about 40 min - notice or gather one piece of evidence for our question</w:t>
            </w:r>
          </w:p>
          <w:p>
            <w:pPr>
              <w:spacing w:line="260"/>
            </w:pPr>
            <w:r>
              <w:rPr>
                <w:b w:val="false"/>
                <w:bCs w:val="false"/>
                <w:color w:val="5A6473"/>
                <w:sz w:val="19"/>
                <w:szCs w:val="19"/>
              </w:rPr>
              <w:t xml:space="preserve">about 40 min - take one step towards your goal, and mark your learning book</w:t>
            </w:r>
          </w:p>
        </w:tc>
      </w:tr>
      <w:tr>
        <w:tc>
          <w:tcPr>
            <w:tcW w:type="dxa" w:w="1427"/>
            <w:tcMar>
              <w:top w:type="dxa" w:w="70"/>
              <w:left w:type="dxa" w:w="130"/>
              <w:bottom w:type="dxa" w:w="70"/>
              <w:right w:type="dxa" w:w="130"/>
            </w:tcMar>
          </w:tcPr>
          <w:p>
            <w:pPr>
              <w:spacing w:line="260"/>
            </w:pPr>
            <w:r>
              <w:rPr>
                <w:b/>
                <w:bCs/>
                <w:color w:val="7A3B69"/>
                <w:sz w:val="19"/>
                <w:szCs w:val="19"/>
              </w:rPr>
              <w:t xml:space="preserve">Day 3</w:t>
            </w:r>
          </w:p>
        </w:tc>
        <w:tc>
          <w:tcPr>
            <w:tcW w:type="dxa" w:w="3947"/>
            <w:tcMar>
              <w:top w:type="dxa" w:w="70"/>
              <w:left w:type="dxa" w:w="130"/>
              <w:bottom w:type="dxa" w:w="70"/>
              <w:right w:type="dxa" w:w="130"/>
            </w:tcMar>
          </w:tcPr>
          <w:p>
            <w:pPr>
              <w:spacing w:line="260"/>
            </w:pPr>
            <w:r>
              <w:rPr>
                <w:b w:val="false"/>
                <w:bCs w:val="false"/>
                <w:sz w:val="19"/>
                <w:szCs w:val="19"/>
              </w:rPr>
              <w:t xml:space="preserve">Hour 1 - Research Project</w:t>
            </w:r>
          </w:p>
          <w:p>
            <w:pPr>
              <w:spacing w:line="260"/>
            </w:pPr>
            <w:r>
              <w:rPr>
                <w:b w:val="false"/>
                <w:bCs w:val="false"/>
                <w:sz w:val="19"/>
                <w:szCs w:val="19"/>
              </w:rPr>
              <w:t xml:space="preserve">Hour 2 - Agency in Learning</w:t>
            </w:r>
          </w:p>
          <w:p>
            <w:pPr>
              <w:spacing w:line="260"/>
            </w:pPr>
            <w:r>
              <w:rPr>
                <w:b w:val="false"/>
                <w:bCs w:val="false"/>
                <w:sz w:val="19"/>
                <w:szCs w:val="19"/>
              </w:rPr>
              <w:t xml:space="preserve">Hour 3 - English</w:t>
            </w:r>
          </w:p>
          <w:p>
            <w:pPr>
              <w:spacing w:line="260"/>
            </w:pPr>
            <w:r>
              <w:rPr>
                <w:b w:val="false"/>
                <w:bCs w:val="false"/>
                <w:sz w:val="19"/>
                <w:szCs w:val="19"/>
              </w:rPr>
              <w:t xml:space="preserve">…then close the week: a short small-group wellbeing check and reflection</w:t>
            </w:r>
          </w:p>
        </w:tc>
        <w:tc>
          <w:tcPr>
            <w:tcW w:type="dxa" w:w="3695"/>
            <w:tcMar>
              <w:top w:type="dxa" w:w="70"/>
              <w:left w:type="dxa" w:w="130"/>
              <w:bottom w:type="dxa" w:w="70"/>
              <w:right w:type="dxa" w:w="130"/>
            </w:tcMar>
          </w:tcPr>
          <w:p>
            <w:pPr>
              <w:spacing w:line="260"/>
            </w:pPr>
            <w:r>
              <w:rPr>
                <w:b w:val="false"/>
                <w:bCs w:val="false"/>
                <w:color w:val="5A6473"/>
                <w:sz w:val="19"/>
                <w:szCs w:val="19"/>
              </w:rPr>
              <w:t xml:space="preserve">about 40 min - notice or gather one piece of evidence for our question</w:t>
            </w:r>
          </w:p>
          <w:p>
            <w:pPr>
              <w:spacing w:line="260"/>
            </w:pPr>
            <w:r>
              <w:rPr>
                <w:b w:val="false"/>
                <w:bCs w:val="false"/>
                <w:color w:val="5A6473"/>
                <w:sz w:val="19"/>
                <w:szCs w:val="19"/>
              </w:rPr>
              <w:t xml:space="preserve">about 40 min - take one step towards your goal, and mark your learning book</w:t>
            </w:r>
          </w:p>
          <w:p>
            <w:pPr>
              <w:spacing w:line="260"/>
            </w:pPr>
            <w:r>
              <w:rPr>
                <w:b w:val="false"/>
                <w:bCs w:val="false"/>
                <w:color w:val="5A6473"/>
                <w:sz w:val="19"/>
                <w:szCs w:val="19"/>
              </w:rPr>
              <w:t xml:space="preserve">about 40 min - practise your English with someone at home</w:t>
            </w:r>
          </w:p>
        </w:tc>
      </w:tr>
    </w:tbl>
    <w:p>
      <w:pPr>
        <w:spacing w:after="140" w:before="140" w:line="300"/>
      </w:pPr>
      <w:r>
        <w:rPr>
          <w:b/>
          <w:bCs/>
          <w:color w:val="6E7A2E"/>
          <w:sz w:val="21"/>
          <w:szCs w:val="21"/>
        </w:rPr>
        <w:t xml:space="preserve">3 learning days × 3 hours with the educator = 9 in-person hours. 3 days × about 2 hours at home = 6 independent hours. That is 15 hours a week, and about 150 hours across the 10 weeks of delivery - the full programme.</w:t>
      </w:r>
    </w:p>
    <w:p>
      <w:pPr>
        <w:spacing w:after="140" w:before="0" w:line="300"/>
      </w:pPr>
      <w:r>
        <w:rPr>
          <w:sz w:val="22"/>
          <w:szCs w:val="22"/>
        </w:rPr>
        <w:t xml:space="preserve">This is one way to place the hours, not the timetable. What is fixed is the weekly total per component - 3 hours in-person and 2 hours independent - and that all three run side by side. Everything else is yours to set with your educators: which days each site uses (place the local rest day, for example Friday), and whether a site spreads the same hours over more days with shorter sessions.</w:t>
      </w:r>
    </w:p>
    <w:p>
      <w:pPr>
        <w:pStyle w:val="Heading2"/>
        <w:keepNext/>
        <w:spacing w:after="100" w:before="280"/>
      </w:pPr>
      <w:r>
        <w:rPr>
          <w:b/>
          <w:bCs/>
          <w:color w:val="7A3B69"/>
          <w:sz w:val="28"/>
          <w:szCs w:val="28"/>
        </w:rPr>
        <w:t xml:space="preserve">The 12-week rhythm</w:t>
      </w:r>
    </w:p>
    <w:p>
      <w:pPr>
        <w:spacing w:after="140" w:before="0" w:line="300"/>
      </w:pPr>
      <w:r>
        <w:rPr>
          <w:sz w:val="22"/>
          <w:szCs w:val="22"/>
        </w:rPr>
        <w:t xml:space="preserve">Around that weekly learning, hold this assessment rhythm: five weeks of learning, a supported assessment, five more weeks, then the final assessment. Your job is to protect the two assessment windows and keep them on the calendar.</w:t>
      </w:r>
    </w:p>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2687"/>
        <w:gridCol w:w="6382"/>
      </w:tblGrid>
      <w:tr>
        <w:trPr>
          <w:tblHeader/>
        </w:trPr>
        <w:tc>
          <w:tcPr>
            <w:tcW w:type="dxa" w:w="2687"/>
            <w:tcMar>
              <w:top w:type="dxa" w:w="70"/>
              <w:left w:type="dxa" w:w="130"/>
              <w:bottom w:type="dxa" w:w="70"/>
              <w:right w:type="dxa" w:w="130"/>
            </w:tcMar>
          </w:tcPr>
          <w:p>
            <w:pPr>
              <w:spacing w:line="260"/>
            </w:pPr>
            <w:r>
              <w:rPr>
                <w:b/>
                <w:bCs/>
                <w:color w:val="1F3A5F"/>
                <w:sz w:val="19"/>
                <w:szCs w:val="19"/>
              </w:rPr>
              <w:t xml:space="preserve">When</w:t>
            </w:r>
          </w:p>
        </w:tc>
        <w:tc>
          <w:tcPr>
            <w:tcW w:type="dxa" w:w="6382"/>
            <w:tcMar>
              <w:top w:type="dxa" w:w="70"/>
              <w:left w:type="dxa" w:w="130"/>
              <w:bottom w:type="dxa" w:w="70"/>
              <w:right w:type="dxa" w:w="130"/>
            </w:tcMar>
          </w:tcPr>
          <w:p>
            <w:pPr>
              <w:spacing w:line="260"/>
            </w:pPr>
            <w:r>
              <w:rPr>
                <w:b/>
                <w:bCs/>
                <w:color w:val="1F3A5F"/>
                <w:sz w:val="19"/>
                <w:szCs w:val="19"/>
              </w:rPr>
              <w:t xml:space="preserve">What happens</w:t>
            </w:r>
          </w:p>
        </w:tc>
      </w:tr>
      <w:tr>
        <w:tc>
          <w:tcPr>
            <w:tcW w:type="dxa" w:w="2687"/>
            <w:tcMar>
              <w:top w:type="dxa" w:w="70"/>
              <w:left w:type="dxa" w:w="130"/>
              <w:bottom w:type="dxa" w:w="70"/>
              <w:right w:type="dxa" w:w="130"/>
            </w:tcMar>
          </w:tcPr>
          <w:p>
            <w:pPr>
              <w:spacing w:line="260"/>
            </w:pPr>
            <w:r>
              <w:rPr>
                <w:b/>
                <w:bCs/>
                <w:color w:val="7A3B69"/>
                <w:sz w:val="19"/>
                <w:szCs w:val="19"/>
              </w:rPr>
              <w:t xml:space="preserve">Before Week 1</w:t>
            </w:r>
          </w:p>
        </w:tc>
        <w:tc>
          <w:tcPr>
            <w:tcW w:type="dxa" w:w="6382"/>
            <w:tcMar>
              <w:top w:type="dxa" w:w="70"/>
              <w:left w:type="dxa" w:w="130"/>
              <w:bottom w:type="dxa" w:w="70"/>
              <w:right w:type="dxa" w:w="130"/>
            </w:tcMar>
          </w:tcPr>
          <w:p>
            <w:pPr>
              <w:spacing w:line="260"/>
            </w:pPr>
            <w:r>
              <w:rPr>
                <w:b w:val="false"/>
                <w:bCs w:val="false"/>
                <w:sz w:val="19"/>
                <w:szCs w:val="19"/>
              </w:rPr>
              <w:t xml:space="preserve">Diagnostic intake. Each learner is placed and, where needed, English proficiency is checked (below B1). Learners are paired with a mentor.</w:t>
            </w:r>
          </w:p>
        </w:tc>
      </w:tr>
      <w:tr>
        <w:tc>
          <w:tcPr>
            <w:tcW w:type="dxa" w:w="2687"/>
            <w:tcMar>
              <w:top w:type="dxa" w:w="70"/>
              <w:left w:type="dxa" w:w="130"/>
              <w:bottom w:type="dxa" w:w="70"/>
              <w:right w:type="dxa" w:w="130"/>
            </w:tcMar>
          </w:tcPr>
          <w:p>
            <w:pPr>
              <w:spacing w:line="260"/>
            </w:pPr>
            <w:r>
              <w:rPr>
                <w:b/>
                <w:bCs/>
                <w:color w:val="7A3B69"/>
                <w:sz w:val="19"/>
                <w:szCs w:val="19"/>
              </w:rPr>
              <w:t xml:space="preserve">Weeks 1–5</w:t>
            </w:r>
          </w:p>
        </w:tc>
        <w:tc>
          <w:tcPr>
            <w:tcW w:type="dxa" w:w="6382"/>
            <w:tcMar>
              <w:top w:type="dxa" w:w="70"/>
              <w:left w:type="dxa" w:w="130"/>
              <w:bottom w:type="dxa" w:w="70"/>
              <w:right w:type="dxa" w:w="130"/>
            </w:tcMar>
          </w:tcPr>
          <w:p>
            <w:pPr>
              <w:spacing w:line="260"/>
            </w:pPr>
            <w:r>
              <w:rPr>
                <w:b w:val="false"/>
                <w:bCs w:val="false"/>
                <w:sz w:val="19"/>
                <w:szCs w:val="19"/>
              </w:rPr>
              <w:t xml:space="preserve">First block of learning. Educators deliver the component sessions and begin gathering evidence of each learner’s competency as they go - from workbooks, steps taken, and what learners say and do.</w:t>
            </w:r>
          </w:p>
        </w:tc>
      </w:tr>
      <w:tr>
        <w:tc>
          <w:tcPr>
            <w:tcW w:type="dxa" w:w="2687"/>
            <w:tcMar>
              <w:top w:type="dxa" w:w="70"/>
              <w:left w:type="dxa" w:w="130"/>
              <w:bottom w:type="dxa" w:w="70"/>
              <w:right w:type="dxa" w:w="130"/>
            </w:tcMar>
          </w:tcPr>
          <w:p>
            <w:pPr>
              <w:spacing w:line="260"/>
            </w:pPr>
            <w:r>
              <w:rPr>
                <w:b/>
                <w:bCs/>
                <w:color w:val="7A3B69"/>
                <w:sz w:val="19"/>
                <w:szCs w:val="19"/>
              </w:rPr>
              <w:t xml:space="preserve">Week 6</w:t>
            </w:r>
          </w:p>
        </w:tc>
        <w:tc>
          <w:tcPr>
            <w:tcW w:type="dxa" w:w="6382"/>
            <w:tcMar>
              <w:top w:type="dxa" w:w="70"/>
              <w:left w:type="dxa" w:w="130"/>
              <w:bottom w:type="dxa" w:w="70"/>
              <w:right w:type="dxa" w:w="130"/>
            </w:tcMar>
          </w:tcPr>
          <w:p>
            <w:pPr>
              <w:spacing w:line="260"/>
            </w:pPr>
            <w:r>
              <w:rPr>
                <w:b w:val="false"/>
                <w:bCs w:val="false"/>
                <w:sz w:val="19"/>
                <w:szCs w:val="19"/>
              </w:rPr>
              <w:t xml:space="preserve">Supported (formative) assessment. Educators make a first, provisional judgement of each learner against the Proficiency Scale. Then moderation: master educators hold moderation discussions with educators, bring them to a session with Amala, and share what was learned before every learner is assessed. This is a rehearsal and a checkpoint, not the final grade.</w:t>
            </w:r>
          </w:p>
        </w:tc>
      </w:tr>
      <w:tr>
        <w:tc>
          <w:tcPr>
            <w:tcW w:type="dxa" w:w="2687"/>
            <w:tcMar>
              <w:top w:type="dxa" w:w="70"/>
              <w:left w:type="dxa" w:w="130"/>
              <w:bottom w:type="dxa" w:w="70"/>
              <w:right w:type="dxa" w:w="130"/>
            </w:tcMar>
          </w:tcPr>
          <w:p>
            <w:pPr>
              <w:spacing w:line="260"/>
            </w:pPr>
            <w:r>
              <w:rPr>
                <w:b/>
                <w:bCs/>
                <w:color w:val="7A3B69"/>
                <w:sz w:val="19"/>
                <w:szCs w:val="19"/>
              </w:rPr>
              <w:t xml:space="preserve">Weeks 7–11</w:t>
            </w:r>
          </w:p>
        </w:tc>
        <w:tc>
          <w:tcPr>
            <w:tcW w:type="dxa" w:w="6382"/>
            <w:tcMar>
              <w:top w:type="dxa" w:w="70"/>
              <w:left w:type="dxa" w:w="130"/>
              <w:bottom w:type="dxa" w:w="70"/>
              <w:right w:type="dxa" w:w="130"/>
            </w:tcMar>
          </w:tcPr>
          <w:p>
            <w:pPr>
              <w:spacing w:line="260"/>
            </w:pPr>
            <w:r>
              <w:rPr>
                <w:b w:val="false"/>
                <w:bCs w:val="false"/>
                <w:sz w:val="19"/>
                <w:szCs w:val="19"/>
              </w:rPr>
              <w:t xml:space="preserve">Second block of learning. Educators keep building the competencies and keep gathering evidence, guided by what Week 6 surfaced about each learner. The optional significant adult meetings, where a site is running them, sit in this block.</w:t>
            </w:r>
          </w:p>
        </w:tc>
      </w:tr>
      <w:tr>
        <w:tc>
          <w:tcPr>
            <w:tcW w:type="dxa" w:w="2687"/>
            <w:tcMar>
              <w:top w:type="dxa" w:w="70"/>
              <w:left w:type="dxa" w:w="130"/>
              <w:bottom w:type="dxa" w:w="70"/>
              <w:right w:type="dxa" w:w="130"/>
            </w:tcMar>
          </w:tcPr>
          <w:p>
            <w:pPr>
              <w:spacing w:line="260"/>
            </w:pPr>
            <w:r>
              <w:rPr>
                <w:b/>
                <w:bCs/>
                <w:color w:val="7A3B69"/>
                <w:sz w:val="19"/>
                <w:szCs w:val="19"/>
              </w:rPr>
              <w:t xml:space="preserve">Last week of delivery</w:t>
            </w:r>
          </w:p>
        </w:tc>
        <w:tc>
          <w:tcPr>
            <w:tcW w:type="dxa" w:w="6382"/>
            <w:tcMar>
              <w:top w:type="dxa" w:w="70"/>
              <w:left w:type="dxa" w:w="130"/>
              <w:bottom w:type="dxa" w:w="70"/>
              <w:right w:type="dxa" w:w="130"/>
            </w:tcMar>
          </w:tcPr>
          <w:p>
            <w:pPr>
              <w:spacing w:line="260"/>
            </w:pPr>
            <w:r>
              <w:rPr>
                <w:b w:val="false"/>
                <w:bCs w:val="false"/>
                <w:sz w:val="19"/>
                <w:szCs w:val="19"/>
              </w:rPr>
              <w:t xml:space="preserve">The showcase. One shared closing event for all three components, with guests the learners invited themselves. Fix the date early - invitations have to go out.</w:t>
            </w:r>
          </w:p>
        </w:tc>
      </w:tr>
      <w:tr>
        <w:tc>
          <w:tcPr>
            <w:tcW w:type="dxa" w:w="2687"/>
            <w:tcMar>
              <w:top w:type="dxa" w:w="70"/>
              <w:left w:type="dxa" w:w="130"/>
              <w:bottom w:type="dxa" w:w="70"/>
              <w:right w:type="dxa" w:w="130"/>
            </w:tcMar>
          </w:tcPr>
          <w:p>
            <w:pPr>
              <w:spacing w:line="260"/>
            </w:pPr>
            <w:r>
              <w:rPr>
                <w:b/>
                <w:bCs/>
                <w:color w:val="7A3B69"/>
                <w:sz w:val="19"/>
                <w:szCs w:val="19"/>
              </w:rPr>
              <w:t xml:space="preserve">Week 12</w:t>
            </w:r>
          </w:p>
        </w:tc>
        <w:tc>
          <w:tcPr>
            <w:tcW w:type="dxa" w:w="6382"/>
            <w:tcMar>
              <w:top w:type="dxa" w:w="70"/>
              <w:left w:type="dxa" w:w="130"/>
              <w:bottom w:type="dxa" w:w="70"/>
              <w:right w:type="dxa" w:w="130"/>
            </w:tcMar>
          </w:tcPr>
          <w:p>
            <w:pPr>
              <w:spacing w:line="260"/>
            </w:pPr>
            <w:r>
              <w:rPr>
                <w:b w:val="false"/>
                <w:bCs w:val="false"/>
                <w:sz w:val="19"/>
                <w:szCs w:val="19"/>
              </w:rPr>
              <w:t xml:space="preserve">Final (summative) assessment. Educators make their final judgement of each learner in the two assessed competencies, against the Proficiency Scale.</w:t>
            </w:r>
          </w:p>
        </w:tc>
      </w:tr>
      <w:tr>
        <w:tc>
          <w:tcPr>
            <w:tcW w:type="dxa" w:w="2687"/>
            <w:tcMar>
              <w:top w:type="dxa" w:w="70"/>
              <w:left w:type="dxa" w:w="130"/>
              <w:bottom w:type="dxa" w:w="70"/>
              <w:right w:type="dxa" w:w="130"/>
            </w:tcMar>
          </w:tcPr>
          <w:p>
            <w:pPr>
              <w:spacing w:line="260"/>
            </w:pPr>
            <w:r>
              <w:rPr>
                <w:b/>
                <w:bCs/>
                <w:color w:val="7A3B69"/>
                <w:sz w:val="19"/>
                <w:szCs w:val="19"/>
              </w:rPr>
              <w:t xml:space="preserve">After Week 12</w:t>
            </w:r>
          </w:p>
        </w:tc>
        <w:tc>
          <w:tcPr>
            <w:tcW w:type="dxa" w:w="6382"/>
            <w:tcMar>
              <w:top w:type="dxa" w:w="70"/>
              <w:left w:type="dxa" w:w="130"/>
              <w:bottom w:type="dxa" w:w="70"/>
              <w:right w:type="dxa" w:w="130"/>
            </w:tcMar>
          </w:tcPr>
          <w:p>
            <w:pPr>
              <w:spacing w:line="260"/>
            </w:pPr>
            <w:r>
              <w:rPr>
                <w:b w:val="false"/>
                <w:bCs w:val="false"/>
                <w:sz w:val="19"/>
                <w:szCs w:val="19"/>
              </w:rPr>
              <w:t xml:space="preserve">Moderation, as at Week 6 - moderation discussions with the master educators, then the session with Amala. Results are confirmed, and the readiness decision made, only once every change from moderation is on the learner’s record.</w:t>
            </w:r>
          </w:p>
        </w:tc>
      </w:tr>
    </w:tbl>
    <w:tbl>
      <w:tblPr>
        <w:tblW w:type="pct" w:w="100%"/>
        <w:tblBorders>
          <w:top w:val="none"/>
          <w:left w:val="single" w:color="6E7A2E" w:sz="18"/>
          <w:bottom w:val="none"/>
          <w:right w:val="none"/>
          <w:insideH w:val="none"/>
          <w:insideV w:val="none"/>
        </w:tblBorders>
      </w:tblPr>
      <w:tblGrid>
        <w:gridCol w:w="9070"/>
      </w:tblGrid>
      <w:tr>
        <w:tc>
          <w:tcPr>
            <w:tcW w:type="dxa" w:w="9070"/>
            <w:tcMar>
              <w:top w:type="dxa" w:w="120"/>
              <w:left w:type="dxa" w:w="200"/>
              <w:bottom w:type="dxa" w:w="120"/>
              <w:right w:type="dxa" w:w="140"/>
            </w:tcMar>
          </w:tcPr>
          <w:p>
            <w:pPr>
              <w:spacing w:after="90"/>
            </w:pPr>
            <w:r>
              <w:rPr>
                <w:b/>
                <w:bCs/>
                <w:color w:val="6E7A2E"/>
                <w:spacing w:val="24"/>
                <w:sz w:val="17"/>
                <w:szCs w:val="17"/>
              </w:rPr>
              <w:t xml:space="preserve">THE TWO ASSESSMENT POINTS, IN ONE LINE</w:t>
            </w:r>
          </w:p>
          <w:p>
            <w:pPr>
              <w:spacing w:after="90" w:before="0" w:line="300"/>
            </w:pPr>
            <w:r>
              <w:rPr>
                <w:sz w:val="21"/>
                <w:szCs w:val="21"/>
              </w:rPr>
              <w:t xml:space="preserve">Week 6 - supported assessment: a first set of judgements, moderated by the master educators and checked with Amala, then every learner assessed. A checkpoint and a rehearsal.</w:t>
            </w:r>
          </w:p>
          <w:p>
            <w:pPr>
              <w:spacing w:after="0" w:before="0" w:line="300"/>
            </w:pPr>
            <w:r>
              <w:rPr>
                <w:sz w:val="21"/>
                <w:szCs w:val="21"/>
              </w:rPr>
              <w:t xml:space="preserve">Week 12 - final assessment: the educators’ final judgement of the two competencies, moderated the same way before any result is confirmed.</w:t>
            </w:r>
          </w:p>
        </w:tc>
      </w:tr>
    </w:tbl>
    <w:tbl>
      <w:tblPr>
        <w:tblW w:type="pct" w:w="100%"/>
        <w:tblBorders>
          <w:top w:val="none"/>
          <w:left w:val="single" w:color="6E7A2E" w:sz="18"/>
          <w:bottom w:val="none"/>
          <w:right w:val="none"/>
          <w:insideH w:val="none"/>
          <w:insideV w:val="none"/>
        </w:tblBorders>
      </w:tblPr>
      <w:tblGrid>
        <w:gridCol w:w="9070"/>
      </w:tblGrid>
      <w:tr>
        <w:tc>
          <w:tcPr>
            <w:tcW w:type="dxa" w:w="9070"/>
            <w:tcMar>
              <w:top w:type="dxa" w:w="120"/>
              <w:left w:type="dxa" w:w="200"/>
              <w:bottom w:type="dxa" w:w="120"/>
              <w:right w:type="dxa" w:w="140"/>
            </w:tcMar>
          </w:tcPr>
          <w:p>
            <w:pPr>
              <w:spacing w:after="90"/>
            </w:pPr>
            <w:r>
              <w:rPr>
                <w:b/>
                <w:bCs/>
                <w:color w:val="6E7A2E"/>
                <w:spacing w:val="24"/>
                <w:sz w:val="17"/>
                <w:szCs w:val="17"/>
              </w:rPr>
              <w:t xml:space="preserve">READING THE WEEK-6 RESULTS</w:t>
            </w:r>
          </w:p>
          <w:p>
            <w:pPr>
              <w:spacing w:after="90" w:before="0" w:line="300"/>
            </w:pPr>
            <w:r>
              <w:rPr>
                <w:sz w:val="21"/>
                <w:szCs w:val="21"/>
              </w:rPr>
              <w:t xml:space="preserve">Expect most learners to sit at Theorist at Week 6. The goal-pursuit weeks in Agency in Learning, and the analysis and output weeks in the Research Project, both fall AFTER it - so Week 6 is measured before most of the evidence exists.</w:t>
            </w:r>
          </w:p>
          <w:p>
            <w:pPr>
              <w:spacing w:after="90" w:before="0" w:line="300"/>
            </w:pPr>
            <w:r>
              <w:rPr>
                <w:sz w:val="21"/>
                <w:szCs w:val="21"/>
              </w:rPr>
              <w:t xml:space="preserve">A low Week-6 picture does not mean the cohort is failing. It is the checkpoint doing its job, showing where to concentrate support across Weeks 7 to 11.</w:t>
            </w:r>
          </w:p>
          <w:p>
            <w:pPr>
              <w:spacing w:after="0" w:before="0" w:line="300"/>
            </w:pPr>
            <w:r>
              <w:rPr>
                <w:sz w:val="21"/>
                <w:szCs w:val="21"/>
              </w:rPr>
              <w:t xml:space="preserve">The 70% measure is taken at Week 12, on the final judgement, and nowhere else.</w:t>
            </w:r>
          </w:p>
        </w:tc>
      </w:tr>
    </w:tbl>
    <w:p>
      <w:r>
        <w:br w:type="page"/>
      </w:r>
    </w:p>
    <w:p>
      <w:pPr>
        <w:pStyle w:val="Heading1"/>
        <w:keepNext/>
        <w:spacing w:after="140" w:before="320"/>
      </w:pPr>
      <w:r>
        <w:rPr>
          <w:b/>
          <w:bCs/>
          <w:color w:val="1F3A5F"/>
          <w:sz w:val="36"/>
          <w:szCs w:val="36"/>
        </w:rPr>
        <w:t xml:space="preserve">5. Coordinating assessment and moderation</w:t>
      </w:r>
    </w:p>
    <w:p>
      <w:pPr>
        <w:spacing w:after="140" w:before="0" w:line="300"/>
      </w:pPr>
      <w:r>
        <w:rPr>
          <w:sz w:val="22"/>
          <w:szCs w:val="22"/>
        </w:rPr>
        <w:t xml:space="preserve">Assessment rests on educator judgement across varied evidence, not on a single test. Your role is to make that judgement possible and fair.</w:t>
      </w:r>
    </w:p>
    <w:p>
      <w:pPr>
        <w:keepNext/>
        <w:spacing w:after="60" w:before="180"/>
      </w:pPr>
      <w:r>
        <w:rPr>
          <w:b/>
          <w:bCs/>
          <w:color w:val="6E7A2E"/>
          <w:spacing w:val="24"/>
          <w:sz w:val="17"/>
          <w:szCs w:val="17"/>
        </w:rPr>
        <w:t xml:space="preserve">WHAT DEVELOPING THESE TWO COMPETENCIES GIVES A LEARNER</w:t>
      </w:r>
    </w:p>
    <w:p>
      <w:pPr>
        <w:spacing w:after="140" w:before="0" w:line="300"/>
      </w:pPr>
      <w:r>
        <w:rPr>
          <w:sz w:val="22"/>
          <w:szCs w:val="22"/>
        </w:rPr>
        <w:t xml:space="preserve">These are the two you assess. They are not only hoops for the readiness decision - each one is a piece of the agency the whole programme is for.</w:t>
      </w:r>
    </w:p>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2687"/>
        <w:gridCol w:w="6382"/>
      </w:tblGrid>
      <w:tr>
        <w:trPr>
          <w:tblHeader/>
        </w:trPr>
        <w:tc>
          <w:tcPr>
            <w:tcW w:type="dxa" w:w="2687"/>
            <w:tcMar>
              <w:top w:type="dxa" w:w="70"/>
              <w:left w:type="dxa" w:w="130"/>
              <w:bottom w:type="dxa" w:w="70"/>
              <w:right w:type="dxa" w:w="130"/>
            </w:tcMar>
          </w:tcPr>
          <w:p>
            <w:pPr>
              <w:spacing w:line="260"/>
            </w:pPr>
            <w:r>
              <w:rPr>
                <w:b/>
                <w:bCs/>
                <w:color w:val="1F3A5F"/>
                <w:sz w:val="19"/>
                <w:szCs w:val="19"/>
              </w:rPr>
              <w:t xml:space="preserve">Competency</w:t>
            </w:r>
          </w:p>
        </w:tc>
        <w:tc>
          <w:tcPr>
            <w:tcW w:type="dxa" w:w="6382"/>
            <w:tcMar>
              <w:top w:type="dxa" w:w="70"/>
              <w:left w:type="dxa" w:w="130"/>
              <w:bottom w:type="dxa" w:w="70"/>
              <w:right w:type="dxa" w:w="130"/>
            </w:tcMar>
          </w:tcPr>
          <w:p>
            <w:pPr>
              <w:spacing w:line="260"/>
            </w:pPr>
            <w:r>
              <w:rPr>
                <w:b/>
                <w:bCs/>
                <w:color w:val="1F3A5F"/>
                <w:sz w:val="19"/>
                <w:szCs w:val="19"/>
              </w:rPr>
              <w:t xml:space="preserve">How developing it builds agency</w:t>
            </w:r>
          </w:p>
        </w:tc>
      </w:tr>
      <w:tr>
        <w:tc>
          <w:tcPr>
            <w:tcW w:type="dxa" w:w="2687"/>
            <w:tcMar>
              <w:top w:type="dxa" w:w="70"/>
              <w:left w:type="dxa" w:w="130"/>
              <w:bottom w:type="dxa" w:w="70"/>
              <w:right w:type="dxa" w:w="130"/>
            </w:tcMar>
          </w:tcPr>
          <w:p>
            <w:pPr>
              <w:spacing w:line="260"/>
            </w:pPr>
            <w:r>
              <w:rPr>
                <w:b/>
                <w:bCs/>
                <w:color w:val="7A3B69"/>
                <w:sz w:val="19"/>
                <w:szCs w:val="19"/>
              </w:rPr>
              <w:t xml:space="preserve">FSL2 - Set and pursue goals</w:t>
            </w:r>
          </w:p>
        </w:tc>
        <w:tc>
          <w:tcPr>
            <w:tcW w:type="dxa" w:w="6382"/>
            <w:tcMar>
              <w:top w:type="dxa" w:w="70"/>
              <w:left w:type="dxa" w:w="130"/>
              <w:bottom w:type="dxa" w:w="70"/>
              <w:right w:type="dxa" w:w="130"/>
            </w:tcMar>
          </w:tcPr>
          <w:p>
            <w:pPr>
              <w:spacing w:line="260"/>
            </w:pPr>
            <w:r>
              <w:rPr>
                <w:b w:val="false"/>
                <w:bCs w:val="false"/>
                <w:sz w:val="19"/>
                <w:szCs w:val="19"/>
              </w:rPr>
              <w:t xml:space="preserve">Set and pursue goals is the engine of agency: agency is only real when a learner can decide what they want to grow towards and take deliberate steps to get there. Developing it moves a learner from having things decided for them to deciding one thing and following it through - the smallest complete unit of self-direction there is. Because the method transfers, it is also how a learner takes hold of a pathway rather than waiting to be placed on one.</w:t>
            </w:r>
          </w:p>
          <w:p>
            <w:pPr>
              <w:spacing w:line="260"/>
            </w:pPr>
            <w:r>
              <w:rPr>
                <w:b w:val="false"/>
                <w:bCs w:val="false"/>
                <w:sz w:val="19"/>
                <w:szCs w:val="19"/>
              </w:rPr>
              <w:t xml:space="preserve"/>
            </w:r>
          </w:p>
          <w:p>
            <w:pPr>
              <w:spacing w:line="260"/>
            </w:pPr>
            <w:r>
              <w:rPr>
                <w:b w:val="false"/>
                <w:bCs w:val="false"/>
                <w:sz w:val="19"/>
                <w:szCs w:val="19"/>
              </w:rPr>
              <w:t xml:space="preserve">Indicators: Power over wellbeing and self-direction  ·  Control of and access to future pathways</w:t>
            </w:r>
          </w:p>
        </w:tc>
      </w:tr>
      <w:tr>
        <w:tc>
          <w:tcPr>
            <w:tcW w:type="dxa" w:w="2687"/>
            <w:tcMar>
              <w:top w:type="dxa" w:w="70"/>
              <w:left w:type="dxa" w:w="130"/>
              <w:bottom w:type="dxa" w:w="70"/>
              <w:right w:type="dxa" w:w="130"/>
            </w:tcMar>
          </w:tcPr>
          <w:p>
            <w:pPr>
              <w:spacing w:line="260"/>
            </w:pPr>
            <w:r>
              <w:rPr>
                <w:b/>
                <w:bCs/>
                <w:color w:val="7A3B69"/>
                <w:sz w:val="19"/>
                <w:szCs w:val="19"/>
              </w:rPr>
              <w:t xml:space="preserve">FSI1 - Investigate real-world issues</w:t>
            </w:r>
          </w:p>
        </w:tc>
        <w:tc>
          <w:tcPr>
            <w:tcW w:type="dxa" w:w="6382"/>
            <w:tcMar>
              <w:top w:type="dxa" w:w="70"/>
              <w:left w:type="dxa" w:w="130"/>
              <w:bottom w:type="dxa" w:w="70"/>
              <w:right w:type="dxa" w:w="130"/>
            </w:tcMar>
          </w:tcPr>
          <w:p>
            <w:pPr>
              <w:spacing w:line="260"/>
            </w:pPr>
            <w:r>
              <w:rPr>
                <w:b w:val="false"/>
                <w:bCs w:val="false"/>
                <w:sz w:val="19"/>
                <w:szCs w:val="19"/>
              </w:rPr>
              <w:t xml:space="preserve">Investigate real-world issues turns concern into understanding you can act on: it replaces assumption with evidence. Developing it gives a learner a way to find out for themselves instead of accepting what they are told - and when they produce evidence-based insight about a challenge in their own community and share it, they have already made an impactful contribution, at whatever scale they could manage.</w:t>
            </w:r>
          </w:p>
          <w:p>
            <w:pPr>
              <w:spacing w:line="260"/>
            </w:pPr>
            <w:r>
              <w:rPr>
                <w:b w:val="false"/>
                <w:bCs w:val="false"/>
                <w:sz w:val="19"/>
                <w:szCs w:val="19"/>
              </w:rPr>
              <w:t xml:space="preserve"/>
            </w:r>
          </w:p>
          <w:p>
            <w:pPr>
              <w:spacing w:line="260"/>
            </w:pPr>
            <w:r>
              <w:rPr>
                <w:b w:val="false"/>
                <w:bCs w:val="false"/>
                <w:sz w:val="19"/>
                <w:szCs w:val="19"/>
              </w:rPr>
              <w:t xml:space="preserve">Indicators: Making impactful contributions to community  ·  Power over wellbeing and self-direction</w:t>
            </w:r>
          </w:p>
        </w:tc>
      </w:tr>
    </w:tbl>
    <w:p>
      <w:pPr>
        <w:keepNext/>
        <w:spacing w:after="60" w:before="180"/>
      </w:pPr>
      <w:r>
        <w:rPr>
          <w:b/>
          <w:bCs/>
          <w:color w:val="6E7A2E"/>
          <w:spacing w:val="24"/>
          <w:sz w:val="17"/>
          <w:szCs w:val="17"/>
        </w:rPr>
        <w:t xml:space="preserve">BEFORE WEEK 6</w:t>
      </w:r>
    </w:p>
    <w:p>
      <w:pPr>
        <w:pStyle w:val="ListParagraph"/>
        <w:numPr>
          <w:ilvl w:val="0"/>
          <w:numId w:val="1"/>
        </w:numPr>
        <w:spacing w:after="80" w:line="300"/>
      </w:pPr>
      <w:r>
        <w:rPr>
          <w:sz w:val="22"/>
          <w:szCs w:val="22"/>
        </w:rPr>
        <w:t xml:space="preserve">Check educators are gathering evidence as they teach - from workbooks, steps taken, the growth path, and what learners say and do - not leaving it to the end. Much of this evidence is oral and visual, because many learners are not yet literate, which is expected.</w:t>
      </w:r>
    </w:p>
    <w:p>
      <w:pPr>
        <w:pStyle w:val="ListParagraph"/>
        <w:numPr>
          <w:ilvl w:val="0"/>
          <w:numId w:val="1"/>
        </w:numPr>
        <w:spacing w:after="80" w:line="300"/>
      </w:pPr>
      <w:r>
        <w:rPr>
          <w:sz w:val="22"/>
          <w:szCs w:val="22"/>
        </w:rPr>
        <w:t xml:space="preserve">Check each educator has two Competency Assessment Records per learner printed - one for Week 6, one for Week 12 - and is keeping a running note of evidence per learner.</w:t>
      </w:r>
    </w:p>
    <w:p>
      <w:pPr>
        <w:pStyle w:val="ListParagraph"/>
        <w:numPr>
          <w:ilvl w:val="0"/>
          <w:numId w:val="1"/>
        </w:numPr>
        <w:spacing w:after="80" w:line="300"/>
      </w:pPr>
      <w:r>
        <w:rPr>
          <w:sz w:val="22"/>
          <w:szCs w:val="22"/>
        </w:rPr>
        <w:t xml:space="preserve">Set the dates for both assessment periods now, and for each one: when the first set of assessments is due, the window for moderation discussions, the moderation session with Amala, and when every learner must be assessed.</w:t>
      </w:r>
    </w:p>
    <w:p>
      <w:pPr>
        <w:keepNext/>
        <w:spacing w:after="60" w:before="180"/>
      </w:pPr>
      <w:r>
        <w:rPr>
          <w:b/>
          <w:bCs/>
          <w:color w:val="6E7A2E"/>
          <w:spacing w:val="24"/>
          <w:sz w:val="17"/>
          <w:szCs w:val="17"/>
        </w:rPr>
        <w:t xml:space="preserve">IN EACH ASSESSMENT PERIOD - WEEK 6, AND AGAIN AT WEEK 12</w:t>
      </w:r>
    </w:p>
    <w:p>
      <w:pPr>
        <w:pStyle w:val="ListParagraph"/>
        <w:numPr>
          <w:ilvl w:val="0"/>
          <w:numId w:val="1"/>
        </w:numPr>
        <w:spacing w:after="80" w:line="300"/>
      </w:pPr>
      <w:r>
        <w:rPr>
          <w:sz w:val="22"/>
          <w:szCs w:val="22"/>
        </w:rPr>
        <w:t xml:space="preserve">1. A first set of assessments (every educator). Every educator assesses at least one learner in both competencies, on the Competency Assessment Record. Choose learners you know well and have good evidence for. These are the assessments the moderation discussions are drawn from.</w:t>
      </w:r>
    </w:p>
    <w:p>
      <w:pPr>
        <w:pStyle w:val="ListParagraph"/>
        <w:numPr>
          <w:ilvl w:val="0"/>
          <w:numId w:val="1"/>
        </w:numPr>
        <w:spacing w:after="80" w:line="300"/>
      </w:pPr>
      <w:r>
        <w:rPr>
          <w:sz w:val="22"/>
          <w:szCs w:val="22"/>
        </w:rPr>
        <w:t xml:space="preserve">2. Moderation discussions (master educators, with educators). For each learning centre, at least one moderation discussion per competency, each captured on the moderation template. Where you can, the second competency is discussed with a different educator and a different learner. In each one, one educator presents their case and the rationale for the level they awarded, then answers questions. These happen in person, at the learning centre, and are best done with the centre's other educators in the room, so everyone learns from it. Print the template and fill it in by hand if that is easier.</w:t>
      </w:r>
    </w:p>
    <w:p>
      <w:pPr>
        <w:pStyle w:val="ListParagraph"/>
        <w:numPr>
          <w:ilvl w:val="0"/>
          <w:numId w:val="1"/>
        </w:numPr>
        <w:spacing w:after="80" w:line="300"/>
      </w:pPr>
      <w:r>
        <w:rPr>
          <w:sz w:val="22"/>
          <w:szCs w:val="22"/>
        </w:rPr>
        <w:t xml:space="preserve">3. The moderation session with Amala (master educators, with a member of the amala education programmes team). An online session - a video call - with all the master educators together. Send your completed templates ahead (a clear photo of a handwritten template is fine), then bring them, and your understanding of each discussion, to the session. It is spent on the cases that teach the most, and on what every educator needs to hear.</w:t>
      </w:r>
    </w:p>
    <w:p>
      <w:pPr>
        <w:pStyle w:val="ListParagraph"/>
        <w:numPr>
          <w:ilvl w:val="0"/>
          <w:numId w:val="1"/>
        </w:numPr>
        <w:spacing w:after="80" w:line="300"/>
      </w:pPr>
      <w:r>
        <w:rPr>
          <w:sz w:val="22"/>
          <w:szCs w:val="22"/>
        </w:rPr>
        <w:t xml:space="preserve">4. Share the learning (master educators, with every educator). Soon after the Amala session, and before the rest of the learners are assessed, hold a short follow-up session with the educators at each centre, in person. Share what came out of the discussions and the Amala session, and practise it together. See "Making the most of the session with Amala".</w:t>
      </w:r>
    </w:p>
    <w:p>
      <w:pPr>
        <w:pStyle w:val="ListParagraph"/>
        <w:numPr>
          <w:ilvl w:val="0"/>
          <w:numId w:val="1"/>
        </w:numPr>
        <w:spacing w:after="80" w:line="300"/>
      </w:pPr>
      <w:r>
        <w:rPr>
          <w:sz w:val="22"/>
          <w:szCs w:val="22"/>
        </w:rPr>
        <w:t xml:space="preserve">5. Every learner assessed (every educator). Assess every learner in both competencies. Talk each record through with the learner, in the language they understand best, give them the sheet with their level and their next step, and keep a copy or photo. If moderation changed your view of a learner you had already assessed, update their record first.</w:t>
      </w:r>
    </w:p>
    <w:p>
      <w:pPr>
        <w:pStyle w:val="ListParagraph"/>
        <w:numPr>
          <w:ilvl w:val="0"/>
          <w:numId w:val="1"/>
        </w:numPr>
        <w:spacing w:after="80" w:line="300"/>
      </w:pPr>
      <w:r>
        <w:rPr>
          <w:sz w:val="22"/>
          <w:szCs w:val="22"/>
        </w:rPr>
        <w:t xml:space="preserve">Make sure the master educators’ completed moderation templates reach Amala at least two days before the session.</w:t>
      </w:r>
    </w:p>
    <w:p>
      <w:pPr>
        <w:pStyle w:val="ListParagraph"/>
        <w:numPr>
          <w:ilvl w:val="0"/>
          <w:numId w:val="1"/>
        </w:numPr>
        <w:spacing w:after="80" w:line="300"/>
      </w:pPr>
      <w:r>
        <w:rPr>
          <w:sz w:val="22"/>
          <w:szCs w:val="22"/>
        </w:rPr>
        <w:t xml:space="preserve">Confirm results only when every learner has been assessed and every change from moderation is on their record. At Week 12, that is when the readiness decision is made - not before.</w:t>
      </w:r>
    </w:p>
    <w:p>
      <w:pPr>
        <w:keepNext/>
        <w:spacing w:after="60" w:before="180"/>
      </w:pPr>
      <w:r>
        <w:rPr>
          <w:b/>
          <w:bCs/>
          <w:color w:val="6E7A2E"/>
          <w:spacing w:val="24"/>
          <w:sz w:val="17"/>
          <w:szCs w:val="17"/>
        </w:rPr>
        <w:t xml:space="preserve">BETWEEN WEEK 6 AND WEEK 12</w:t>
      </w:r>
    </w:p>
    <w:p>
      <w:pPr>
        <w:pStyle w:val="ListParagraph"/>
        <w:numPr>
          <w:ilvl w:val="0"/>
          <w:numId w:val="1"/>
        </w:numPr>
        <w:spacing w:after="80" w:line="300"/>
      </w:pPr>
      <w:r>
        <w:rPr>
          <w:sz w:val="22"/>
          <w:szCs w:val="22"/>
        </w:rPr>
        <w:t xml:space="preserve">Feed back what Week 6 surfaced: which learners need more evidence, where facilitators’ judgements were uncertain or changed at moderation, which competency needs more attention in the second block.</w:t>
      </w:r>
    </w:p>
    <w:p>
      <w:pPr>
        <w:pStyle w:val="Heading2"/>
        <w:keepNext/>
        <w:spacing w:after="100" w:before="280"/>
      </w:pPr>
      <w:r>
        <w:rPr>
          <w:b/>
          <w:bCs/>
          <w:color w:val="7A3B69"/>
          <w:sz w:val="28"/>
          <w:szCs w:val="28"/>
        </w:rPr>
        <w:t xml:space="preserve">How moderation works</w:t>
      </w:r>
    </w:p>
    <w:p>
      <w:pPr>
        <w:spacing w:after="140" w:before="0" w:line="300"/>
      </w:pPr>
      <w:r>
        <w:rPr>
          <w:sz w:val="22"/>
          <w:szCs w:val="22"/>
        </w:rPr>
        <w:t xml:space="preserve">A judgement is only fair if it is consistent: the same evidence should earn the same level whoever assessed it. Moderation is how this programme makes that true. In each assessment period, every educator makes a first set of assessments. Master educators then hold moderation discussions with educators - one assessment, of one learner, in one competency, talked through against the level descriptions - and capture each one on the moderation template. They bring the templates to a moderation session with Amala, take what they learn back to every educator, and only then are the rest of the learners assessed. The point is not to catch mistakes. It is to build a shared reading of the levels, early enough to change the assessments still to come.</w:t>
      </w:r>
    </w:p>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1679"/>
        <w:gridCol w:w="2519"/>
        <w:gridCol w:w="4870"/>
      </w:tblGrid>
      <w:tr>
        <w:trPr>
          <w:tblHeader/>
        </w:trPr>
        <w:tc>
          <w:tcPr>
            <w:tcW w:type="dxa" w:w="1679"/>
            <w:tcMar>
              <w:top w:type="dxa" w:w="70"/>
              <w:left w:type="dxa" w:w="130"/>
              <w:bottom w:type="dxa" w:w="70"/>
              <w:right w:type="dxa" w:w="130"/>
            </w:tcMar>
          </w:tcPr>
          <w:p>
            <w:pPr>
              <w:spacing w:line="260"/>
            </w:pPr>
            <w:r>
              <w:rPr>
                <w:b/>
                <w:bCs/>
                <w:color w:val="1F3A5F"/>
                <w:sz w:val="19"/>
                <w:szCs w:val="19"/>
              </w:rPr>
              <w:t xml:space="preserve">Role</w:t>
            </w:r>
          </w:p>
        </w:tc>
        <w:tc>
          <w:tcPr>
            <w:tcW w:type="dxa" w:w="2519"/>
            <w:tcMar>
              <w:top w:type="dxa" w:w="70"/>
              <w:left w:type="dxa" w:w="130"/>
              <w:bottom w:type="dxa" w:w="70"/>
              <w:right w:type="dxa" w:w="130"/>
            </w:tcMar>
          </w:tcPr>
          <w:p>
            <w:pPr>
              <w:spacing w:line="260"/>
            </w:pPr>
            <w:r>
              <w:rPr>
                <w:b/>
                <w:bCs/>
                <w:color w:val="1F3A5F"/>
                <w:sz w:val="19"/>
                <w:szCs w:val="19"/>
              </w:rPr>
              <w:t xml:space="preserve">Who</w:t>
            </w:r>
          </w:p>
        </w:tc>
        <w:tc>
          <w:tcPr>
            <w:tcW w:type="dxa" w:w="4870"/>
            <w:tcMar>
              <w:top w:type="dxa" w:w="70"/>
              <w:left w:type="dxa" w:w="130"/>
              <w:bottom w:type="dxa" w:w="70"/>
              <w:right w:type="dxa" w:w="130"/>
            </w:tcMar>
          </w:tcPr>
          <w:p>
            <w:pPr>
              <w:spacing w:line="260"/>
            </w:pPr>
            <w:r>
              <w:rPr>
                <w:b/>
                <w:bCs/>
                <w:color w:val="1F3A5F"/>
                <w:sz w:val="19"/>
                <w:szCs w:val="19"/>
              </w:rPr>
              <w:t xml:space="preserve">What they do</w:t>
            </w:r>
          </w:p>
        </w:tc>
      </w:tr>
      <w:tr>
        <w:tc>
          <w:tcPr>
            <w:tcW w:type="dxa" w:w="1679"/>
            <w:tcMar>
              <w:top w:type="dxa" w:w="70"/>
              <w:left w:type="dxa" w:w="130"/>
              <w:bottom w:type="dxa" w:w="70"/>
              <w:right w:type="dxa" w:w="130"/>
            </w:tcMar>
          </w:tcPr>
          <w:p>
            <w:pPr>
              <w:spacing w:line="260"/>
            </w:pPr>
            <w:r>
              <w:rPr>
                <w:b/>
                <w:bCs/>
                <w:color w:val="7A3B69"/>
                <w:sz w:val="19"/>
                <w:szCs w:val="19"/>
              </w:rPr>
              <w:t xml:space="preserve">Master educator</w:t>
            </w:r>
          </w:p>
        </w:tc>
        <w:tc>
          <w:tcPr>
            <w:tcW w:type="dxa" w:w="2519"/>
            <w:tcMar>
              <w:top w:type="dxa" w:w="70"/>
              <w:left w:type="dxa" w:w="130"/>
              <w:bottom w:type="dxa" w:w="70"/>
              <w:right w:type="dxa" w:w="130"/>
            </w:tcMar>
          </w:tcPr>
          <w:p>
            <w:pPr>
              <w:spacing w:line="260"/>
            </w:pPr>
            <w:r>
              <w:rPr>
                <w:b w:val="false"/>
                <w:bCs w:val="false"/>
                <w:sz w:val="19"/>
                <w:szCs w:val="19"/>
              </w:rPr>
              <w:t xml:space="preserve">An NRC master educator, for the learning centres and educators they support.</w:t>
            </w:r>
          </w:p>
        </w:tc>
        <w:tc>
          <w:tcPr>
            <w:tcW w:type="dxa" w:w="4870"/>
            <w:tcMar>
              <w:top w:type="dxa" w:w="70"/>
              <w:left w:type="dxa" w:w="130"/>
              <w:bottom w:type="dxa" w:w="70"/>
              <w:right w:type="dxa" w:w="130"/>
            </w:tcMar>
          </w:tcPr>
          <w:p>
            <w:pPr>
              <w:spacing w:line="260"/>
            </w:pPr>
            <w:r>
              <w:rPr>
                <w:b w:val="false"/>
                <w:bCs w:val="false"/>
                <w:sz w:val="19"/>
                <w:szCs w:val="19"/>
              </w:rPr>
              <w:t xml:space="preserve">Makes sure every educator makes a first set of assessments. Holds at least one moderation discussion per competency for each learning centre, and captures each on the template. Brings the templates to the moderation session with Amala, then shares what was learned with every educator before the rest of the learners are assessed.</w:t>
            </w:r>
          </w:p>
        </w:tc>
      </w:tr>
      <w:tr>
        <w:tc>
          <w:tcPr>
            <w:tcW w:type="dxa" w:w="1679"/>
            <w:tcMar>
              <w:top w:type="dxa" w:w="70"/>
              <w:left w:type="dxa" w:w="130"/>
              <w:bottom w:type="dxa" w:w="70"/>
              <w:right w:type="dxa" w:w="130"/>
            </w:tcMar>
          </w:tcPr>
          <w:p>
            <w:pPr>
              <w:spacing w:line="260"/>
            </w:pPr>
            <w:r>
              <w:rPr>
                <w:b/>
                <w:bCs/>
                <w:color w:val="7A3B69"/>
                <w:sz w:val="19"/>
                <w:szCs w:val="19"/>
              </w:rPr>
              <w:t xml:space="preserve">Educators</w:t>
            </w:r>
          </w:p>
        </w:tc>
        <w:tc>
          <w:tcPr>
            <w:tcW w:type="dxa" w:w="2519"/>
            <w:tcMar>
              <w:top w:type="dxa" w:w="70"/>
              <w:left w:type="dxa" w:w="130"/>
              <w:bottom w:type="dxa" w:w="70"/>
              <w:right w:type="dxa" w:w="130"/>
            </w:tcMar>
          </w:tcPr>
          <w:p>
            <w:pPr>
              <w:spacing w:line="260"/>
            </w:pPr>
            <w:r>
              <w:rPr>
                <w:b w:val="false"/>
                <w:bCs w:val="false"/>
                <w:sz w:val="19"/>
                <w:szCs w:val="19"/>
              </w:rPr>
              <w:t xml:space="preserve">The educators who teach and mentor the learners, and assess them.</w:t>
            </w:r>
          </w:p>
        </w:tc>
        <w:tc>
          <w:tcPr>
            <w:tcW w:type="dxa" w:w="4870"/>
            <w:tcMar>
              <w:top w:type="dxa" w:w="70"/>
              <w:left w:type="dxa" w:w="130"/>
              <w:bottom w:type="dxa" w:w="70"/>
              <w:right w:type="dxa" w:w="130"/>
            </w:tcMar>
          </w:tcPr>
          <w:p>
            <w:pPr>
              <w:spacing w:line="260"/>
            </w:pPr>
            <w:r>
              <w:rPr>
                <w:b w:val="false"/>
                <w:bCs w:val="false"/>
                <w:sz w:val="19"/>
                <w:szCs w:val="19"/>
              </w:rPr>
              <w:t xml:space="preserve">Assess learners on the Competency Assessment Record, with "What Might You See or Hear?" beside them. Take part in moderation discussions - showing the evidence, explaining the judgement, and changing it when the level descriptions say they should. Then assess the rest of their learners with what was learned.</w:t>
            </w:r>
          </w:p>
        </w:tc>
      </w:tr>
      <w:tr>
        <w:tc>
          <w:tcPr>
            <w:tcW w:type="dxa" w:w="1679"/>
            <w:tcMar>
              <w:top w:type="dxa" w:w="70"/>
              <w:left w:type="dxa" w:w="130"/>
              <w:bottom w:type="dxa" w:w="70"/>
              <w:right w:type="dxa" w:w="130"/>
            </w:tcMar>
          </w:tcPr>
          <w:p>
            <w:pPr>
              <w:spacing w:line="260"/>
            </w:pPr>
            <w:r>
              <w:rPr>
                <w:b/>
                <w:bCs/>
                <w:color w:val="7A3B69"/>
                <w:sz w:val="19"/>
                <w:szCs w:val="19"/>
              </w:rPr>
              <w:t xml:space="preserve">Amala</w:t>
            </w:r>
          </w:p>
        </w:tc>
        <w:tc>
          <w:tcPr>
            <w:tcW w:type="dxa" w:w="2519"/>
            <w:tcMar>
              <w:top w:type="dxa" w:w="70"/>
              <w:left w:type="dxa" w:w="130"/>
              <w:bottom w:type="dxa" w:w="70"/>
              <w:right w:type="dxa" w:w="130"/>
            </w:tcMar>
          </w:tcPr>
          <w:p>
            <w:pPr>
              <w:spacing w:line="260"/>
            </w:pPr>
            <w:r>
              <w:rPr>
                <w:b w:val="false"/>
                <w:bCs w:val="false"/>
                <w:sz w:val="19"/>
                <w:szCs w:val="19"/>
              </w:rPr>
              <w:t xml:space="preserve">A member of the Amala Education Programmes team, online.</w:t>
            </w:r>
          </w:p>
        </w:tc>
        <w:tc>
          <w:tcPr>
            <w:tcW w:type="dxa" w:w="4870"/>
            <w:tcMar>
              <w:top w:type="dxa" w:w="70"/>
              <w:left w:type="dxa" w:w="130"/>
              <w:bottom w:type="dxa" w:w="70"/>
              <w:right w:type="dxa" w:w="130"/>
            </w:tcMar>
          </w:tcPr>
          <w:p>
            <w:pPr>
              <w:spacing w:line="260"/>
            </w:pPr>
            <w:r>
              <w:rPr>
                <w:b w:val="false"/>
                <w:bCs w:val="false"/>
                <w:sz w:val="19"/>
                <w:szCs w:val="19"/>
              </w:rPr>
              <w:t xml:space="preserve">Reads the completed templates ahead of the session, then runs a moderation session with the master educators: which cases would we place the same, which would we not, and what that means for every educator. Does not regrade learners, and does not join the discussions with educators.</w:t>
            </w:r>
          </w:p>
        </w:tc>
      </w:tr>
      <w:tr>
        <w:tc>
          <w:tcPr>
            <w:tcW w:type="dxa" w:w="1679"/>
            <w:tcMar>
              <w:top w:type="dxa" w:w="70"/>
              <w:left w:type="dxa" w:w="130"/>
              <w:bottom w:type="dxa" w:w="70"/>
              <w:right w:type="dxa" w:w="130"/>
            </w:tcMar>
          </w:tcPr>
          <w:p>
            <w:pPr>
              <w:spacing w:line="260"/>
            </w:pPr>
            <w:r>
              <w:rPr>
                <w:b/>
                <w:bCs/>
                <w:color w:val="7A3B69"/>
                <w:sz w:val="19"/>
                <w:szCs w:val="19"/>
              </w:rPr>
              <w:t xml:space="preserve">Programme coordinator</w:t>
            </w:r>
          </w:p>
        </w:tc>
        <w:tc>
          <w:tcPr>
            <w:tcW w:type="dxa" w:w="2519"/>
            <w:tcMar>
              <w:top w:type="dxa" w:w="70"/>
              <w:left w:type="dxa" w:w="130"/>
              <w:bottom w:type="dxa" w:w="70"/>
              <w:right w:type="dxa" w:w="130"/>
            </w:tcMar>
          </w:tcPr>
          <w:p>
            <w:pPr>
              <w:spacing w:line="260"/>
            </w:pPr>
            <w:r>
              <w:rPr>
                <w:b w:val="false"/>
                <w:bCs w:val="false"/>
                <w:sz w:val="19"/>
                <w:szCs w:val="19"/>
              </w:rPr>
              <w:t xml:space="preserve">NRC's coordinator.</w:t>
            </w:r>
          </w:p>
        </w:tc>
        <w:tc>
          <w:tcPr>
            <w:tcW w:type="dxa" w:w="4870"/>
            <w:tcMar>
              <w:top w:type="dxa" w:w="70"/>
              <w:left w:type="dxa" w:w="130"/>
              <w:bottom w:type="dxa" w:w="70"/>
              <w:right w:type="dxa" w:w="130"/>
            </w:tcMar>
          </w:tcPr>
          <w:p>
            <w:pPr>
              <w:spacing w:line="260"/>
            </w:pPr>
            <w:r>
              <w:rPr>
                <w:b w:val="false"/>
                <w:bCs w:val="false"/>
                <w:sz w:val="19"/>
                <w:szCs w:val="19"/>
              </w:rPr>
              <w:t xml:space="preserve">Puts each assessment period, the moderation discussions and the Amala session in the calendar, makes sure templates reach Amala ahead of the session, and confirms results only when every learner has been assessed and every change from moderation is on their record.</w:t>
            </w:r>
          </w:p>
        </w:tc>
      </w:tr>
    </w:tbl>
    <w:tbl>
      <w:tblPr>
        <w:tblW w:type="pct" w:w="100%"/>
        <w:tblBorders>
          <w:top w:val="none"/>
          <w:left w:val="single" w:color="6E7A2E" w:sz="18"/>
          <w:bottom w:val="none"/>
          <w:right w:val="none"/>
          <w:insideH w:val="none"/>
          <w:insideV w:val="none"/>
        </w:tblBorders>
      </w:tblPr>
      <w:tblGrid>
        <w:gridCol w:w="9070"/>
      </w:tblGrid>
      <w:tr>
        <w:tc>
          <w:tcPr>
            <w:tcW w:type="dxa" w:w="9070"/>
            <w:tcMar>
              <w:top w:type="dxa" w:w="120"/>
              <w:left w:type="dxa" w:w="200"/>
              <w:bottom w:type="dxa" w:w="120"/>
              <w:right w:type="dxa" w:w="140"/>
            </w:tcMar>
          </w:tcPr>
          <w:p>
            <w:pPr>
              <w:spacing w:after="90"/>
            </w:pPr>
            <w:r>
              <w:rPr>
                <w:b/>
                <w:bCs/>
                <w:color w:val="6E7A2E"/>
                <w:spacing w:val="24"/>
                <w:sz w:val="17"/>
                <w:szCs w:val="17"/>
              </w:rPr>
              <w:t xml:space="preserve">WHY A SAMPLE IS ENOUGH</w:t>
            </w:r>
          </w:p>
          <w:p>
            <w:pPr>
              <w:spacing w:after="0" w:before="0" w:line="300"/>
            </w:pPr>
            <w:r>
              <w:rPr>
                <w:sz w:val="21"/>
                <w:szCs w:val="21"/>
              </w:rPr>
              <w:t xml:space="preserve">One discussion per competency per centre is a sample. What makes it count is what happens next: when a level changes, the educator checks every other learner they judged the same way, and what was learned is shared with every educator before the rest of the learners are assessed. The same runs one level up: when the Amala session reads a case differently, the master educator takes it back to the educator, and shares it with every educator.</w:t>
            </w:r>
          </w:p>
        </w:tc>
      </w:tr>
    </w:tbl>
    <w:p>
      <w:pPr>
        <w:spacing w:after="140" w:before="0" w:line="300"/>
      </w:pPr>
      <w:r>
        <w:rPr>
          <w:color w:val="5A6473"/>
          <w:sz w:val="21"/>
          <w:szCs w:val="21"/>
        </w:rPr>
        <w:t xml:space="preserve">The full process - choosing what to moderate, running a moderation discussion, the session with Amala, and the moderation template - is in the Moderation Guide, which your master educators work from.</w:t>
      </w:r>
    </w:p>
    <w:p>
      <w:pPr>
        <w:pStyle w:val="Heading2"/>
        <w:keepNext/>
        <w:spacing w:after="100" w:before="280"/>
      </w:pPr>
      <w:r>
        <w:rPr>
          <w:b/>
          <w:bCs/>
          <w:color w:val="7A3B69"/>
          <w:sz w:val="28"/>
          <w:szCs w:val="28"/>
        </w:rPr>
        <w:t xml:space="preserve">The two assessed competencies</w:t>
      </w:r>
    </w:p>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2687"/>
        <w:gridCol w:w="6382"/>
      </w:tblGrid>
      <w:tr>
        <w:trPr>
          <w:tblHeader/>
        </w:trPr>
        <w:tc>
          <w:tcPr>
            <w:tcW w:type="dxa" w:w="2687"/>
            <w:tcMar>
              <w:top w:type="dxa" w:w="70"/>
              <w:left w:type="dxa" w:w="130"/>
              <w:bottom w:type="dxa" w:w="70"/>
              <w:right w:type="dxa" w:w="130"/>
            </w:tcMar>
          </w:tcPr>
          <w:p>
            <w:pPr>
              <w:spacing w:line="260"/>
            </w:pPr>
            <w:r>
              <w:rPr>
                <w:b/>
                <w:bCs/>
                <w:color w:val="1F3A5F"/>
                <w:sz w:val="19"/>
                <w:szCs w:val="19"/>
              </w:rPr>
              <w:t xml:space="preserve">Competency</w:t>
            </w:r>
          </w:p>
        </w:tc>
        <w:tc>
          <w:tcPr>
            <w:tcW w:type="dxa" w:w="6382"/>
            <w:tcMar>
              <w:top w:type="dxa" w:w="70"/>
              <w:left w:type="dxa" w:w="130"/>
              <w:bottom w:type="dxa" w:w="70"/>
              <w:right w:type="dxa" w:w="130"/>
            </w:tcMar>
          </w:tcPr>
          <w:p>
            <w:pPr>
              <w:spacing w:line="260"/>
            </w:pPr>
            <w:r>
              <w:rPr>
                <w:b/>
                <w:bCs/>
                <w:color w:val="1F3A5F"/>
                <w:sz w:val="19"/>
                <w:szCs w:val="19"/>
              </w:rPr>
              <w:t xml:space="preserve">Developed through</w:t>
            </w:r>
          </w:p>
        </w:tc>
      </w:tr>
      <w:tr>
        <w:tc>
          <w:tcPr>
            <w:tcW w:type="dxa" w:w="2687"/>
            <w:tcMar>
              <w:top w:type="dxa" w:w="70"/>
              <w:left w:type="dxa" w:w="130"/>
              <w:bottom w:type="dxa" w:w="70"/>
              <w:right w:type="dxa" w:w="130"/>
            </w:tcMar>
          </w:tcPr>
          <w:p>
            <w:pPr>
              <w:spacing w:line="260"/>
            </w:pPr>
            <w:r>
              <w:rPr>
                <w:b/>
                <w:bCs/>
                <w:color w:val="7A3B69"/>
                <w:sz w:val="19"/>
                <w:szCs w:val="19"/>
              </w:rPr>
              <w:t xml:space="preserve">Set and Pursue Goals</w:t>
            </w:r>
          </w:p>
        </w:tc>
        <w:tc>
          <w:tcPr>
            <w:tcW w:type="dxa" w:w="6382"/>
            <w:tcMar>
              <w:top w:type="dxa" w:w="70"/>
              <w:left w:type="dxa" w:w="130"/>
              <w:bottom w:type="dxa" w:w="70"/>
              <w:right w:type="dxa" w:w="130"/>
            </w:tcMar>
          </w:tcPr>
          <w:p>
            <w:pPr>
              <w:spacing w:line="260"/>
            </w:pPr>
            <w:r>
              <w:rPr>
                <w:b w:val="false"/>
                <w:bCs w:val="false"/>
                <w:sz w:val="19"/>
                <w:szCs w:val="19"/>
              </w:rPr>
              <w:t xml:space="preserve">The Agency in Learning component. The ability to set clear objectives for learning and growth and take deliberate steps toward them.</w:t>
            </w:r>
          </w:p>
        </w:tc>
      </w:tr>
      <w:tr>
        <w:tc>
          <w:tcPr>
            <w:tcW w:type="dxa" w:w="2687"/>
            <w:tcMar>
              <w:top w:type="dxa" w:w="70"/>
              <w:left w:type="dxa" w:w="130"/>
              <w:bottom w:type="dxa" w:w="70"/>
              <w:right w:type="dxa" w:w="130"/>
            </w:tcMar>
          </w:tcPr>
          <w:p>
            <w:pPr>
              <w:spacing w:line="260"/>
            </w:pPr>
            <w:r>
              <w:rPr>
                <w:b/>
                <w:bCs/>
                <w:color w:val="7A3B69"/>
                <w:sz w:val="19"/>
                <w:szCs w:val="19"/>
              </w:rPr>
              <w:t xml:space="preserve">Investigate Real World Issues</w:t>
            </w:r>
          </w:p>
        </w:tc>
        <w:tc>
          <w:tcPr>
            <w:tcW w:type="dxa" w:w="6382"/>
            <w:tcMar>
              <w:top w:type="dxa" w:w="70"/>
              <w:left w:type="dxa" w:w="130"/>
              <w:bottom w:type="dxa" w:w="70"/>
              <w:right w:type="dxa" w:w="130"/>
            </w:tcMar>
          </w:tcPr>
          <w:p>
            <w:pPr>
              <w:spacing w:line="260"/>
            </w:pPr>
            <w:r>
              <w:rPr>
                <w:b w:val="false"/>
                <w:bCs w:val="false"/>
                <w:sz w:val="19"/>
                <w:szCs w:val="19"/>
              </w:rPr>
              <w:t xml:space="preserve">The Research Project component. The ability to research challenges affecting people and the planet to develop actionable insights.</w:t>
            </w:r>
          </w:p>
        </w:tc>
      </w:tr>
    </w:tbl>
    <w:p>
      <w:pPr>
        <w:spacing w:after="140" w:before="0" w:line="300"/>
      </w:pPr>
      <w:r>
        <w:rPr>
          <w:b/>
          <w:bCs/>
          <w:color w:val="5A6473"/>
          <w:sz w:val="21"/>
          <w:szCs w:val="21"/>
        </w:rPr>
        <w:t xml:space="preserve">Note: the Research Project is contextualised around a single shared local challenge, agreed with NRC - what is happening to the trees on the hills where learners live. The whole cohort investigates the same question, and the unit is built around it, so both competencies are assessed in every cohort.</w:t>
      </w:r>
    </w:p>
    <w:p>
      <w:pPr>
        <w:pStyle w:val="Heading2"/>
        <w:keepNext/>
        <w:spacing w:after="100" w:before="280"/>
      </w:pPr>
      <w:r>
        <w:rPr>
          <w:b/>
          <w:bCs/>
          <w:color w:val="7A3B69"/>
          <w:sz w:val="28"/>
          <w:szCs w:val="28"/>
        </w:rPr>
        <w:t xml:space="preserve">The grade scale</w:t>
      </w:r>
    </w:p>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2687"/>
        <w:gridCol w:w="6382"/>
      </w:tblGrid>
      <w:tr>
        <w:trPr>
          <w:tblHeader/>
        </w:trPr>
        <w:tc>
          <w:tcPr>
            <w:tcW w:type="dxa" w:w="2687"/>
            <w:tcMar>
              <w:top w:type="dxa" w:w="70"/>
              <w:left w:type="dxa" w:w="130"/>
              <w:bottom w:type="dxa" w:w="70"/>
              <w:right w:type="dxa" w:w="130"/>
            </w:tcMar>
          </w:tcPr>
          <w:p>
            <w:pPr>
              <w:spacing w:line="260"/>
            </w:pPr>
            <w:r>
              <w:rPr>
                <w:b/>
                <w:bCs/>
                <w:color w:val="1F3A5F"/>
                <w:sz w:val="19"/>
                <w:szCs w:val="19"/>
              </w:rPr>
              <w:t xml:space="preserve">Grade</w:t>
            </w:r>
          </w:p>
        </w:tc>
        <w:tc>
          <w:tcPr>
            <w:tcW w:type="dxa" w:w="6382"/>
            <w:tcMar>
              <w:top w:type="dxa" w:w="70"/>
              <w:left w:type="dxa" w:w="130"/>
              <w:bottom w:type="dxa" w:w="70"/>
              <w:right w:type="dxa" w:w="130"/>
            </w:tcMar>
          </w:tcPr>
          <w:p>
            <w:pPr>
              <w:spacing w:line="260"/>
            </w:pPr>
            <w:r>
              <w:rPr>
                <w:b/>
                <w:bCs/>
                <w:color w:val="1F3A5F"/>
                <w:sz w:val="19"/>
                <w:szCs w:val="19"/>
              </w:rPr>
              <w:t xml:space="preserve">Requirement</w:t>
            </w:r>
          </w:p>
        </w:tc>
      </w:tr>
      <w:tr>
        <w:tc>
          <w:tcPr>
            <w:tcW w:type="dxa" w:w="2687"/>
            <w:tcMar>
              <w:top w:type="dxa" w:w="70"/>
              <w:left w:type="dxa" w:w="130"/>
              <w:bottom w:type="dxa" w:w="70"/>
              <w:right w:type="dxa" w:w="130"/>
            </w:tcMar>
          </w:tcPr>
          <w:p>
            <w:pPr>
              <w:spacing w:line="260"/>
            </w:pPr>
            <w:r>
              <w:rPr>
                <w:b/>
                <w:bCs/>
                <w:color w:val="7A3B69"/>
                <w:sz w:val="19"/>
                <w:szCs w:val="19"/>
              </w:rPr>
              <w:t xml:space="preserve">Pass</w:t>
            </w:r>
          </w:p>
        </w:tc>
        <w:tc>
          <w:tcPr>
            <w:tcW w:type="dxa" w:w="6382"/>
            <w:tcMar>
              <w:top w:type="dxa" w:w="70"/>
              <w:left w:type="dxa" w:w="130"/>
              <w:bottom w:type="dxa" w:w="70"/>
              <w:right w:type="dxa" w:w="130"/>
            </w:tcMar>
          </w:tcPr>
          <w:p>
            <w:pPr>
              <w:spacing w:line="260"/>
            </w:pPr>
            <w:r>
              <w:rPr>
                <w:b w:val="false"/>
                <w:bCs w:val="false"/>
                <w:sz w:val="19"/>
                <w:szCs w:val="19"/>
              </w:rPr>
              <w:t xml:space="preserve">Practitioner in both competencies.</w:t>
            </w:r>
          </w:p>
        </w:tc>
      </w:tr>
      <w:tr>
        <w:tc>
          <w:tcPr>
            <w:tcW w:type="dxa" w:w="2687"/>
            <w:tcMar>
              <w:top w:type="dxa" w:w="70"/>
              <w:left w:type="dxa" w:w="130"/>
              <w:bottom w:type="dxa" w:w="70"/>
              <w:right w:type="dxa" w:w="130"/>
            </w:tcMar>
          </w:tcPr>
          <w:p>
            <w:pPr>
              <w:spacing w:line="260"/>
            </w:pPr>
            <w:r>
              <w:rPr>
                <w:b/>
                <w:bCs/>
                <w:color w:val="7A3B69"/>
                <w:sz w:val="19"/>
                <w:szCs w:val="19"/>
              </w:rPr>
              <w:t xml:space="preserve">Merit</w:t>
            </w:r>
          </w:p>
        </w:tc>
        <w:tc>
          <w:tcPr>
            <w:tcW w:type="dxa" w:w="6382"/>
            <w:tcMar>
              <w:top w:type="dxa" w:w="70"/>
              <w:left w:type="dxa" w:w="130"/>
              <w:bottom w:type="dxa" w:w="70"/>
              <w:right w:type="dxa" w:w="130"/>
            </w:tcMar>
          </w:tcPr>
          <w:p>
            <w:pPr>
              <w:spacing w:line="260"/>
            </w:pPr>
            <w:r>
              <w:rPr>
                <w:b w:val="false"/>
                <w:bCs w:val="false"/>
                <w:sz w:val="19"/>
                <w:szCs w:val="19"/>
              </w:rPr>
              <w:t xml:space="preserve">Reflective Practitioner in one competency, Practitioner in the other.</w:t>
            </w:r>
          </w:p>
        </w:tc>
      </w:tr>
      <w:tr>
        <w:tc>
          <w:tcPr>
            <w:tcW w:type="dxa" w:w="2687"/>
            <w:tcMar>
              <w:top w:type="dxa" w:w="70"/>
              <w:left w:type="dxa" w:w="130"/>
              <w:bottom w:type="dxa" w:w="70"/>
              <w:right w:type="dxa" w:w="130"/>
            </w:tcMar>
          </w:tcPr>
          <w:p>
            <w:pPr>
              <w:spacing w:line="260"/>
            </w:pPr>
            <w:r>
              <w:rPr>
                <w:b/>
                <w:bCs/>
                <w:color w:val="7A3B69"/>
                <w:sz w:val="19"/>
                <w:szCs w:val="19"/>
              </w:rPr>
              <w:t xml:space="preserve">Distinction</w:t>
            </w:r>
          </w:p>
        </w:tc>
        <w:tc>
          <w:tcPr>
            <w:tcW w:type="dxa" w:w="6382"/>
            <w:tcMar>
              <w:top w:type="dxa" w:w="70"/>
              <w:left w:type="dxa" w:w="130"/>
              <w:bottom w:type="dxa" w:w="70"/>
              <w:right w:type="dxa" w:w="130"/>
            </w:tcMar>
          </w:tcPr>
          <w:p>
            <w:pPr>
              <w:spacing w:line="260"/>
            </w:pPr>
            <w:r>
              <w:rPr>
                <w:b w:val="false"/>
                <w:bCs w:val="false"/>
                <w:sz w:val="19"/>
                <w:szCs w:val="19"/>
              </w:rPr>
              <w:t xml:space="preserve">Reflective Practitioner in both competencies.</w:t>
            </w:r>
          </w:p>
        </w:tc>
      </w:tr>
    </w:tbl>
    <w:p>
      <w:r>
        <w:br w:type="page"/>
      </w:r>
    </w:p>
    <w:p>
      <w:pPr>
        <w:pStyle w:val="Heading1"/>
        <w:keepNext/>
        <w:spacing w:after="140" w:before="320"/>
      </w:pPr>
      <w:r>
        <w:rPr>
          <w:b/>
          <w:bCs/>
          <w:color w:val="1F3A5F"/>
          <w:sz w:val="36"/>
          <w:szCs w:val="36"/>
        </w:rPr>
        <w:t xml:space="preserve">6. Safeguarding and protection</w:t>
      </w:r>
    </w:p>
    <w:tbl>
      <w:tblPr>
        <w:tblW w:type="pct" w:w="100%"/>
        <w:tblBorders>
          <w:top w:val="none"/>
          <w:left w:val="single" w:color="7A3B69" w:sz="18"/>
          <w:bottom w:val="none"/>
          <w:right w:val="none"/>
          <w:insideH w:val="none"/>
          <w:insideV w:val="none"/>
        </w:tblBorders>
      </w:tblPr>
      <w:tblGrid>
        <w:gridCol w:w="9070"/>
      </w:tblGrid>
      <w:tr>
        <w:tc>
          <w:tcPr>
            <w:tcW w:type="dxa" w:w="9070"/>
            <w:tcMar>
              <w:top w:type="dxa" w:w="120"/>
              <w:left w:type="dxa" w:w="200"/>
              <w:bottom w:type="dxa" w:w="120"/>
              <w:right w:type="dxa" w:w="140"/>
            </w:tcMar>
          </w:tcPr>
          <w:p>
            <w:pPr>
              <w:spacing w:after="90"/>
            </w:pPr>
            <w:r>
              <w:rPr>
                <w:b/>
                <w:bCs/>
                <w:color w:val="7A3B69"/>
                <w:spacing w:val="24"/>
                <w:sz w:val="17"/>
                <w:szCs w:val="17"/>
              </w:rPr>
              <w:t xml:space="preserve">THIS IS NOT OPTIONAL, AND IT IS NOT YOURS TO IMPROVISE</w:t>
            </w:r>
          </w:p>
          <w:p>
            <w:pPr>
              <w:spacing w:after="90" w:before="0" w:line="300"/>
            </w:pPr>
            <w:r>
              <w:rPr>
                <w:sz w:val="21"/>
                <w:szCs w:val="21"/>
              </w:rPr>
              <w:t xml:space="preserve">All delivery follows NRC’s Code of Conduct and protection principles. Safeguarding is built into every activity that could surface loss, family, marriage, or displacement: no learner ever has to share.</w:t>
            </w:r>
          </w:p>
          <w:p>
            <w:pPr>
              <w:spacing w:after="90" w:before="0" w:line="300"/>
            </w:pPr>
            <w:r>
              <w:rPr>
                <w:sz w:val="21"/>
                <w:szCs w:val="21"/>
              </w:rPr>
              <w:t xml:space="preserve">Disclosures here may involve protection risks common in displacement - child marriage, family separation, gender-based violence. Educators are told to notice, steady, and refer - never to counsel, and never to promise secrecy.</w:t>
            </w:r>
          </w:p>
          <w:p>
            <w:pPr>
              <w:spacing w:after="0" w:before="0" w:line="300"/>
            </w:pPr>
            <w:r>
              <w:rPr>
                <w:sz w:val="21"/>
                <w:szCs w:val="21"/>
              </w:rPr>
              <w:t xml:space="preserve">Your job as coordinator: make sure the referral pathway is known and live at every site before delivery starts, and that every educator has been briefed on it.</w:t>
            </w:r>
          </w:p>
        </w:tc>
      </w:tr>
    </w:tbl>
    <w:p>
      <w:pPr>
        <w:pStyle w:val="Heading1"/>
        <w:keepNext/>
        <w:spacing w:after="140" w:before="320"/>
      </w:pPr>
      <w:r>
        <w:rPr>
          <w:b/>
          <w:bCs/>
          <w:color w:val="1F3A5F"/>
          <w:sz w:val="36"/>
          <w:szCs w:val="36"/>
        </w:rPr>
        <w:t xml:space="preserve">7. Coordinator checklist</w:t>
      </w:r>
    </w:p>
    <w:p>
      <w:pPr>
        <w:keepNext/>
        <w:spacing w:after="60" w:before="180"/>
      </w:pPr>
      <w:r>
        <w:rPr>
          <w:b/>
          <w:bCs/>
          <w:color w:val="6E7A2E"/>
          <w:spacing w:val="24"/>
          <w:sz w:val="17"/>
          <w:szCs w:val="17"/>
        </w:rPr>
        <w:t xml:space="preserve">ONCE PER COHORT, BEFORE WEEK 1</w:t>
      </w:r>
    </w:p>
    <w:p>
      <w:pPr>
        <w:pStyle w:val="ListParagraph"/>
        <w:numPr>
          <w:ilvl w:val="0"/>
          <w:numId w:val="1"/>
        </w:numPr>
        <w:spacing w:after="80" w:line="300"/>
      </w:pPr>
      <w:r>
        <w:rPr>
          <w:sz w:val="22"/>
          <w:szCs w:val="22"/>
        </w:rPr>
        <w:t xml:space="preserve">Sites confirmed; offline packs distributed and checked at each site.</w:t>
      </w:r>
    </w:p>
    <w:p>
      <w:pPr>
        <w:pStyle w:val="ListParagraph"/>
        <w:numPr>
          <w:ilvl w:val="0"/>
          <w:numId w:val="1"/>
        </w:numPr>
        <w:spacing w:after="80" w:line="300"/>
      </w:pPr>
      <w:r>
        <w:rPr>
          <w:sz w:val="22"/>
          <w:szCs w:val="22"/>
        </w:rPr>
        <w:t xml:space="preserve">Facilitators confirmed, with female facilitators and same-gender grouping where needed, and language matched.</w:t>
      </w:r>
    </w:p>
    <w:p>
      <w:pPr>
        <w:pStyle w:val="ListParagraph"/>
        <w:numPr>
          <w:ilvl w:val="0"/>
          <w:numId w:val="1"/>
        </w:numPr>
        <w:spacing w:after="80" w:line="300"/>
      </w:pPr>
      <w:r>
        <w:rPr>
          <w:sz w:val="22"/>
          <w:szCs w:val="22"/>
        </w:rPr>
        <w:t xml:space="preserve">Facilitators hold the required training modules, and both inductions are delivered and recorded before Week 1.</w:t>
      </w:r>
    </w:p>
    <w:p>
      <w:pPr>
        <w:pStyle w:val="ListParagraph"/>
        <w:numPr>
          <w:ilvl w:val="0"/>
          <w:numId w:val="1"/>
        </w:numPr>
        <w:spacing w:after="80" w:line="300"/>
      </w:pPr>
      <w:r>
        <w:rPr>
          <w:sz w:val="22"/>
          <w:szCs w:val="22"/>
        </w:rPr>
        <w:t xml:space="preserve">Safeguarding and referral pathway concrete and briefed at every site.</w:t>
      </w:r>
    </w:p>
    <w:p>
      <w:pPr>
        <w:pStyle w:val="ListParagraph"/>
        <w:numPr>
          <w:ilvl w:val="0"/>
          <w:numId w:val="1"/>
        </w:numPr>
        <w:spacing w:after="80" w:line="300"/>
      </w:pPr>
      <w:r>
        <w:rPr>
          <w:sz w:val="22"/>
          <w:szCs w:val="22"/>
        </w:rPr>
        <w:t xml:space="preserve">Diagnostic intake complete; learners placed and paired with mentors.</w:t>
      </w:r>
    </w:p>
    <w:p>
      <w:pPr>
        <w:pStyle w:val="ListParagraph"/>
        <w:numPr>
          <w:ilvl w:val="0"/>
          <w:numId w:val="1"/>
        </w:numPr>
        <w:spacing w:after="80" w:line="300"/>
      </w:pPr>
      <w:r>
        <w:rPr>
          <w:sz w:val="22"/>
          <w:szCs w:val="22"/>
        </w:rPr>
        <w:t xml:space="preserve">Week-6 and Week-12 assessment periods on the calendar, each with its moderation window and its session with Amala booked.</w:t>
      </w:r>
    </w:p>
    <w:p>
      <w:pPr>
        <w:keepNext/>
        <w:spacing w:after="60" w:before="180"/>
      </w:pPr>
      <w:r>
        <w:rPr>
          <w:b/>
          <w:bCs/>
          <w:color w:val="6E7A2E"/>
          <w:spacing w:val="24"/>
          <w:sz w:val="17"/>
          <w:szCs w:val="17"/>
        </w:rPr>
        <w:t xml:space="preserve">THROUGH THE COHORT</w:t>
      </w:r>
    </w:p>
    <w:p>
      <w:pPr>
        <w:pStyle w:val="ListParagraph"/>
        <w:numPr>
          <w:ilvl w:val="0"/>
          <w:numId w:val="1"/>
        </w:numPr>
        <w:spacing w:after="80" w:line="300"/>
      </w:pPr>
      <w:r>
        <w:rPr>
          <w:sz w:val="22"/>
          <w:szCs w:val="22"/>
        </w:rPr>
        <w:t xml:space="preserve">Evidence being gathered continuously, not left to the end.</w:t>
      </w:r>
    </w:p>
    <w:p>
      <w:pPr>
        <w:pStyle w:val="ListParagraph"/>
        <w:numPr>
          <w:ilvl w:val="0"/>
          <w:numId w:val="1"/>
        </w:numPr>
        <w:spacing w:after="80" w:line="300"/>
      </w:pPr>
      <w:r>
        <w:rPr>
          <w:sz w:val="22"/>
          <w:szCs w:val="22"/>
        </w:rPr>
        <w:t xml:space="preserve">Attendance is stop-start by nature - pick learners up where they are; a return after absence is progress, not a fresh start.</w:t>
      </w:r>
    </w:p>
    <w:p>
      <w:pPr>
        <w:pStyle w:val="ListParagraph"/>
        <w:numPr>
          <w:ilvl w:val="0"/>
          <w:numId w:val="1"/>
        </w:numPr>
        <w:spacing w:after="80" w:line="300"/>
      </w:pPr>
      <w:r>
        <w:rPr>
          <w:sz w:val="22"/>
          <w:szCs w:val="22"/>
        </w:rPr>
        <w:t xml:space="preserve">Week-6 supported assessment and moderation run; every recheck in; findings fed back to educators.</w:t>
      </w:r>
    </w:p>
    <w:p>
      <w:pPr>
        <w:pStyle w:val="ListParagraph"/>
        <w:numPr>
          <w:ilvl w:val="0"/>
          <w:numId w:val="1"/>
        </w:numPr>
        <w:spacing w:after="80" w:line="300"/>
      </w:pPr>
      <w:r>
        <w:rPr>
          <w:sz w:val="22"/>
          <w:szCs w:val="22"/>
        </w:rPr>
        <w:t xml:space="preserve">Week-12 final assessment and moderation run; every recheck in before results are confirmed and the readiness decision made.</w:t>
      </w:r>
    </w:p>
    <w:p>
      <w:pPr>
        <w:pStyle w:val="ListParagraph"/>
        <w:numPr>
          <w:ilvl w:val="0"/>
          <w:numId w:val="1"/>
        </w:numPr>
        <w:spacing w:after="80" w:line="300"/>
      </w:pPr>
      <w:r>
        <w:rPr>
          <w:sz w:val="22"/>
          <w:szCs w:val="22"/>
        </w:rPr>
        <w:t xml:space="preserve">Track the cohort against the 70% readiness measure.</w:t>
      </w:r>
    </w:p>
    <w:p>
      <w:pPr>
        <w:spacing w:after="140" w:before="240" w:line="300"/>
      </w:pPr>
      <w:r>
        <w:rPr>
          <w:color w:val="5A6473"/>
          <w:sz w:val="18"/>
          <w:szCs w:val="18"/>
        </w:rPr>
        <w:t xml:space="preserve">This guide is part of a fully offline, editable pack for Learning Bridge+ (Cox’s Bazar). Not for redistribution outside the programme.</w:t>
      </w:r>
    </w:p>
    <w:sectPr>
      <w:footerReference w:type="default" r:id="rId7"/>
      <w:pgSz w:w="11906" w:h="16838" w:orient="portrait"/>
      <w:pgMar w:top="1134" w:right="1418" w:bottom="1021" w:left="1418" w:header="624" w:footer="51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9B3A6" w:sz="4"/>
      </w:pBdr>
      <w:tabs>
        <w:tab w:val="right" w:pos="9070"/>
      </w:tabs>
      <w:spacing w:before="60"/>
    </w:pPr>
    <w:r>
      <w:rPr>
        <w:color w:val="5A6473"/>
        <w:sz w:val="15"/>
        <w:szCs w:val="15"/>
      </w:rPr>
      <w:t xml:space="preserve">Coordinator Guide  ·  Learning Bridge+ (Cox's Bazar)</w:t>
    </w:r>
    <w:r>
      <w:t xml:space="preserve">	</w:t>
    </w:r>
    <w:r>
      <w:rPr>
        <w:color w:val="5A6473"/>
        <w:sz w:val="15"/>
        <w:szCs w:val="15"/>
      </w:rPr>
      <w:t xml:space="preserve">page </w:t>
    </w:r>
    <w:r>
      <w:rPr>
        <w:b/>
        <w:bCs/>
        <w:color w:val="5A6473"/>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60"/>
      </w:pPr>
    </w:lvl>
  </w:abstractNum>
  <w:abstractNum w:abstractNumId="3" w15:restartNumberingAfterBreak="0">
    <w:multiLevelType w:val="hybridMultilevel"/>
    <w:lvl w:ilvl="0" w15:tentative="1">
      <w:start w:val="1"/>
      <w:numFmt w:val="decimal"/>
      <w:lvlText w:val="%1."/>
      <w:lvlJc w:val="start"/>
      <w:pPr>
        <w:ind w:left="460" w:hanging="260"/>
      </w:pPr>
    </w:lvl>
  </w:abstractNum>
  <w:abstractNum w:abstractNumId="4" w15:restartNumberingAfterBreak="0">
    <w:multiLevelType w:val="hybridMultilevel"/>
    <w:lvl w:ilvl="0" w15:tentative="1">
      <w:start w:val="1"/>
      <w:numFmt w:val="decimal"/>
      <w:lvlText w:val="%1."/>
      <w:lvlJc w:val="start"/>
      <w:pPr>
        <w:ind w:left="460" w:hanging="260"/>
      </w:pPr>
    </w:lvl>
  </w:abstractNum>
  <w:abstractNum w:abstractNumId="5" w15:restartNumberingAfterBreak="0">
    <w:multiLevelType w:val="hybridMultilevel"/>
    <w:lvl w:ilvl="0" w15:tentative="1">
      <w:start w:val="1"/>
      <w:numFmt w:val="decimal"/>
      <w:lvlText w:val="%1."/>
      <w:lvlJc w:val="start"/>
      <w:pPr>
        <w:ind w:left="460" w:hanging="260"/>
      </w:pPr>
    </w:lvl>
  </w:abstractNum>
  <w:abstractNum w:abstractNumId="6" w15:restartNumberingAfterBreak="0">
    <w:multiLevelType w:val="hybridMultilevel"/>
    <w:lvl w:ilvl="0" w15:tentative="1">
      <w:start w:val="1"/>
      <w:numFmt w:val="decimal"/>
      <w:lvlText w:val="%1."/>
      <w:lvlJc w:val="star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a199821ad423fe95637277d677a2e121abf5243.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2026-10-26T06:04:24.654Z</dcterms:created>
  <dcterms:modified xsi:type="dcterms:W3CDTF">2026-10-26T06:04:24.655Z</dcterms:modified>
</cp:coreProperties>
</file>

<file path=docProps/custom.xml><?xml version="1.0" encoding="utf-8"?>
<Properties xmlns="http://schemas.openxmlformats.org/officeDocument/2006/custom-properties" xmlns:vt="http://schemas.openxmlformats.org/officeDocument/2006/docPropsVTypes"/>
</file>