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pPr>
      <w:r>
        <w:drawing>
          <wp:inline distT="0" distB="0" distL="0" distR="0">
            <wp:extent cx="142875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733425"/>
                    </a:xfrm>
                    <a:prstGeom prst="rect">
                      <a:avLst/>
                    </a:prstGeom>
                  </pic:spPr>
                </pic:pic>
              </a:graphicData>
            </a:graphic>
          </wp:inline>
        </w:drawing>
      </w:r>
    </w:p>
    <w:p>
      <w:pPr>
        <w:spacing w:after="20"/>
      </w:pPr>
      <w:r>
        <w:rPr>
          <w:b/>
          <w:bCs/>
          <w:color w:val="6E7A2E"/>
          <w:sz w:val="22"/>
          <w:szCs w:val="22"/>
        </w:rPr>
        <w:t xml:space="preserve">Learning Bridge+</w:t>
      </w:r>
    </w:p>
    <w:p>
      <w:pPr>
        <w:spacing w:after="60"/>
      </w:pPr>
      <w:r>
        <w:rPr>
          <w:b/>
          <w:bCs/>
          <w:color w:val="1F3A5F"/>
          <w:sz w:val="52"/>
          <w:szCs w:val="52"/>
        </w:rPr>
        <w:t xml:space="preserve">Trainer Guide</w:t>
      </w:r>
    </w:p>
    <w:p>
      <w:pPr>
        <w:spacing w:after="60" w:before="0" w:line="300"/>
      </w:pPr>
      <w:r>
        <w:rPr>
          <w:b/>
          <w:bCs/>
          <w:color w:val="7A3B69"/>
          <w:sz w:val="28"/>
          <w:szCs w:val="28"/>
        </w:rPr>
        <w:t xml:space="preserve">Inducting the facilitators</w:t>
      </w:r>
    </w:p>
    <w:p>
      <w:pPr>
        <w:spacing w:after="20" w:before="0" w:line="300"/>
      </w:pPr>
      <w:r>
        <w:rPr>
          <w:color w:val="5A6473"/>
          <w:sz w:val="21"/>
          <w:szCs w:val="21"/>
        </w:rPr>
        <w:t xml:space="preserve">Learning Bridge+ (Cox's Bazar)  ·  a fully offline readiness programme for Rohingya youth</w:t>
      </w:r>
    </w:p>
    <w:p>
      <w:pPr>
        <w:spacing w:after="220" w:before="0" w:line="300"/>
      </w:pPr>
      <w:r>
        <w:rPr>
          <w:color w:val="5A6473"/>
          <w:sz w:val="21"/>
          <w:szCs w:val="21"/>
        </w:rPr>
        <w:t xml:space="preserve">Amala Education, remote technical consultant to the Norwegian Refugee Council (NRC)</w:t>
      </w:r>
    </w:p>
    <w:p>
      <w:pPr>
        <w:spacing w:after="140" w:before="0" w:line="300"/>
      </w:pPr>
      <w:r>
        <w:rPr>
          <w:sz w:val="22"/>
          <w:szCs w:val="22"/>
        </w:rPr>
        <w:t xml:space="preserve">This guide is for NRC’s master educators - the people who induct the facilitators before a cohort starts. It says what induction covers, what it deliberately does not, how to run the two inductions, and how you know a facilitator is ready to start. It ends with the other thing you do for your facilitators: running their moderation at Week 6 and Week 12. It is a companion to the Educator Guide, which is what facilitators deliver from, and to the Coordinator Guide, which is how the cohort around them is run.</w:t>
      </w:r>
    </w:p>
    <w:p>
      <w:pPr>
        <w:pBdr>
          <w:bottom w:val="single" w:color="B9B3A6" w:sz="4"/>
        </w:pBdr>
        <w:spacing w:after="180" w:before="60"/>
      </w:pPr>
    </w:p>
    <w:p>
      <w:pPr>
        <w:pStyle w:val="Heading1"/>
        <w:keepNext/>
        <w:spacing w:after="140" w:before="320"/>
      </w:pPr>
      <w:r>
        <w:rPr>
          <w:b/>
          <w:bCs/>
          <w:color w:val="1F3A5F"/>
          <w:sz w:val="36"/>
          <w:szCs w:val="36"/>
        </w:rPr>
        <w:t xml:space="preserve">1. Where induction sits</w:t>
      </w:r>
    </w:p>
    <w:p>
      <w:pPr>
        <w:spacing w:after="140" w:before="0" w:line="300"/>
      </w:pPr>
      <w:r>
        <w:rPr>
          <w:sz w:val="22"/>
          <w:szCs w:val="22"/>
        </w:rPr>
        <w:t xml:space="preserve">Three layers, and it is worth being clear which one you are in. Amala trains you. You induct the facilitators. The facilitators deliver to learners. Amala does not train facilitators directly and is not in the camps.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Layer</w:t>
            </w:r>
          </w:p>
        </w:tc>
        <w:tc>
          <w:tcPr>
            <w:tcW w:type="dxa" w:w="6382"/>
            <w:tcMar>
              <w:top w:type="dxa" w:w="70"/>
              <w:left w:type="dxa" w:w="130"/>
              <w:bottom w:type="dxa" w:w="70"/>
              <w:right w:type="dxa" w:w="130"/>
            </w:tcMar>
          </w:tcPr>
          <w:p>
            <w:pPr>
              <w:spacing w:line="260"/>
            </w:pPr>
            <w:r>
              <w:rPr>
                <w:b/>
                <w:bCs/>
                <w:color w:val="1F3A5F"/>
                <w:sz w:val="19"/>
                <w:szCs w:val="19"/>
              </w:rPr>
              <w:t xml:space="preserve">Who does it</w:t>
            </w:r>
          </w:p>
        </w:tc>
      </w:tr>
      <w:tr>
        <w:tc>
          <w:tcPr>
            <w:tcW w:type="dxa" w:w="2687"/>
            <w:tcMar>
              <w:top w:type="dxa" w:w="70"/>
              <w:left w:type="dxa" w:w="130"/>
              <w:bottom w:type="dxa" w:w="70"/>
              <w:right w:type="dxa" w:w="130"/>
            </w:tcMar>
          </w:tcPr>
          <w:p>
            <w:pPr>
              <w:spacing w:line="260"/>
            </w:pPr>
            <w:r>
              <w:rPr>
                <w:b/>
                <w:bCs/>
                <w:color w:val="7A3B69"/>
                <w:sz w:val="19"/>
                <w:szCs w:val="19"/>
              </w:rPr>
              <w:t xml:space="preserve">Training the trainers</w:t>
            </w:r>
          </w:p>
        </w:tc>
        <w:tc>
          <w:tcPr>
            <w:tcW w:type="dxa" w:w="6382"/>
            <w:tcMar>
              <w:top w:type="dxa" w:w="70"/>
              <w:left w:type="dxa" w:w="130"/>
              <w:bottom w:type="dxa" w:w="70"/>
              <w:right w:type="dxa" w:w="130"/>
            </w:tcMar>
          </w:tcPr>
          <w:p>
            <w:pPr>
              <w:spacing w:line="260"/>
            </w:pPr>
            <w:r>
              <w:rPr>
                <w:b w:val="false"/>
                <w:bCs w:val="false"/>
                <w:sz w:val="19"/>
                <w:szCs w:val="19"/>
              </w:rPr>
              <w:t xml:space="preserve">Amala, remotely - the workshop where you planned the induction you own.</w:t>
            </w:r>
          </w:p>
        </w:tc>
      </w:tr>
      <w:tr>
        <w:tc>
          <w:tcPr>
            <w:tcW w:type="dxa" w:w="2687"/>
            <w:tcMar>
              <w:top w:type="dxa" w:w="70"/>
              <w:left w:type="dxa" w:w="130"/>
              <w:bottom w:type="dxa" w:w="70"/>
              <w:right w:type="dxa" w:w="130"/>
            </w:tcMar>
          </w:tcPr>
          <w:p>
            <w:pPr>
              <w:spacing w:line="260"/>
            </w:pPr>
            <w:r>
              <w:rPr>
                <w:b/>
                <w:bCs/>
                <w:color w:val="7A3B69"/>
                <w:sz w:val="19"/>
                <w:szCs w:val="19"/>
              </w:rPr>
              <w:t xml:space="preserve">Inducting the facilitators</w:t>
            </w:r>
          </w:p>
        </w:tc>
        <w:tc>
          <w:tcPr>
            <w:tcW w:type="dxa" w:w="6382"/>
            <w:tcMar>
              <w:top w:type="dxa" w:w="70"/>
              <w:left w:type="dxa" w:w="130"/>
              <w:bottom w:type="dxa" w:w="70"/>
              <w:right w:type="dxa" w:w="130"/>
            </w:tcMar>
          </w:tcPr>
          <w:p>
            <w:pPr>
              <w:spacing w:line="260"/>
            </w:pPr>
            <w:r>
              <w:rPr>
                <w:b w:val="false"/>
                <w:bCs w:val="false"/>
                <w:sz w:val="19"/>
                <w:szCs w:val="19"/>
              </w:rPr>
              <w:t xml:space="preserve">You. This guide.</w:t>
            </w:r>
          </w:p>
        </w:tc>
      </w:tr>
      <w:tr>
        <w:tc>
          <w:tcPr>
            <w:tcW w:type="dxa" w:w="2687"/>
            <w:tcMar>
              <w:top w:type="dxa" w:w="70"/>
              <w:left w:type="dxa" w:w="130"/>
              <w:bottom w:type="dxa" w:w="70"/>
              <w:right w:type="dxa" w:w="130"/>
            </w:tcMar>
          </w:tcPr>
          <w:p>
            <w:pPr>
              <w:spacing w:line="260"/>
            </w:pPr>
            <w:r>
              <w:rPr>
                <w:b/>
                <w:bCs/>
                <w:color w:val="7A3B69"/>
                <w:sz w:val="19"/>
                <w:szCs w:val="19"/>
              </w:rPr>
              <w:t xml:space="preserve">Delivering the programme</w:t>
            </w:r>
          </w:p>
        </w:tc>
        <w:tc>
          <w:tcPr>
            <w:tcW w:type="dxa" w:w="6382"/>
            <w:tcMar>
              <w:top w:type="dxa" w:w="70"/>
              <w:left w:type="dxa" w:w="130"/>
              <w:bottom w:type="dxa" w:w="70"/>
              <w:right w:type="dxa" w:w="130"/>
            </w:tcMar>
          </w:tcPr>
          <w:p>
            <w:pPr>
              <w:spacing w:line="260"/>
            </w:pPr>
            <w:r>
              <w:rPr>
                <w:b w:val="false"/>
                <w:bCs w:val="false"/>
                <w:sz w:val="19"/>
                <w:szCs w:val="19"/>
              </w:rPr>
              <w:t xml:space="preserve">The facilitators, from the Educator Guide.</w:t>
            </w:r>
          </w:p>
        </w:tc>
      </w:tr>
    </w:tbl>
    <w:p>
      <w:pPr>
        <w:spacing w:after="140" w:before="0" w:line="300"/>
      </w:pPr>
      <w:r>
        <w:rPr>
          <w:sz w:val="22"/>
          <w:szCs w:val="22"/>
        </w:rPr>
        <w:t xml:space="preserve">A facilitator is ready to deliver Learning Bridge+ in Cox's Bazar when they hold the training modules below and have completed the programme inductions. The modules are portable: an educator who holds Being a mentor holds it wherever they go next. The inductions are specific to this programme and this context, and do not transfer.</w:t>
      </w:r>
    </w:p>
    <w:p>
      <w:pPr>
        <w:pStyle w:val="Heading2"/>
        <w:keepNext/>
        <w:spacing w:after="100" w:before="280"/>
      </w:pPr>
      <w:r>
        <w:rPr>
          <w:b/>
          <w:bCs/>
          <w:color w:val="7A3B69"/>
          <w:sz w:val="28"/>
          <w:szCs w:val="28"/>
        </w:rPr>
        <w:t xml:space="preserve">Induction is short on purpose</w:t>
      </w:r>
    </w:p>
    <w:p>
      <w:pPr>
        <w:spacing w:after="140" w:before="0" w:line="300"/>
      </w:pPr>
      <w:r>
        <w:rPr>
          <w:sz w:val="22"/>
          <w:szCs w:val="22"/>
        </w:rPr>
        <w:t xml:space="preserve">There are two inductions, about seven hours in total. That is deliberate, and it only works because most of what a facilitator needs is carried somewhere else.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What</w:t>
            </w:r>
          </w:p>
        </w:tc>
        <w:tc>
          <w:tcPr>
            <w:tcW w:type="dxa" w:w="6382"/>
            <w:tcMar>
              <w:top w:type="dxa" w:w="70"/>
              <w:left w:type="dxa" w:w="130"/>
              <w:bottom w:type="dxa" w:w="70"/>
              <w:right w:type="dxa" w:w="130"/>
            </w:tcMar>
          </w:tcPr>
          <w:p>
            <w:pPr>
              <w:spacing w:line="260"/>
            </w:pPr>
            <w:r>
              <w:rPr>
                <w:b/>
                <w:bCs/>
                <w:color w:val="1F3A5F"/>
                <w:sz w:val="19"/>
                <w:szCs w:val="19"/>
              </w:rPr>
              <w:t xml:space="preserve">Where it is carried</w:t>
            </w:r>
          </w:p>
        </w:tc>
      </w:tr>
      <w:tr>
        <w:tc>
          <w:tcPr>
            <w:tcW w:type="dxa" w:w="2687"/>
            <w:tcMar>
              <w:top w:type="dxa" w:w="70"/>
              <w:left w:type="dxa" w:w="130"/>
              <w:bottom w:type="dxa" w:w="70"/>
              <w:right w:type="dxa" w:w="130"/>
            </w:tcMar>
          </w:tcPr>
          <w:p>
            <w:pPr>
              <w:spacing w:line="260"/>
            </w:pPr>
            <w:r>
              <w:rPr>
                <w:b/>
                <w:bCs/>
                <w:color w:val="7A3B69"/>
                <w:sz w:val="19"/>
                <w:szCs w:val="19"/>
              </w:rPr>
              <w:t xml:space="preserve">The craft - facilitating, mentoring, assessing</w:t>
            </w:r>
          </w:p>
        </w:tc>
        <w:tc>
          <w:tcPr>
            <w:tcW w:type="dxa" w:w="6382"/>
            <w:tcMar>
              <w:top w:type="dxa" w:w="70"/>
              <w:left w:type="dxa" w:w="130"/>
              <w:bottom w:type="dxa" w:w="70"/>
              <w:right w:type="dxa" w:w="130"/>
            </w:tcMar>
          </w:tcPr>
          <w:p>
            <w:pPr>
              <w:spacing w:line="260"/>
            </w:pPr>
            <w:r>
              <w:rPr>
                <w:b w:val="false"/>
                <w:bCs w:val="false"/>
                <w:sz w:val="19"/>
                <w:szCs w:val="19"/>
              </w:rPr>
              <w:t xml:space="preserve">The portable training modules below. A facilitator holds these BEFORE induction. They transfer: an educator who holds Being a mentor holds it wherever they go next.</w:t>
            </w:r>
          </w:p>
        </w:tc>
      </w:tr>
      <w:tr>
        <w:tc>
          <w:tcPr>
            <w:tcW w:type="dxa" w:w="2687"/>
            <w:tcMar>
              <w:top w:type="dxa" w:w="70"/>
              <w:left w:type="dxa" w:w="130"/>
              <w:bottom w:type="dxa" w:w="70"/>
              <w:right w:type="dxa" w:w="130"/>
            </w:tcMar>
          </w:tcPr>
          <w:p>
            <w:pPr>
              <w:spacing w:line="260"/>
            </w:pPr>
            <w:r>
              <w:rPr>
                <w:b/>
                <w:bCs/>
                <w:color w:val="7A3B69"/>
                <w:sz w:val="19"/>
                <w:szCs w:val="19"/>
              </w:rPr>
              <w:t xml:space="preserve">The component detail - what to teach, in what order</w:t>
            </w:r>
          </w:p>
        </w:tc>
        <w:tc>
          <w:tcPr>
            <w:tcW w:type="dxa" w:w="6382"/>
            <w:tcMar>
              <w:top w:type="dxa" w:w="70"/>
              <w:left w:type="dxa" w:w="130"/>
              <w:bottom w:type="dxa" w:w="70"/>
              <w:right w:type="dxa" w:w="130"/>
            </w:tcMar>
          </w:tcPr>
          <w:p>
            <w:pPr>
              <w:spacing w:line="260"/>
            </w:pPr>
            <w:r>
              <w:rPr>
                <w:b w:val="false"/>
                <w:bCs w:val="false"/>
                <w:sz w:val="19"/>
                <w:szCs w:val="19"/>
              </w:rPr>
              <w:t xml:space="preserve">The Educator Guide. It is a complete manual, not a summary, and induction teaches them to use it rather than replacing it.</w:t>
            </w:r>
          </w:p>
        </w:tc>
      </w:tr>
      <w:tr>
        <w:tc>
          <w:tcPr>
            <w:tcW w:type="dxa" w:w="2687"/>
            <w:tcMar>
              <w:top w:type="dxa" w:w="70"/>
              <w:left w:type="dxa" w:w="130"/>
              <w:bottom w:type="dxa" w:w="70"/>
              <w:right w:type="dxa" w:w="130"/>
            </w:tcMar>
          </w:tcPr>
          <w:p>
            <w:pPr>
              <w:spacing w:line="260"/>
            </w:pPr>
            <w:r>
              <w:rPr>
                <w:b/>
                <w:bCs/>
                <w:color w:val="7A3B69"/>
                <w:sz w:val="19"/>
                <w:szCs w:val="19"/>
              </w:rPr>
              <w:t xml:space="preserve">NRC’s Code of Conduct, and the camp MHPSS and protection referral pathway</w:t>
            </w:r>
          </w:p>
        </w:tc>
        <w:tc>
          <w:tcPr>
            <w:tcW w:type="dxa" w:w="6382"/>
            <w:tcMar>
              <w:top w:type="dxa" w:w="70"/>
              <w:left w:type="dxa" w:w="130"/>
              <w:bottom w:type="dxa" w:w="70"/>
              <w:right w:type="dxa" w:w="130"/>
            </w:tcMar>
          </w:tcPr>
          <w:p>
            <w:pPr>
              <w:spacing w:line="260"/>
            </w:pPr>
            <w:r>
              <w:rPr>
                <w:b w:val="false"/>
                <w:bCs w:val="false"/>
                <w:sz w:val="19"/>
                <w:szCs w:val="19"/>
              </w:rPr>
              <w:t xml:space="preserve">The coordinator, made concrete at each site. NOT you, and not this guide - the pathway is site-specific and has to carry real names and real numbers.</w:t>
            </w:r>
          </w:p>
        </w:tc>
      </w:tr>
      <w:tr>
        <w:tc>
          <w:tcPr>
            <w:tcW w:type="dxa" w:w="2687"/>
            <w:tcMar>
              <w:top w:type="dxa" w:w="70"/>
              <w:left w:type="dxa" w:w="130"/>
              <w:bottom w:type="dxa" w:w="70"/>
              <w:right w:type="dxa" w:w="130"/>
            </w:tcMar>
          </w:tcPr>
          <w:p>
            <w:pPr>
              <w:spacing w:line="260"/>
            </w:pPr>
            <w:r>
              <w:rPr>
                <w:b/>
                <w:bCs/>
                <w:color w:val="7A3B69"/>
                <w:sz w:val="19"/>
                <w:szCs w:val="19"/>
              </w:rPr>
              <w:t xml:space="preserve">What does not transfer - this programme, in this context</w:t>
            </w:r>
          </w:p>
        </w:tc>
        <w:tc>
          <w:tcPr>
            <w:tcW w:type="dxa" w:w="6382"/>
            <w:tcMar>
              <w:top w:type="dxa" w:w="70"/>
              <w:left w:type="dxa" w:w="130"/>
              <w:bottom w:type="dxa" w:w="70"/>
              <w:right w:type="dxa" w:w="130"/>
            </w:tcMar>
          </w:tcPr>
          <w:p>
            <w:pPr>
              <w:spacing w:line="260"/>
            </w:pPr>
            <w:r>
              <w:rPr>
                <w:b w:val="false"/>
                <w:bCs w:val="false"/>
                <w:sz w:val="19"/>
                <w:szCs w:val="19"/>
              </w:rPr>
              <w:t xml:space="preserve">Induction. That is all it is for.</w:t>
            </w:r>
          </w:p>
        </w:tc>
      </w:tr>
    </w:tbl>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CHECK THIS BEFORE YOU PLAN A DATE</w:t>
            </w:r>
          </w:p>
          <w:p>
            <w:pPr>
              <w:spacing w:after="90" w:before="0" w:line="300"/>
            </w:pPr>
            <w:r>
              <w:rPr>
                <w:sz w:val="21"/>
                <w:szCs w:val="21"/>
              </w:rPr>
              <w:t xml:space="preserve">Facilitators hold the required training modules already. Induction assumes it, and does not teach the craft.</w:t>
            </w:r>
          </w:p>
          <w:p>
            <w:pPr>
              <w:spacing w:after="90" w:before="0" w:line="300"/>
            </w:pPr>
            <w:r>
              <w:rPr>
                <w:sz w:val="21"/>
                <w:szCs w:val="21"/>
              </w:rPr>
              <w:t xml:space="preserve">The coordinator has made the safeguarding and referral pathway concrete at this site. A generic diagram is worse than nothing, because it will be believed.</w:t>
            </w:r>
          </w:p>
          <w:p>
            <w:pPr>
              <w:spacing w:after="0" w:before="0" w:line="300"/>
            </w:pPr>
            <w:r>
              <w:rPr>
                <w:sz w:val="21"/>
                <w:szCs w:val="21"/>
              </w:rPr>
              <w:t xml:space="preserve">You have enough printed Educator Guides for everyone to hold one, and to keep it.</w:t>
            </w:r>
          </w:p>
        </w:tc>
      </w:tr>
    </w:tbl>
    <w:p>
      <w:pPr>
        <w:pStyle w:val="Heading2"/>
        <w:keepNext/>
        <w:spacing w:after="100" w:before="280"/>
      </w:pPr>
      <w:r>
        <w:rPr>
          <w:b/>
          <w:bCs/>
          <w:color w:val="7A3B69"/>
          <w:sz w:val="28"/>
          <w:szCs w:val="28"/>
        </w:rPr>
        <w:t xml:space="preserve">What a facilitator holds before induction</w:t>
      </w:r>
    </w:p>
    <w:p>
      <w:pPr>
        <w:spacing w:after="140" w:before="0" w:line="300"/>
      </w:pPr>
      <w:r>
        <w:rPr>
          <w:sz w:val="22"/>
          <w:szCs w:val="22"/>
        </w:rPr>
        <w:t xml:space="preserve">These are portable training modules, held before induction begins. If someone does not hold them, induction is not the place to fix it - tell the coordinator.</w:t>
      </w:r>
    </w:p>
    <w:p>
      <w:pPr>
        <w:pStyle w:val="ListParagraph"/>
        <w:numPr>
          <w:ilvl w:val="0"/>
          <w:numId w:val="1"/>
        </w:numPr>
        <w:spacing w:after="80" w:line="300"/>
      </w:pPr>
      <w:r>
        <w:rPr>
          <w:sz w:val="22"/>
          <w:szCs w:val="22"/>
        </w:rPr>
        <w:t xml:space="preserve">Introduction to Amala's transformative education model</w:t>
      </w:r>
    </w:p>
    <w:p>
      <w:pPr>
        <w:pStyle w:val="ListParagraph"/>
        <w:numPr>
          <w:ilvl w:val="0"/>
          <w:numId w:val="1"/>
        </w:numPr>
        <w:spacing w:after="80" w:line="300"/>
      </w:pPr>
      <w:r>
        <w:rPr>
          <w:sz w:val="22"/>
          <w:szCs w:val="22"/>
        </w:rPr>
        <w:t xml:space="preserve">Safeguarding</w:t>
      </w:r>
    </w:p>
    <w:p>
      <w:pPr>
        <w:pStyle w:val="ListParagraph"/>
        <w:numPr>
          <w:ilvl w:val="0"/>
          <w:numId w:val="1"/>
        </w:numPr>
        <w:spacing w:after="80" w:line="300"/>
      </w:pPr>
      <w:r>
        <w:rPr>
          <w:sz w:val="22"/>
          <w:szCs w:val="22"/>
        </w:rPr>
        <w:t xml:space="preserve">Designing and facilitating group-based learning</w:t>
      </w:r>
    </w:p>
    <w:p>
      <w:pPr>
        <w:pStyle w:val="ListParagraph"/>
        <w:numPr>
          <w:ilvl w:val="0"/>
          <w:numId w:val="1"/>
        </w:numPr>
        <w:spacing w:after="80" w:line="300"/>
      </w:pPr>
      <w:r>
        <w:rPr>
          <w:sz w:val="22"/>
          <w:szCs w:val="22"/>
        </w:rPr>
        <w:t xml:space="preserve">Being a mentor</w:t>
      </w:r>
    </w:p>
    <w:p>
      <w:pPr>
        <w:pStyle w:val="ListParagraph"/>
        <w:numPr>
          <w:ilvl w:val="0"/>
          <w:numId w:val="1"/>
        </w:numPr>
        <w:spacing w:after="80" w:line="300"/>
      </w:pPr>
      <w:r>
        <w:rPr>
          <w:sz w:val="22"/>
          <w:szCs w:val="22"/>
        </w:rPr>
        <w:t xml:space="preserve">Teaching English as a second language</w:t>
      </w:r>
    </w:p>
    <w:p>
      <w:pPr>
        <w:pStyle w:val="ListParagraph"/>
        <w:numPr>
          <w:ilvl w:val="0"/>
          <w:numId w:val="1"/>
        </w:numPr>
        <w:spacing w:after="80" w:line="300"/>
      </w:pPr>
      <w:r>
        <w:rPr>
          <w:sz w:val="22"/>
          <w:szCs w:val="22"/>
        </w:rPr>
        <w:t xml:space="preserve">Conducting assessments of competence</w:t>
      </w:r>
    </w:p>
    <w:p>
      <w:r>
        <w:br w:type="page"/>
      </w:r>
    </w:p>
    <w:p>
      <w:pPr>
        <w:pStyle w:val="Heading1"/>
        <w:keepNext/>
        <w:spacing w:after="140" w:before="320"/>
      </w:pPr>
      <w:r>
        <w:rPr>
          <w:b/>
          <w:bCs/>
          <w:color w:val="1F3A5F"/>
          <w:sz w:val="36"/>
          <w:szCs w:val="36"/>
        </w:rPr>
        <w:t xml:space="preserve">2. The two inductions</w:t>
      </w:r>
    </w:p>
    <w:p>
      <w:pPr>
        <w:spacing w:after="140" w:before="0" w:line="300"/>
      </w:pPr>
      <w:r>
        <w:rPr>
          <w:sz w:val="22"/>
          <w:szCs w:val="22"/>
        </w:rPr>
        <w:t xml:space="preserve">Two inductions, delivered by NRC's master educators, who are qualified to train through Amala's train-the-trainer module. Each has one named owner planning it. They are deliberately short: the craft of facilitating, mentoring and assessing is carried by the portable modules above, which a facilitator holds before induction begins, and the Educator Guide carries the component detail - so induction covers only what does not transfer. Two things sit outside it and belong to the coordinator: NRC's Code of Conduct, and the camp MHPSS and protection referral pathway, made concrete at each site before any facilitator takes a mentoring caseload.</w:t>
      </w:r>
    </w:p>
    <w:p>
      <w:pPr>
        <w:spacing w:after="140" w:before="0" w:line="300"/>
      </w:pPr>
      <w:r>
        <w:rPr>
          <w:sz w:val="22"/>
          <w:szCs w:val="22"/>
        </w:rPr>
        <w:t xml:space="preserve">For each one: what it is for, what a facilitator can do afterwards, a shape for the hours, and the way it usually goes wrong. The shape is a starting point - you planned this, and you may know your facilitators better than the shape does. What is not negotiable is the list of things a facilitator can do at the end.</w:t>
      </w:r>
    </w:p>
    <w:p>
      <w:pPr>
        <w:pStyle w:val="Heading2"/>
        <w:keepNext/>
        <w:spacing w:after="100" w:before="280"/>
      </w:pPr>
      <w:r>
        <w:rPr>
          <w:b/>
          <w:bCs/>
          <w:color w:val="7A3B69"/>
          <w:sz w:val="28"/>
          <w:szCs w:val="28"/>
        </w:rPr>
        <w:t xml:space="preserve">IND-1  The programme, your three roles, and the Educator Guide</w:t>
      </w:r>
    </w:p>
    <w:p>
      <w:pPr>
        <w:spacing w:after="80" w:before="0" w:line="300"/>
      </w:pPr>
      <w:r>
        <w:rPr>
          <w:b/>
          <w:bCs/>
          <w:color w:val="6E7A2E"/>
          <w:sz w:val="19"/>
          <w:szCs w:val="19"/>
        </w:rPr>
        <w:t xml:space="preserve">SUGGESTED LENGTH: 3-4 hrs   ·   YOU WORK FROM: The Educator Guide, all nine parts - read in the room, not beforehand</w:t>
      </w:r>
    </w:p>
    <w:p>
      <w:pPr>
        <w:spacing w:after="60" w:before="0" w:line="300"/>
      </w:pPr>
      <w:r>
        <w:rPr>
          <w:color w:val="1F3A5F"/>
          <w:sz w:val="23"/>
          <w:szCs w:val="23"/>
        </w:rPr>
        <w:t xml:space="preserve">A facilitator can say what Learning Bridge+ is for, name what it is ultimately building, run the weekly rhythm without asking anyone, and find anything they need in the Educator Guide.</w:t>
      </w:r>
    </w:p>
    <w:p>
      <w:pPr>
        <w:spacing w:after="140" w:before="0" w:line="300"/>
      </w:pPr>
      <w:r>
        <w:rPr>
          <w:sz w:val="22"/>
          <w:szCs w:val="22"/>
        </w:rPr>
        <w:t xml:space="preserve">What the programme is for, the agency thread, the four components, the two assessed competencies, and the weekly rhythm - 3 hours in person plus 2 independent, across at least 10 weeks. Then the Educator Guide itself: what is in each of its nine parts, protected time to read it, and the questions that come out of reading it.</w:t>
      </w:r>
    </w:p>
    <w:p>
      <w:pPr>
        <w:keepNext/>
        <w:spacing w:after="60" w:before="180"/>
      </w:pPr>
      <w:r>
        <w:rPr>
          <w:b/>
          <w:bCs/>
          <w:color w:val="6E7A2E"/>
          <w:spacing w:val="24"/>
          <w:sz w:val="17"/>
          <w:szCs w:val="17"/>
        </w:rPr>
        <w:t xml:space="preserve">AFTER THIS INDUCTION, A FACILITATOR CAN</w:t>
      </w:r>
    </w:p>
    <w:p>
      <w:pPr>
        <w:pStyle w:val="ListParagraph"/>
        <w:numPr>
          <w:ilvl w:val="0"/>
          <w:numId w:val="1"/>
        </w:numPr>
        <w:spacing w:after="80" w:line="300"/>
      </w:pPr>
      <w:r>
        <w:rPr>
          <w:sz w:val="22"/>
          <w:szCs w:val="22"/>
        </w:rPr>
        <w:t xml:space="preserve">Say what the programme is for in their own words - a young person leaves with more agency than they came with - and name the four components.</w:t>
      </w:r>
    </w:p>
    <w:p>
      <w:pPr>
        <w:pStyle w:val="ListParagraph"/>
        <w:numPr>
          <w:ilvl w:val="0"/>
          <w:numId w:val="1"/>
        </w:numPr>
        <w:spacing w:after="80" w:line="300"/>
      </w:pPr>
      <w:r>
        <w:rPr>
          <w:sz w:val="22"/>
          <w:szCs w:val="22"/>
        </w:rPr>
        <w:t xml:space="preserve">Name the two formally assessed competencies: Set and Pursue Goals, and Investigate Real World Issues.</w:t>
      </w:r>
    </w:p>
    <w:p>
      <w:pPr>
        <w:pStyle w:val="ListParagraph"/>
        <w:numPr>
          <w:ilvl w:val="0"/>
          <w:numId w:val="1"/>
        </w:numPr>
        <w:spacing w:after="80" w:line="300"/>
      </w:pPr>
      <w:r>
        <w:rPr>
          <w:sz w:val="22"/>
          <w:szCs w:val="22"/>
        </w:rPr>
        <w:t xml:space="preserve">Describe the week: 3 hours in person plus 2 independent, across a minimum of 10 weeks, with mentoring folded into the in-person time.</w:t>
      </w:r>
    </w:p>
    <w:p>
      <w:pPr>
        <w:pStyle w:val="ListParagraph"/>
        <w:numPr>
          <w:ilvl w:val="0"/>
          <w:numId w:val="1"/>
        </w:numPr>
        <w:spacing w:after="80" w:line="300"/>
      </w:pPr>
      <w:r>
        <w:rPr>
          <w:sz w:val="22"/>
          <w:szCs w:val="22"/>
        </w:rPr>
        <w:t xml:space="preserve">Say what is in each of the nine parts of the Educator Guide, and find anything in it inside a minute.</w:t>
      </w:r>
    </w:p>
    <w:p>
      <w:pPr>
        <w:pStyle w:val="ListParagraph"/>
        <w:numPr>
          <w:ilvl w:val="0"/>
          <w:numId w:val="1"/>
        </w:numPr>
        <w:spacing w:after="80" w:line="300"/>
      </w:pPr>
      <w:r>
        <w:rPr>
          <w:sz w:val="22"/>
          <w:szCs w:val="22"/>
        </w:rPr>
        <w:t xml:space="preserve">Run a block straight from the facilitator unit plan, using only what is printed.</w:t>
      </w:r>
    </w:p>
    <w:p>
      <w:pPr>
        <w:pStyle w:val="ListParagraph"/>
        <w:numPr>
          <w:ilvl w:val="0"/>
          <w:numId w:val="1"/>
        </w:numPr>
        <w:spacing w:after="80" w:line="300"/>
      </w:pPr>
      <w:r>
        <w:rPr>
          <w:sz w:val="22"/>
          <w:szCs w:val="22"/>
        </w:rPr>
        <w:t xml:space="preserve">Use the learner book by sheet number - the plan points into it that way.</w:t>
      </w:r>
    </w:p>
    <w:p>
      <w:pPr>
        <w:pStyle w:val="ListParagraph"/>
        <w:numPr>
          <w:ilvl w:val="0"/>
          <w:numId w:val="1"/>
        </w:numPr>
        <w:spacing w:after="80" w:line="300"/>
      </w:pPr>
      <w:r>
        <w:rPr>
          <w:sz w:val="22"/>
          <w:szCs w:val="22"/>
        </w:rPr>
        <w:t xml:space="preserve">Say what NRC does and what Amala does, including what moderation is, who runs it, and when it happens.</w:t>
      </w:r>
    </w:p>
    <w:p>
      <w:pPr>
        <w:keepNext/>
        <w:spacing w:after="60" w:before="180"/>
      </w:pPr>
      <w:r>
        <w:rPr>
          <w:b/>
          <w:bCs/>
          <w:color w:val="6E7A2E"/>
          <w:spacing w:val="24"/>
          <w:sz w:val="17"/>
          <w:szCs w:val="17"/>
        </w:rPr>
        <w:t xml:space="preserve">A SHAPE FOR THE HOURS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259"/>
        <w:gridCol w:w="7810"/>
      </w:tblGrid>
      <w:tr>
        <w:trPr>
          <w:tblHeader/>
        </w:trPr>
        <w:tc>
          <w:tcPr>
            <w:tcW w:type="dxa" w:w="1259"/>
            <w:tcMar>
              <w:top w:type="dxa" w:w="70"/>
              <w:left w:type="dxa" w:w="130"/>
              <w:bottom w:type="dxa" w:w="70"/>
              <w:right w:type="dxa" w:w="130"/>
            </w:tcMar>
          </w:tcPr>
          <w:p>
            <w:pPr>
              <w:spacing w:line="260"/>
            </w:pPr>
            <w:r>
              <w:rPr>
                <w:b/>
                <w:bCs/>
                <w:color w:val="1F3A5F"/>
                <w:sz w:val="19"/>
                <w:szCs w:val="19"/>
              </w:rPr>
              <w:t xml:space="preserve">Time</w:t>
            </w:r>
          </w:p>
        </w:tc>
        <w:tc>
          <w:tcPr>
            <w:tcW w:type="dxa" w:w="7810"/>
            <w:tcMar>
              <w:top w:type="dxa" w:w="70"/>
              <w:left w:type="dxa" w:w="130"/>
              <w:bottom w:type="dxa" w:w="70"/>
              <w:right w:type="dxa" w:w="130"/>
            </w:tcMar>
          </w:tcPr>
          <w:p>
            <w:pPr>
              <w:spacing w:line="260"/>
            </w:pPr>
            <w:r>
              <w:rPr>
                <w:b/>
                <w:bCs/>
                <w:color w:val="1F3A5F"/>
                <w:sz w:val="19"/>
                <w:szCs w:val="19"/>
              </w:rPr>
              <w:t xml:space="preserve">What happens</w:t>
            </w:r>
          </w:p>
        </w:tc>
      </w:tr>
      <w:tr>
        <w:tc>
          <w:tcPr>
            <w:tcW w:type="dxa" w:w="1259"/>
            <w:tcMar>
              <w:top w:type="dxa" w:w="70"/>
              <w:left w:type="dxa" w:w="130"/>
              <w:bottom w:type="dxa" w:w="70"/>
              <w:right w:type="dxa" w:w="130"/>
            </w:tcMar>
          </w:tcPr>
          <w:p>
            <w:pPr>
              <w:spacing w:line="260"/>
            </w:pPr>
            <w:r>
              <w:rPr>
                <w:b/>
                <w:bCs/>
                <w:color w:val="7A3B69"/>
                <w:sz w:val="19"/>
                <w:szCs w:val="19"/>
              </w:rPr>
              <w:t xml:space="preserve">20 min</w:t>
            </w:r>
          </w:p>
        </w:tc>
        <w:tc>
          <w:tcPr>
            <w:tcW w:type="dxa" w:w="7810"/>
            <w:tcMar>
              <w:top w:type="dxa" w:w="70"/>
              <w:left w:type="dxa" w:w="130"/>
              <w:bottom w:type="dxa" w:w="70"/>
              <w:right w:type="dxa" w:w="130"/>
            </w:tcMar>
          </w:tcPr>
          <w:p>
            <w:pPr>
              <w:spacing w:line="260"/>
            </w:pPr>
            <w:r>
              <w:rPr>
                <w:b w:val="false"/>
                <w:bCs w:val="false"/>
                <w:sz w:val="19"/>
                <w:szCs w:val="19"/>
              </w:rPr>
              <w:t xml:space="preserve">What the programme is for. The agency thread, in your own words, not read off the page - a young person leaves with more agency than they came with. Then the four components and the two assessed competencies. End by asking each facilitator to say it back in one sentence.</w:t>
            </w:r>
          </w:p>
        </w:tc>
      </w:tr>
      <w:tr>
        <w:tc>
          <w:tcPr>
            <w:tcW w:type="dxa" w:w="1259"/>
            <w:tcMar>
              <w:top w:type="dxa" w:w="70"/>
              <w:left w:type="dxa" w:w="130"/>
              <w:bottom w:type="dxa" w:w="70"/>
              <w:right w:type="dxa" w:w="130"/>
            </w:tcMar>
          </w:tcPr>
          <w:p>
            <w:pPr>
              <w:spacing w:line="260"/>
            </w:pPr>
            <w:r>
              <w:rPr>
                <w:b/>
                <w:bCs/>
                <w:color w:val="7A3B69"/>
                <w:sz w:val="19"/>
                <w:szCs w:val="19"/>
              </w:rPr>
              <w:t xml:space="preserve">20 min</w:t>
            </w:r>
          </w:p>
        </w:tc>
        <w:tc>
          <w:tcPr>
            <w:tcW w:type="dxa" w:w="7810"/>
            <w:tcMar>
              <w:top w:type="dxa" w:w="70"/>
              <w:left w:type="dxa" w:w="130"/>
              <w:bottom w:type="dxa" w:w="70"/>
              <w:right w:type="dxa" w:w="130"/>
            </w:tcMar>
          </w:tcPr>
          <w:p>
            <w:pPr>
              <w:spacing w:line="260"/>
            </w:pPr>
            <w:r>
              <w:rPr>
                <w:b w:val="false"/>
                <w:bCs w:val="false"/>
                <w:sz w:val="19"/>
                <w:szCs w:val="19"/>
              </w:rPr>
              <w:t xml:space="preserve">The three roles. Facilitate, mentor, assess - the same person doing all three, all the way through. Draw out that mentoring adds no hours: it runs inside the in-person time they already have.</w:t>
            </w:r>
          </w:p>
        </w:tc>
      </w:tr>
      <w:tr>
        <w:tc>
          <w:tcPr>
            <w:tcW w:type="dxa" w:w="1259"/>
            <w:tcMar>
              <w:top w:type="dxa" w:w="70"/>
              <w:left w:type="dxa" w:w="130"/>
              <w:bottom w:type="dxa" w:w="70"/>
              <w:right w:type="dxa" w:w="130"/>
            </w:tcMar>
          </w:tcPr>
          <w:p>
            <w:pPr>
              <w:spacing w:line="260"/>
            </w:pPr>
            <w:r>
              <w:rPr>
                <w:b/>
                <w:bCs/>
                <w:color w:val="7A3B69"/>
                <w:sz w:val="19"/>
                <w:szCs w:val="19"/>
              </w:rPr>
              <w:t xml:space="preserve">25 min</w:t>
            </w:r>
          </w:p>
        </w:tc>
        <w:tc>
          <w:tcPr>
            <w:tcW w:type="dxa" w:w="7810"/>
            <w:tcMar>
              <w:top w:type="dxa" w:w="70"/>
              <w:left w:type="dxa" w:w="130"/>
              <w:bottom w:type="dxa" w:w="70"/>
              <w:right w:type="dxa" w:w="130"/>
            </w:tcMar>
          </w:tcPr>
          <w:p>
            <w:pPr>
              <w:spacing w:line="260"/>
            </w:pPr>
            <w:r>
              <w:rPr>
                <w:b w:val="false"/>
                <w:bCs w:val="false"/>
                <w:sz w:val="19"/>
                <w:szCs w:val="19"/>
              </w:rPr>
              <w:t xml:space="preserve">The week. Three learning days, three hours each, one hour per component, about two hours at home between days. Put the week-by-week map in front of them and walk one real week of it.</w:t>
            </w:r>
          </w:p>
        </w:tc>
      </w:tr>
      <w:tr>
        <w:tc>
          <w:tcPr>
            <w:tcW w:type="dxa" w:w="1259"/>
            <w:tcMar>
              <w:top w:type="dxa" w:w="70"/>
              <w:left w:type="dxa" w:w="130"/>
              <w:bottom w:type="dxa" w:w="70"/>
              <w:right w:type="dxa" w:w="130"/>
            </w:tcMar>
          </w:tcPr>
          <w:p>
            <w:pPr>
              <w:spacing w:line="260"/>
            </w:pPr>
            <w:r>
              <w:rPr>
                <w:b/>
                <w:bCs/>
                <w:color w:val="7A3B69"/>
                <w:sz w:val="19"/>
                <w:szCs w:val="19"/>
              </w:rPr>
              <w:t xml:space="preserve">45 min</w:t>
            </w:r>
          </w:p>
        </w:tc>
        <w:tc>
          <w:tcPr>
            <w:tcW w:type="dxa" w:w="7810"/>
            <w:tcMar>
              <w:top w:type="dxa" w:w="70"/>
              <w:left w:type="dxa" w:w="130"/>
              <w:bottom w:type="dxa" w:w="70"/>
              <w:right w:type="dxa" w:w="130"/>
            </w:tcMar>
          </w:tcPr>
          <w:p>
            <w:pPr>
              <w:spacing w:line="260"/>
            </w:pPr>
            <w:r>
              <w:rPr>
                <w:b w:val="false"/>
                <w:bCs w:val="false"/>
                <w:sz w:val="19"/>
                <w:szCs w:val="19"/>
              </w:rPr>
              <w:t xml:space="preserve">THE READING. Hand out the Educator Guide and give them the clock. Nine parts: what is in each one. Then protected, silent reading time - at least half an hour of it - with a task: find the block you would teach on your first Monday, and read it properly. This is the block people cut when they run late. Do not cut it.</w:t>
            </w:r>
          </w:p>
        </w:tc>
      </w:tr>
      <w:tr>
        <w:tc>
          <w:tcPr>
            <w:tcW w:type="dxa" w:w="1259"/>
            <w:tcMar>
              <w:top w:type="dxa" w:w="70"/>
              <w:left w:type="dxa" w:w="130"/>
              <w:bottom w:type="dxa" w:w="70"/>
              <w:right w:type="dxa" w:w="130"/>
            </w:tcMar>
          </w:tcPr>
          <w:p>
            <w:pPr>
              <w:spacing w:line="260"/>
            </w:pPr>
            <w:r>
              <w:rPr>
                <w:b/>
                <w:bCs/>
                <w:color w:val="7A3B69"/>
                <w:sz w:val="19"/>
                <w:szCs w:val="19"/>
              </w:rPr>
              <w:t xml:space="preserve">30 min</w:t>
            </w:r>
          </w:p>
        </w:tc>
        <w:tc>
          <w:tcPr>
            <w:tcW w:type="dxa" w:w="7810"/>
            <w:tcMar>
              <w:top w:type="dxa" w:w="70"/>
              <w:left w:type="dxa" w:w="130"/>
              <w:bottom w:type="dxa" w:w="70"/>
              <w:right w:type="dxa" w:w="130"/>
            </w:tcMar>
          </w:tcPr>
          <w:p>
            <w:pPr>
              <w:spacing w:line="260"/>
            </w:pPr>
            <w:r>
              <w:rPr>
                <w:b w:val="false"/>
                <w:bCs w:val="false"/>
                <w:sz w:val="19"/>
                <w:szCs w:val="19"/>
              </w:rPr>
              <w:t xml:space="preserve">Questions, and finding things. Take every question the reading produced. Then set a find-it round: name a thing, they race to the page. "Where is the mentor record?" "Where are the picture cards?" "Where does the plan tell you which sheet number?" They should be finding anything inside a minute by the end.</w:t>
            </w:r>
          </w:p>
        </w:tc>
      </w:tr>
      <w:tr>
        <w:tc>
          <w:tcPr>
            <w:tcW w:type="dxa" w:w="1259"/>
            <w:tcMar>
              <w:top w:type="dxa" w:w="70"/>
              <w:left w:type="dxa" w:w="130"/>
              <w:bottom w:type="dxa" w:w="70"/>
              <w:right w:type="dxa" w:w="130"/>
            </w:tcMar>
          </w:tcPr>
          <w:p>
            <w:pPr>
              <w:spacing w:line="260"/>
            </w:pPr>
            <w:r>
              <w:rPr>
                <w:b/>
                <w:bCs/>
                <w:color w:val="7A3B69"/>
                <w:sz w:val="19"/>
                <w:szCs w:val="19"/>
              </w:rPr>
              <w:t xml:space="preserve">40 min</w:t>
            </w:r>
          </w:p>
        </w:tc>
        <w:tc>
          <w:tcPr>
            <w:tcW w:type="dxa" w:w="7810"/>
            <w:tcMar>
              <w:top w:type="dxa" w:w="70"/>
              <w:left w:type="dxa" w:w="130"/>
              <w:bottom w:type="dxa" w:w="70"/>
              <w:right w:type="dxa" w:w="130"/>
            </w:tcMar>
          </w:tcPr>
          <w:p>
            <w:pPr>
              <w:spacing w:line="260"/>
            </w:pPr>
            <w:r>
              <w:rPr>
                <w:b w:val="false"/>
                <w:bCs w:val="false"/>
                <w:sz w:val="19"/>
                <w:szCs w:val="19"/>
              </w:rPr>
              <w:t xml:space="preserve">Run a block on each other. In pairs, from the printed unit plan only, ten minutes each, then swap. Badly is fine. Then do one again, better. This is what makes the rest of it stick.</w:t>
            </w:r>
          </w:p>
        </w:tc>
      </w:tr>
    </w:tbl>
    <w:p>
      <w:pPr>
        <w:spacing w:after="140" w:before="100" w:line="300"/>
      </w:pPr>
      <w:r>
        <w:rPr>
          <w:b/>
          <w:bCs/>
          <w:color w:val="6E7A2E"/>
          <w:sz w:val="21"/>
          <w:szCs w:val="21"/>
        </w:rPr>
        <w:t xml:space="preserve">They leave holding the Educator Guide, having read part of it, having taught from it once, and able to find anything in it.</w:t>
      </w:r>
    </w:p>
    <w:p>
      <w:pPr>
        <w:keepNext/>
        <w:spacing w:after="60" w:before="180"/>
      </w:pPr>
      <w:r>
        <w:rPr>
          <w:b/>
          <w:bCs/>
          <w:color w:val="6E7A2E"/>
          <w:spacing w:val="24"/>
          <w:sz w:val="17"/>
          <w:szCs w:val="17"/>
        </w:rPr>
        <w:t xml:space="preserve">WHAT IT DRAWS ON</w:t>
      </w:r>
    </w:p>
    <w:p>
      <w:pPr>
        <w:pStyle w:val="ListParagraph"/>
        <w:numPr>
          <w:ilvl w:val="0"/>
          <w:numId w:val="1"/>
        </w:numPr>
        <w:spacing w:after="80" w:line="300"/>
      </w:pPr>
      <w:r>
        <w:rPr>
          <w:sz w:val="22"/>
          <w:szCs w:val="22"/>
        </w:rPr>
        <w:t xml:space="preserve">The Educator Guide - Part 1 for the agency thread and the three roles, Parts 4-6 for the unit plans, Parts 7-8 for the learner books and cards</w:t>
      </w:r>
    </w:p>
    <w:p>
      <w:pPr>
        <w:pStyle w:val="ListParagraph"/>
        <w:numPr>
          <w:ilvl w:val="0"/>
          <w:numId w:val="1"/>
        </w:numPr>
        <w:spacing w:after="80" w:line="300"/>
      </w:pPr>
      <w:r>
        <w:rPr>
          <w:sz w:val="22"/>
          <w:szCs w:val="22"/>
        </w:rPr>
        <w:t xml:space="preserve">The programme page on the Amala site</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TRAP</w:t>
            </w:r>
          </w:p>
          <w:p>
            <w:pPr>
              <w:spacing w:after="0" w:before="0" w:line="300"/>
            </w:pPr>
            <w:r>
              <w:rPr>
                <w:sz w:val="21"/>
                <w:szCs w:val="21"/>
              </w:rPr>
              <w:t xml:space="preserve">The easy version of this is a briefing about Amala, followed by "read the guide at home". Nobody reads it at home. The reading happens in the room, on the clock, and every block ends with something the facilitator can do on their first Monday.</w:t>
            </w:r>
          </w:p>
        </w:tc>
      </w:tr>
    </w:tbl>
    <w:p>
      <w:r>
        <w:br w:type="page"/>
      </w:r>
    </w:p>
    <w:p>
      <w:pPr>
        <w:pStyle w:val="Heading2"/>
        <w:keepNext/>
        <w:spacing w:after="100" w:before="280"/>
      </w:pPr>
      <w:r>
        <w:rPr>
          <w:b/>
          <w:bCs/>
          <w:color w:val="7A3B69"/>
          <w:sz w:val="28"/>
          <w:szCs w:val="28"/>
        </w:rPr>
        <w:t xml:space="preserve">IND-2  Assessment on Learning Bridge+</w:t>
      </w:r>
    </w:p>
    <w:p>
      <w:pPr>
        <w:spacing w:after="80" w:before="0" w:line="300"/>
      </w:pPr>
      <w:r>
        <w:rPr>
          <w:b/>
          <w:bCs/>
          <w:color w:val="6E7A2E"/>
          <w:sz w:val="19"/>
          <w:szCs w:val="19"/>
        </w:rPr>
        <w:t xml:space="preserve">SUGGESTED LENGTH: 3-4 hrs   ·   YOU WORK FROM: The Competency Assessment Record, and Educator Guide Part 3 - the levels in the language of each competency</w:t>
      </w:r>
    </w:p>
    <w:p>
      <w:pPr>
        <w:spacing w:after="60" w:before="0" w:line="300"/>
      </w:pPr>
      <w:r>
        <w:rPr>
          <w:color w:val="1F3A5F"/>
          <w:sz w:val="23"/>
          <w:szCs w:val="23"/>
        </w:rPr>
        <w:t xml:space="preserve">A facilitator can judge the two assessed competencies against the Proficiency Scale at week 6 and week 12, complete the records, and take part in moderation.</w:t>
      </w:r>
    </w:p>
    <w:p>
      <w:pPr>
        <w:spacing w:after="140" w:before="0" w:line="300"/>
      </w:pPr>
      <w:r>
        <w:rPr>
          <w:sz w:val="22"/>
          <w:szCs w:val="22"/>
        </w:rPr>
        <w:t xml:space="preserve">Judging the two assessed competencies against the Proficiency Scale at the week-6 supported and week-12 final points, completing the records, the Pass / Merit / Distinction boundaries, and what happens in moderation - run by a master educator in each assessment period.</w:t>
      </w:r>
    </w:p>
    <w:p>
      <w:pPr>
        <w:keepNext/>
        <w:spacing w:after="60" w:before="180"/>
      </w:pPr>
      <w:r>
        <w:rPr>
          <w:b/>
          <w:bCs/>
          <w:color w:val="6E7A2E"/>
          <w:spacing w:val="24"/>
          <w:sz w:val="17"/>
          <w:szCs w:val="17"/>
        </w:rPr>
        <w:t xml:space="preserve">AFTER THIS INDUCTION, A FACILITATOR CAN</w:t>
      </w:r>
    </w:p>
    <w:p>
      <w:pPr>
        <w:pStyle w:val="ListParagraph"/>
        <w:numPr>
          <w:ilvl w:val="0"/>
          <w:numId w:val="1"/>
        </w:numPr>
        <w:spacing w:after="80" w:line="300"/>
      </w:pPr>
      <w:r>
        <w:rPr>
          <w:sz w:val="22"/>
          <w:szCs w:val="22"/>
        </w:rPr>
        <w:t xml:space="preserve">Name the two assessed competencies and say where the evidence for each actually comes from in the programme.</w:t>
      </w:r>
    </w:p>
    <w:p>
      <w:pPr>
        <w:pStyle w:val="ListParagraph"/>
        <w:numPr>
          <w:ilvl w:val="0"/>
          <w:numId w:val="1"/>
        </w:numPr>
        <w:spacing w:after="80" w:line="300"/>
      </w:pPr>
      <w:r>
        <w:rPr>
          <w:sz w:val="22"/>
          <w:szCs w:val="22"/>
        </w:rPr>
        <w:t xml:space="preserve">Place a real piece of learner evidence on the Proficiency Scale, and say why it sits there rather than one step up.</w:t>
      </w:r>
    </w:p>
    <w:p>
      <w:pPr>
        <w:pStyle w:val="ListParagraph"/>
        <w:numPr>
          <w:ilvl w:val="0"/>
          <w:numId w:val="1"/>
        </w:numPr>
        <w:spacing w:after="80" w:line="300"/>
      </w:pPr>
      <w:r>
        <w:rPr>
          <w:sz w:val="22"/>
          <w:szCs w:val="22"/>
        </w:rPr>
        <w:t xml:space="preserve">Say what is different about the week-6 supported assessment and the week-12 final one.</w:t>
      </w:r>
    </w:p>
    <w:p>
      <w:pPr>
        <w:pStyle w:val="ListParagraph"/>
        <w:numPr>
          <w:ilvl w:val="0"/>
          <w:numId w:val="1"/>
        </w:numPr>
        <w:spacing w:after="80" w:line="300"/>
      </w:pPr>
      <w:r>
        <w:rPr>
          <w:sz w:val="22"/>
          <w:szCs w:val="22"/>
        </w:rPr>
        <w:t xml:space="preserve">Complete the assessment record for a learner.</w:t>
      </w:r>
    </w:p>
    <w:p>
      <w:pPr>
        <w:pStyle w:val="ListParagraph"/>
        <w:numPr>
          <w:ilvl w:val="0"/>
          <w:numId w:val="1"/>
        </w:numPr>
        <w:spacing w:after="80" w:line="300"/>
      </w:pPr>
      <w:r>
        <w:rPr>
          <w:sz w:val="22"/>
          <w:szCs w:val="22"/>
        </w:rPr>
        <w:t xml:space="preserve">Explain the grade boundaries - Pass, Merit, Distinction - and what a learner has to show for each.</w:t>
      </w:r>
    </w:p>
    <w:p>
      <w:pPr>
        <w:pStyle w:val="ListParagraph"/>
        <w:numPr>
          <w:ilvl w:val="0"/>
          <w:numId w:val="1"/>
        </w:numPr>
        <w:spacing w:after="80" w:line="300"/>
      </w:pPr>
      <w:r>
        <w:rPr>
          <w:sz w:val="22"/>
          <w:szCs w:val="22"/>
        </w:rPr>
        <w:t xml:space="preserve">Take part in a moderation discussion - show the evidence, explain the judgement, and change it when the level description says so.</w:t>
      </w:r>
    </w:p>
    <w:p>
      <w:pPr>
        <w:pStyle w:val="ListParagraph"/>
        <w:numPr>
          <w:ilvl w:val="0"/>
          <w:numId w:val="1"/>
        </w:numPr>
        <w:spacing w:after="80" w:line="300"/>
      </w:pPr>
      <w:r>
        <w:rPr>
          <w:sz w:val="22"/>
          <w:szCs w:val="22"/>
        </w:rPr>
        <w:t xml:space="preserve">Update a record changed by moderation, and check other learners judged the same way.</w:t>
      </w:r>
    </w:p>
    <w:p>
      <w:pPr>
        <w:keepNext/>
        <w:spacing w:after="60" w:before="180"/>
      </w:pPr>
      <w:r>
        <w:rPr>
          <w:b/>
          <w:bCs/>
          <w:color w:val="6E7A2E"/>
          <w:spacing w:val="24"/>
          <w:sz w:val="17"/>
          <w:szCs w:val="17"/>
        </w:rPr>
        <w:t xml:space="preserve">A SHAPE FOR THE HOURS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259"/>
        <w:gridCol w:w="7810"/>
      </w:tblGrid>
      <w:tr>
        <w:trPr>
          <w:tblHeader/>
        </w:trPr>
        <w:tc>
          <w:tcPr>
            <w:tcW w:type="dxa" w:w="1259"/>
            <w:tcMar>
              <w:top w:type="dxa" w:w="70"/>
              <w:left w:type="dxa" w:w="130"/>
              <w:bottom w:type="dxa" w:w="70"/>
              <w:right w:type="dxa" w:w="130"/>
            </w:tcMar>
          </w:tcPr>
          <w:p>
            <w:pPr>
              <w:spacing w:line="260"/>
            </w:pPr>
            <w:r>
              <w:rPr>
                <w:b/>
                <w:bCs/>
                <w:color w:val="1F3A5F"/>
                <w:sz w:val="19"/>
                <w:szCs w:val="19"/>
              </w:rPr>
              <w:t xml:space="preserve">Time</w:t>
            </w:r>
          </w:p>
        </w:tc>
        <w:tc>
          <w:tcPr>
            <w:tcW w:type="dxa" w:w="7810"/>
            <w:tcMar>
              <w:top w:type="dxa" w:w="70"/>
              <w:left w:type="dxa" w:w="130"/>
              <w:bottom w:type="dxa" w:w="70"/>
              <w:right w:type="dxa" w:w="130"/>
            </w:tcMar>
          </w:tcPr>
          <w:p>
            <w:pPr>
              <w:spacing w:line="260"/>
            </w:pPr>
            <w:r>
              <w:rPr>
                <w:b/>
                <w:bCs/>
                <w:color w:val="1F3A5F"/>
                <w:sz w:val="19"/>
                <w:szCs w:val="19"/>
              </w:rPr>
              <w:t xml:space="preserve">What happens</w:t>
            </w:r>
          </w:p>
        </w:tc>
      </w:tr>
      <w:tr>
        <w:tc>
          <w:tcPr>
            <w:tcW w:type="dxa" w:w="1259"/>
            <w:tcMar>
              <w:top w:type="dxa" w:w="70"/>
              <w:left w:type="dxa" w:w="130"/>
              <w:bottom w:type="dxa" w:w="70"/>
              <w:right w:type="dxa" w:w="130"/>
            </w:tcMar>
          </w:tcPr>
          <w:p>
            <w:pPr>
              <w:spacing w:line="260"/>
            </w:pPr>
            <w:r>
              <w:rPr>
                <w:b/>
                <w:bCs/>
                <w:color w:val="7A3B69"/>
                <w:sz w:val="19"/>
                <w:szCs w:val="19"/>
              </w:rPr>
              <w:t xml:space="preserve">20 min</w:t>
            </w:r>
          </w:p>
        </w:tc>
        <w:tc>
          <w:tcPr>
            <w:tcW w:type="dxa" w:w="7810"/>
            <w:tcMar>
              <w:top w:type="dxa" w:w="70"/>
              <w:left w:type="dxa" w:w="130"/>
              <w:bottom w:type="dxa" w:w="70"/>
              <w:right w:type="dxa" w:w="130"/>
            </w:tcMar>
          </w:tcPr>
          <w:p>
            <w:pPr>
              <w:spacing w:line="260"/>
            </w:pPr>
            <w:r>
              <w:rPr>
                <w:b w:val="false"/>
                <w:bCs w:val="false"/>
                <w:sz w:val="19"/>
                <w:szCs w:val="19"/>
              </w:rPr>
              <w:t xml:space="preserve">What is assessed, and what is not. The two competencies, and where the evidence for each actually comes from in the programme - workbooks, steps taken, the growth path, what learners say and do. Say plainly that much of it is oral and visual, because many learners are not yet literate, and that this is expected rather than a problem to be solved.</w:t>
            </w:r>
          </w:p>
        </w:tc>
      </w:tr>
      <w:tr>
        <w:tc>
          <w:tcPr>
            <w:tcW w:type="dxa" w:w="1259"/>
            <w:tcMar>
              <w:top w:type="dxa" w:w="70"/>
              <w:left w:type="dxa" w:w="130"/>
              <w:bottom w:type="dxa" w:w="70"/>
              <w:right w:type="dxa" w:w="130"/>
            </w:tcMar>
          </w:tcPr>
          <w:p>
            <w:pPr>
              <w:spacing w:line="260"/>
            </w:pPr>
            <w:r>
              <w:rPr>
                <w:b/>
                <w:bCs/>
                <w:color w:val="7A3B69"/>
                <w:sz w:val="19"/>
                <w:szCs w:val="19"/>
              </w:rPr>
              <w:t xml:space="preserve">30 min</w:t>
            </w:r>
          </w:p>
        </w:tc>
        <w:tc>
          <w:tcPr>
            <w:tcW w:type="dxa" w:w="7810"/>
            <w:tcMar>
              <w:top w:type="dxa" w:w="70"/>
              <w:left w:type="dxa" w:w="130"/>
              <w:bottom w:type="dxa" w:w="70"/>
              <w:right w:type="dxa" w:w="130"/>
            </w:tcMar>
          </w:tcPr>
          <w:p>
            <w:pPr>
              <w:spacing w:line="260"/>
            </w:pPr>
            <w:r>
              <w:rPr>
                <w:b w:val="false"/>
                <w:bCs w:val="false"/>
                <w:sz w:val="19"/>
                <w:szCs w:val="19"/>
              </w:rPr>
              <w:t xml:space="preserve">The Proficiency Scale, read not memorised. Put the scale in front of them and work down it together. Do not teach it as vocabulary - the words only mean something against real work.</w:t>
            </w:r>
          </w:p>
        </w:tc>
      </w:tr>
      <w:tr>
        <w:tc>
          <w:tcPr>
            <w:tcW w:type="dxa" w:w="1259"/>
            <w:tcMar>
              <w:top w:type="dxa" w:w="70"/>
              <w:left w:type="dxa" w:w="130"/>
              <w:bottom w:type="dxa" w:w="70"/>
              <w:right w:type="dxa" w:w="130"/>
            </w:tcMar>
          </w:tcPr>
          <w:p>
            <w:pPr>
              <w:spacing w:line="260"/>
            </w:pPr>
            <w:r>
              <w:rPr>
                <w:b/>
                <w:bCs/>
                <w:color w:val="7A3B69"/>
                <w:sz w:val="19"/>
                <w:szCs w:val="19"/>
              </w:rPr>
              <w:t xml:space="preserve">50 min</w:t>
            </w:r>
          </w:p>
        </w:tc>
        <w:tc>
          <w:tcPr>
            <w:tcW w:type="dxa" w:w="7810"/>
            <w:tcMar>
              <w:top w:type="dxa" w:w="70"/>
              <w:left w:type="dxa" w:w="130"/>
              <w:bottom w:type="dxa" w:w="70"/>
              <w:right w:type="dxa" w:w="130"/>
            </w:tcMar>
          </w:tcPr>
          <w:p>
            <w:pPr>
              <w:spacing w:line="260"/>
            </w:pPr>
            <w:r>
              <w:rPr>
                <w:b w:val="false"/>
                <w:bCs w:val="false"/>
                <w:sz w:val="19"/>
                <w:szCs w:val="19"/>
              </w:rPr>
              <w:t xml:space="preserve">Judging real evidence, and disagreeing. Give the group the same piece of learner evidence and have them place it on the scale independently, then show their hands at once. Where they disagree, make them argue it out and say why it sits there rather than one step up. The disagreement is the training. Do not resolve it too quickly, and do not resolve it with your own authority - resolve it against the scale.</w:t>
            </w:r>
          </w:p>
        </w:tc>
      </w:tr>
      <w:tr>
        <w:tc>
          <w:tcPr>
            <w:tcW w:type="dxa" w:w="1259"/>
            <w:tcMar>
              <w:top w:type="dxa" w:w="70"/>
              <w:left w:type="dxa" w:w="130"/>
              <w:bottom w:type="dxa" w:w="70"/>
              <w:right w:type="dxa" w:w="130"/>
            </w:tcMar>
          </w:tcPr>
          <w:p>
            <w:pPr>
              <w:spacing w:line="260"/>
            </w:pPr>
            <w:r>
              <w:rPr>
                <w:b/>
                <w:bCs/>
                <w:color w:val="7A3B69"/>
                <w:sz w:val="19"/>
                <w:szCs w:val="19"/>
              </w:rPr>
              <w:t xml:space="preserve">30 min</w:t>
            </w:r>
          </w:p>
        </w:tc>
        <w:tc>
          <w:tcPr>
            <w:tcW w:type="dxa" w:w="7810"/>
            <w:tcMar>
              <w:top w:type="dxa" w:w="70"/>
              <w:left w:type="dxa" w:w="130"/>
              <w:bottom w:type="dxa" w:w="70"/>
              <w:right w:type="dxa" w:w="130"/>
            </w:tcMar>
          </w:tcPr>
          <w:p>
            <w:pPr>
              <w:spacing w:line="260"/>
            </w:pPr>
            <w:r>
              <w:rPr>
                <w:b w:val="false"/>
                <w:bCs w:val="false"/>
                <w:sz w:val="19"/>
                <w:szCs w:val="19"/>
              </w:rPr>
              <w:t xml:space="preserve">Completing the record. The Competency Assessment Record, with Educator Guide Parts 3.5 and 3.6 beside it. Each facilitator completes a record for the evidence they just judged, including the next step. Check the reasons they write, not the boxes they tick - a judgement with no reason cannot be moderated.</w:t>
            </w:r>
          </w:p>
        </w:tc>
      </w:tr>
      <w:tr>
        <w:tc>
          <w:tcPr>
            <w:tcW w:type="dxa" w:w="1259"/>
            <w:tcMar>
              <w:top w:type="dxa" w:w="70"/>
              <w:left w:type="dxa" w:w="130"/>
              <w:bottom w:type="dxa" w:w="70"/>
              <w:right w:type="dxa" w:w="130"/>
            </w:tcMar>
          </w:tcPr>
          <w:p>
            <w:pPr>
              <w:spacing w:line="260"/>
            </w:pPr>
            <w:r>
              <w:rPr>
                <w:b/>
                <w:bCs/>
                <w:color w:val="7A3B69"/>
                <w:sz w:val="19"/>
                <w:szCs w:val="19"/>
              </w:rPr>
              <w:t xml:space="preserve">25 min</w:t>
            </w:r>
          </w:p>
        </w:tc>
        <w:tc>
          <w:tcPr>
            <w:tcW w:type="dxa" w:w="7810"/>
            <w:tcMar>
              <w:top w:type="dxa" w:w="70"/>
              <w:left w:type="dxa" w:w="130"/>
              <w:bottom w:type="dxa" w:w="70"/>
              <w:right w:type="dxa" w:w="130"/>
            </w:tcMar>
          </w:tcPr>
          <w:p>
            <w:pPr>
              <w:spacing w:line="260"/>
            </w:pPr>
            <w:r>
              <w:rPr>
                <w:b w:val="false"/>
                <w:bCs w:val="false"/>
                <w:sz w:val="19"/>
                <w:szCs w:val="19"/>
              </w:rPr>
              <w:t xml:space="preserve">The two points, and the grades. What is different about the week-6 supported assessment and the week-12 final one. Then the Pass / Merit / Distinction boundaries, and what a learner actually has to show for each.</w:t>
            </w:r>
          </w:p>
        </w:tc>
      </w:tr>
      <w:tr>
        <w:tc>
          <w:tcPr>
            <w:tcW w:type="dxa" w:w="1259"/>
            <w:tcMar>
              <w:top w:type="dxa" w:w="70"/>
              <w:left w:type="dxa" w:w="130"/>
              <w:bottom w:type="dxa" w:w="70"/>
              <w:right w:type="dxa" w:w="130"/>
            </w:tcMar>
          </w:tcPr>
          <w:p>
            <w:pPr>
              <w:spacing w:line="260"/>
            </w:pPr>
            <w:r>
              <w:rPr>
                <w:b/>
                <w:bCs/>
                <w:color w:val="7A3B69"/>
                <w:sz w:val="19"/>
                <w:szCs w:val="19"/>
              </w:rPr>
              <w:t xml:space="preserve">25 min</w:t>
            </w:r>
          </w:p>
        </w:tc>
        <w:tc>
          <w:tcPr>
            <w:tcW w:type="dxa" w:w="7810"/>
            <w:tcMar>
              <w:top w:type="dxa" w:w="70"/>
              <w:left w:type="dxa" w:w="130"/>
              <w:bottom w:type="dxa" w:w="70"/>
              <w:right w:type="dxa" w:w="130"/>
            </w:tcMar>
          </w:tcPr>
          <w:p>
            <w:pPr>
              <w:spacing w:line="260"/>
            </w:pPr>
            <w:r>
              <w:rPr>
                <w:b w:val="false"/>
                <w:bCs w:val="false"/>
                <w:sz w:val="19"/>
                <w:szCs w:val="19"/>
              </w:rPr>
              <w:t xml:space="preserve">Moderation, as they will meet it. You are the person who will moderate with them, so say so. Run one moderation discussion on the record they just completed, with the group watching: the learner, the opportunity, the evidence, both of you deciding a level before comparing, then talking it through against the level description. Make it ordinary: changing your mind when the level description says so is the system working, not a failure.</w:t>
            </w:r>
          </w:p>
        </w:tc>
      </w:tr>
    </w:tbl>
    <w:p>
      <w:pPr>
        <w:spacing w:after="140" w:before="100" w:line="300"/>
      </w:pPr>
      <w:r>
        <w:rPr>
          <w:b/>
          <w:bCs/>
          <w:color w:val="6E7A2E"/>
          <w:sz w:val="21"/>
          <w:szCs w:val="21"/>
        </w:rPr>
        <w:t xml:space="preserve">They leave having judged real evidence, argued about it, completed a record, and seen a moderation discussion like the one they will have at Week 6.</w:t>
      </w:r>
    </w:p>
    <w:p>
      <w:pPr>
        <w:keepNext/>
        <w:spacing w:after="60" w:before="180"/>
      </w:pPr>
      <w:r>
        <w:rPr>
          <w:b/>
          <w:bCs/>
          <w:color w:val="6E7A2E"/>
          <w:spacing w:val="24"/>
          <w:sz w:val="17"/>
          <w:szCs w:val="17"/>
        </w:rPr>
        <w:t xml:space="preserve">WHAT IT DRAWS ON</w:t>
      </w:r>
    </w:p>
    <w:p>
      <w:pPr>
        <w:pStyle w:val="ListParagraph"/>
        <w:numPr>
          <w:ilvl w:val="0"/>
          <w:numId w:val="1"/>
        </w:numPr>
        <w:spacing w:after="80" w:line="300"/>
      </w:pPr>
      <w:r>
        <w:rPr>
          <w:sz w:val="22"/>
          <w:szCs w:val="22"/>
        </w:rPr>
        <w:t xml:space="preserve">The Competency Assessment Record</w:t>
      </w:r>
    </w:p>
    <w:p>
      <w:pPr>
        <w:pStyle w:val="ListParagraph"/>
        <w:numPr>
          <w:ilvl w:val="0"/>
          <w:numId w:val="1"/>
        </w:numPr>
        <w:spacing w:after="80" w:line="300"/>
      </w:pPr>
      <w:r>
        <w:rPr>
          <w:sz w:val="22"/>
          <w:szCs w:val="22"/>
        </w:rPr>
        <w:t xml:space="preserve">Educator Guide Parts 3.5 and 3.6: the levels in the language of each competency, what you might see or hear, and how to write the record</w:t>
      </w:r>
    </w:p>
    <w:p>
      <w:pPr>
        <w:pStyle w:val="ListParagraph"/>
        <w:numPr>
          <w:ilvl w:val="0"/>
          <w:numId w:val="1"/>
        </w:numPr>
        <w:spacing w:after="80" w:line="300"/>
      </w:pPr>
      <w:r>
        <w:rPr>
          <w:sz w:val="22"/>
          <w:szCs w:val="22"/>
        </w:rPr>
        <w:t xml:space="preserve">The Moderation Guide - the moderation discussion facilitators will take part in</w:t>
      </w:r>
    </w:p>
    <w:p>
      <w:pPr>
        <w:pStyle w:val="ListParagraph"/>
        <w:numPr>
          <w:ilvl w:val="0"/>
          <w:numId w:val="1"/>
        </w:numPr>
        <w:spacing w:after="80" w:line="300"/>
      </w:pPr>
      <w:r>
        <w:rPr>
          <w:sz w:val="22"/>
          <w:szCs w:val="22"/>
        </w:rPr>
        <w:t xml:space="preserve">The programme's grading block: Pass / Merit / Distinction</w:t>
      </w:r>
    </w:p>
    <w:p>
      <w:pPr>
        <w:pStyle w:val="ListParagraph"/>
        <w:numPr>
          <w:ilvl w:val="0"/>
          <w:numId w:val="1"/>
        </w:numPr>
        <w:spacing w:after="80" w:line="300"/>
      </w:pPr>
      <w:r>
        <w:rPr>
          <w:sz w:val="22"/>
          <w:szCs w:val="22"/>
        </w:rPr>
        <w:t xml:space="preserve">MOD-C, Conducting assessments of competence, for the underlying craft</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TRAP</w:t>
            </w:r>
          </w:p>
          <w:p>
            <w:pPr>
              <w:spacing w:after="0" w:before="0" w:line="300"/>
            </w:pPr>
            <w:r>
              <w:rPr>
                <w:sz w:val="21"/>
                <w:szCs w:val="21"/>
              </w:rPr>
              <w:t xml:space="preserve">Teaching the scale as vocabulary. Facilitators have to judge real or realistic evidence in the room, and disagree with each other about it. The disagreement is the training - not the slide that resolves it.</w:t>
            </w:r>
          </w:p>
        </w:tc>
      </w:tr>
    </w:tbl>
    <w:p>
      <w:r>
        <w:br w:type="page"/>
      </w:r>
    </w:p>
    <w:p>
      <w:pPr>
        <w:pStyle w:val="Heading1"/>
        <w:keepNext/>
        <w:spacing w:after="140" w:before="320"/>
      </w:pPr>
      <w:r>
        <w:rPr>
          <w:b/>
          <w:bCs/>
          <w:color w:val="1F3A5F"/>
          <w:sz w:val="36"/>
          <w:szCs w:val="36"/>
        </w:rPr>
        <w:t xml:space="preserve">3. How you know a facilitator is ready</w:t>
      </w:r>
    </w:p>
    <w:p>
      <w:pPr>
        <w:spacing w:after="140" w:before="0" w:line="300"/>
      </w:pPr>
      <w:r>
        <w:rPr>
          <w:sz w:val="22"/>
          <w:szCs w:val="22"/>
        </w:rPr>
        <w:t xml:space="preserve">Induction is not assessed and nobody passes or fails it. But you are the last person who sees a facilitator before they stand in front of learners, so somebody has to be able to say they are ready - and that is you.</w:t>
      </w:r>
    </w:p>
    <w:p>
      <w:pPr>
        <w:spacing w:after="140" w:before="0" w:line="300"/>
      </w:pPr>
      <w:r>
        <w:rPr>
          <w:sz w:val="22"/>
          <w:szCs w:val="22"/>
        </w:rPr>
        <w:t xml:space="preserve">The test is the list under each induction: what a facilitator can DO afterwards. Not what they were told, and not what they nodded at. Watch for these three, which are the ones that actually predict a hard first week.</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Watch for</w:t>
            </w:r>
          </w:p>
        </w:tc>
        <w:tc>
          <w:tcPr>
            <w:tcW w:type="dxa" w:w="6382"/>
            <w:tcMar>
              <w:top w:type="dxa" w:w="70"/>
              <w:left w:type="dxa" w:w="130"/>
              <w:bottom w:type="dxa" w:w="70"/>
              <w:right w:type="dxa" w:w="130"/>
            </w:tcMar>
          </w:tcPr>
          <w:p>
            <w:pPr>
              <w:spacing w:line="260"/>
            </w:pPr>
            <w:r>
              <w:rPr>
                <w:b/>
                <w:bCs/>
                <w:color w:val="1F3A5F"/>
                <w:sz w:val="19"/>
                <w:szCs w:val="19"/>
              </w:rPr>
              <w:t xml:space="preserve">What to do about it</w:t>
            </w:r>
          </w:p>
        </w:tc>
      </w:tr>
      <w:tr>
        <w:tc>
          <w:tcPr>
            <w:tcW w:type="dxa" w:w="2687"/>
            <w:tcMar>
              <w:top w:type="dxa" w:w="70"/>
              <w:left w:type="dxa" w:w="130"/>
              <w:bottom w:type="dxa" w:w="70"/>
              <w:right w:type="dxa" w:w="130"/>
            </w:tcMar>
          </w:tcPr>
          <w:p>
            <w:pPr>
              <w:spacing w:line="260"/>
            </w:pPr>
            <w:r>
              <w:rPr>
                <w:b/>
                <w:bCs/>
                <w:color w:val="7A3B69"/>
                <w:sz w:val="19"/>
                <w:szCs w:val="19"/>
              </w:rPr>
              <w:t xml:space="preserve">They cannot find things in the Educator Guide.</w:t>
            </w:r>
          </w:p>
        </w:tc>
        <w:tc>
          <w:tcPr>
            <w:tcW w:type="dxa" w:w="6382"/>
            <w:tcMar>
              <w:top w:type="dxa" w:w="70"/>
              <w:left w:type="dxa" w:w="130"/>
              <w:bottom w:type="dxa" w:w="70"/>
              <w:right w:type="dxa" w:w="130"/>
            </w:tcMar>
          </w:tcPr>
          <w:p>
            <w:pPr>
              <w:spacing w:line="260"/>
            </w:pPr>
            <w:r>
              <w:rPr>
                <w:b w:val="false"/>
                <w:bCs w:val="false"/>
                <w:sz w:val="19"/>
                <w:szCs w:val="19"/>
              </w:rPr>
              <w:t xml:space="preserve">The most common one, and the easiest to miss because nobody admits it. Run the find-it round again. A facilitator who cannot find the block they are teaching will improvise, and improvising is exactly what this pack exists to make unnecessary.</w:t>
            </w:r>
          </w:p>
        </w:tc>
      </w:tr>
      <w:tr>
        <w:tc>
          <w:tcPr>
            <w:tcW w:type="dxa" w:w="2687"/>
            <w:tcMar>
              <w:top w:type="dxa" w:w="70"/>
              <w:left w:type="dxa" w:w="130"/>
              <w:bottom w:type="dxa" w:w="70"/>
              <w:right w:type="dxa" w:w="130"/>
            </w:tcMar>
          </w:tcPr>
          <w:p>
            <w:pPr>
              <w:spacing w:line="260"/>
            </w:pPr>
            <w:r>
              <w:rPr>
                <w:b/>
                <w:bCs/>
                <w:color w:val="7A3B69"/>
                <w:sz w:val="19"/>
                <w:szCs w:val="19"/>
              </w:rPr>
              <w:t xml:space="preserve">They agreed with every judgement in the assessment induction.</w:t>
            </w:r>
          </w:p>
        </w:tc>
        <w:tc>
          <w:tcPr>
            <w:tcW w:type="dxa" w:w="6382"/>
            <w:tcMar>
              <w:top w:type="dxa" w:w="70"/>
              <w:left w:type="dxa" w:w="130"/>
              <w:bottom w:type="dxa" w:w="70"/>
              <w:right w:type="dxa" w:w="130"/>
            </w:tcMar>
          </w:tcPr>
          <w:p>
            <w:pPr>
              <w:spacing w:line="260"/>
            </w:pPr>
            <w:r>
              <w:rPr>
                <w:b w:val="false"/>
                <w:bCs w:val="false"/>
                <w:sz w:val="19"/>
                <w:szCs w:val="19"/>
              </w:rPr>
              <w:t xml:space="preserve">Usually politeness, not agreement. Ask them to argue the opposite case out loud. If they cannot, they will not push back at moderation either, and their judgements will drift towards whoever spoke first.</w:t>
            </w:r>
          </w:p>
        </w:tc>
      </w:tr>
      <w:tr>
        <w:tc>
          <w:tcPr>
            <w:tcW w:type="dxa" w:w="2687"/>
            <w:tcMar>
              <w:top w:type="dxa" w:w="70"/>
              <w:left w:type="dxa" w:w="130"/>
              <w:bottom w:type="dxa" w:w="70"/>
              <w:right w:type="dxa" w:w="130"/>
            </w:tcMar>
          </w:tcPr>
          <w:p>
            <w:pPr>
              <w:spacing w:line="260"/>
            </w:pPr>
            <w:r>
              <w:rPr>
                <w:b/>
                <w:bCs/>
                <w:color w:val="7A3B69"/>
                <w:sz w:val="19"/>
                <w:szCs w:val="19"/>
              </w:rPr>
              <w:t xml:space="preserve">They talk about learners who "cannot" do things.</w:t>
            </w:r>
          </w:p>
        </w:tc>
        <w:tc>
          <w:tcPr>
            <w:tcW w:type="dxa" w:w="6382"/>
            <w:tcMar>
              <w:top w:type="dxa" w:w="70"/>
              <w:left w:type="dxa" w:w="130"/>
              <w:bottom w:type="dxa" w:w="70"/>
              <w:right w:type="dxa" w:w="130"/>
            </w:tcMar>
          </w:tcPr>
          <w:p>
            <w:pPr>
              <w:spacing w:line="260"/>
            </w:pPr>
            <w:r>
              <w:rPr>
                <w:b w:val="false"/>
                <w:bCs w:val="false"/>
                <w:sz w:val="19"/>
                <w:szCs w:val="19"/>
              </w:rPr>
              <w:t xml:space="preserve">Worth stopping for. Drawing, marking and speaking are full answers on this programme; a facilitator who reads low literacy as low ability will under-record evidence all the way to week 12. Go back to the oral-and-visual evidence examples.</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IF SOMEONE IS NOT READY</w:t>
            </w:r>
          </w:p>
          <w:p>
            <w:pPr>
              <w:spacing w:after="90" w:before="0" w:line="300"/>
            </w:pPr>
            <w:r>
              <w:rPr>
                <w:sz w:val="21"/>
                <w:szCs w:val="21"/>
              </w:rPr>
              <w:t xml:space="preserve">Say so, to the coordinator, before the cohort starts. Not to spare them - to spare the learners a facilitator who is guessing.</w:t>
            </w:r>
          </w:p>
          <w:p>
            <w:pPr>
              <w:spacing w:after="0" w:before="0" w:line="300"/>
            </w:pPr>
            <w:r>
              <w:rPr>
                <w:sz w:val="21"/>
                <w:szCs w:val="21"/>
              </w:rPr>
              <w:t xml:space="preserve">It is almost never the whole induction that needs repeating. Name the one thing, and give them the block again.</w:t>
            </w:r>
          </w:p>
        </w:tc>
      </w:tr>
    </w:tbl>
    <w:p>
      <w:pPr>
        <w:pStyle w:val="Heading1"/>
        <w:keepNext/>
        <w:spacing w:after="140" w:before="320"/>
      </w:pPr>
      <w:r>
        <w:rPr>
          <w:b/>
          <w:bCs/>
          <w:color w:val="1F3A5F"/>
          <w:sz w:val="36"/>
          <w:szCs w:val="36"/>
        </w:rPr>
        <w:t xml:space="preserve">4. The record</w:t>
      </w:r>
    </w:p>
    <w:p>
      <w:pPr>
        <w:spacing w:after="140" w:before="0" w:line="300"/>
      </w:pPr>
      <w:r>
        <w:rPr>
          <w:sz w:val="22"/>
          <w:szCs w:val="22"/>
        </w:rPr>
        <w:t xml:space="preserve">Keep it light, and keep it. The coordinator needs to be able to say, for any facilitator in front of any learner, that they were inducted and when.</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519"/>
        <w:gridCol w:w="1511"/>
        <w:gridCol w:w="1511"/>
        <w:gridCol w:w="3527"/>
      </w:tblGrid>
      <w:tr>
        <w:trPr>
          <w:tblHeader/>
        </w:trPr>
        <w:tc>
          <w:tcPr>
            <w:tcW w:type="dxa" w:w="2519"/>
            <w:tcMar>
              <w:top w:type="dxa" w:w="70"/>
              <w:left w:type="dxa" w:w="130"/>
              <w:bottom w:type="dxa" w:w="70"/>
              <w:right w:type="dxa" w:w="130"/>
            </w:tcMar>
          </w:tcPr>
          <w:p>
            <w:pPr>
              <w:spacing w:line="260"/>
            </w:pPr>
            <w:r>
              <w:rPr>
                <w:b/>
                <w:bCs/>
                <w:color w:val="1F3A5F"/>
                <w:sz w:val="19"/>
                <w:szCs w:val="19"/>
              </w:rPr>
              <w:t xml:space="preserve">Facilitator</w:t>
            </w:r>
          </w:p>
        </w:tc>
        <w:tc>
          <w:tcPr>
            <w:tcW w:type="dxa" w:w="1511"/>
            <w:tcMar>
              <w:top w:type="dxa" w:w="70"/>
              <w:left w:type="dxa" w:w="130"/>
              <w:bottom w:type="dxa" w:w="70"/>
              <w:right w:type="dxa" w:w="130"/>
            </w:tcMar>
          </w:tcPr>
          <w:p>
            <w:pPr>
              <w:spacing w:line="260"/>
            </w:pPr>
            <w:r>
              <w:rPr>
                <w:b/>
                <w:bCs/>
                <w:color w:val="1F3A5F"/>
                <w:sz w:val="19"/>
                <w:szCs w:val="19"/>
              </w:rPr>
              <w:t xml:space="preserve">IND-1 date</w:t>
            </w:r>
          </w:p>
        </w:tc>
        <w:tc>
          <w:tcPr>
            <w:tcW w:type="dxa" w:w="1511"/>
            <w:tcMar>
              <w:top w:type="dxa" w:w="70"/>
              <w:left w:type="dxa" w:w="130"/>
              <w:bottom w:type="dxa" w:w="70"/>
              <w:right w:type="dxa" w:w="130"/>
            </w:tcMar>
          </w:tcPr>
          <w:p>
            <w:pPr>
              <w:spacing w:line="260"/>
            </w:pPr>
            <w:r>
              <w:rPr>
                <w:b/>
                <w:bCs/>
                <w:color w:val="1F3A5F"/>
                <w:sz w:val="19"/>
                <w:szCs w:val="19"/>
              </w:rPr>
              <w:t xml:space="preserve">IND-2 date</w:t>
            </w:r>
          </w:p>
        </w:tc>
        <w:tc>
          <w:tcPr>
            <w:tcW w:type="dxa" w:w="3527"/>
            <w:tcMar>
              <w:top w:type="dxa" w:w="70"/>
              <w:left w:type="dxa" w:w="130"/>
              <w:bottom w:type="dxa" w:w="70"/>
              <w:right w:type="dxa" w:w="130"/>
            </w:tcMar>
          </w:tcPr>
          <w:p>
            <w:pPr>
              <w:spacing w:line="260"/>
            </w:pPr>
            <w:r>
              <w:rPr>
                <w:b/>
                <w:bCs/>
                <w:color w:val="1F3A5F"/>
                <w:sz w:val="19"/>
                <w:szCs w:val="19"/>
              </w:rPr>
              <w:t xml:space="preserve">Ready to start?  (and if not, the one thing)</w:t>
            </w:r>
          </w:p>
        </w:tc>
      </w:tr>
      <w:tr>
        <w:tc>
          <w:tcPr>
            <w:tcW w:type="dxa" w:w="2519"/>
            <w:tcMar>
              <w:top w:type="dxa" w:w="70"/>
              <w:left w:type="dxa" w:w="130"/>
              <w:bottom w:type="dxa" w:w="70"/>
              <w:right w:type="dxa" w:w="130"/>
            </w:tcMar>
          </w:tcPr>
          <w:p>
            <w:pPr>
              <w:spacing w:line="260"/>
            </w:pPr>
            <w:r>
              <w:rPr>
                <w:b/>
                <w:bCs/>
                <w:color w:val="7A3B69"/>
                <w:sz w:val="19"/>
                <w:szCs w:val="19"/>
              </w:rPr>
              <w:t xml:space="preserve"/>
            </w:r>
          </w:p>
        </w:tc>
        <w:tc>
          <w:tcPr>
            <w:tcW w:type="dxa" w:w="1511"/>
            <w:tcMar>
              <w:top w:type="dxa" w:w="70"/>
              <w:left w:type="dxa" w:w="130"/>
              <w:bottom w:type="dxa" w:w="70"/>
              <w:right w:type="dxa" w:w="130"/>
            </w:tcMar>
          </w:tcPr>
          <w:p>
            <w:pPr>
              <w:spacing w:line="260"/>
            </w:pPr>
            <w:r>
              <w:rPr>
                <w:b w:val="false"/>
                <w:bCs w:val="false"/>
                <w:sz w:val="19"/>
                <w:szCs w:val="19"/>
              </w:rPr>
              <w:t xml:space="preserve"/>
            </w:r>
          </w:p>
        </w:tc>
        <w:tc>
          <w:tcPr>
            <w:tcW w:type="dxa" w:w="1511"/>
            <w:tcMar>
              <w:top w:type="dxa" w:w="70"/>
              <w:left w:type="dxa" w:w="130"/>
              <w:bottom w:type="dxa" w:w="70"/>
              <w:right w:type="dxa" w:w="130"/>
            </w:tcMar>
          </w:tcPr>
          <w:p>
            <w:pPr>
              <w:spacing w:line="260"/>
            </w:pPr>
            <w:r>
              <w:rPr>
                <w:b w:val="false"/>
                <w:bCs w:val="false"/>
                <w:sz w:val="19"/>
                <w:szCs w:val="19"/>
              </w:rPr>
              <w:t xml:space="preserve"/>
            </w:r>
          </w:p>
        </w:tc>
        <w:tc>
          <w:tcPr>
            <w:tcW w:type="dxa" w:w="3527"/>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
            </w:r>
          </w:p>
        </w:tc>
        <w:tc>
          <w:tcPr>
            <w:tcW w:type="dxa" w:w="1511"/>
            <w:tcMar>
              <w:top w:type="dxa" w:w="70"/>
              <w:left w:type="dxa" w:w="130"/>
              <w:bottom w:type="dxa" w:w="70"/>
              <w:right w:type="dxa" w:w="130"/>
            </w:tcMar>
          </w:tcPr>
          <w:p>
            <w:pPr>
              <w:spacing w:line="260"/>
            </w:pPr>
            <w:r>
              <w:rPr>
                <w:b w:val="false"/>
                <w:bCs w:val="false"/>
                <w:sz w:val="19"/>
                <w:szCs w:val="19"/>
              </w:rPr>
              <w:t xml:space="preserve"/>
            </w:r>
          </w:p>
        </w:tc>
        <w:tc>
          <w:tcPr>
            <w:tcW w:type="dxa" w:w="1511"/>
            <w:tcMar>
              <w:top w:type="dxa" w:w="70"/>
              <w:left w:type="dxa" w:w="130"/>
              <w:bottom w:type="dxa" w:w="70"/>
              <w:right w:type="dxa" w:w="130"/>
            </w:tcMar>
          </w:tcPr>
          <w:p>
            <w:pPr>
              <w:spacing w:line="260"/>
            </w:pPr>
            <w:r>
              <w:rPr>
                <w:b w:val="false"/>
                <w:bCs w:val="false"/>
                <w:sz w:val="19"/>
                <w:szCs w:val="19"/>
              </w:rPr>
              <w:t xml:space="preserve"/>
            </w:r>
          </w:p>
        </w:tc>
        <w:tc>
          <w:tcPr>
            <w:tcW w:type="dxa" w:w="3527"/>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
            </w:r>
          </w:p>
        </w:tc>
        <w:tc>
          <w:tcPr>
            <w:tcW w:type="dxa" w:w="1511"/>
            <w:tcMar>
              <w:top w:type="dxa" w:w="70"/>
              <w:left w:type="dxa" w:w="130"/>
              <w:bottom w:type="dxa" w:w="70"/>
              <w:right w:type="dxa" w:w="130"/>
            </w:tcMar>
          </w:tcPr>
          <w:p>
            <w:pPr>
              <w:spacing w:line="260"/>
            </w:pPr>
            <w:r>
              <w:rPr>
                <w:b w:val="false"/>
                <w:bCs w:val="false"/>
                <w:sz w:val="19"/>
                <w:szCs w:val="19"/>
              </w:rPr>
              <w:t xml:space="preserve"/>
            </w:r>
          </w:p>
        </w:tc>
        <w:tc>
          <w:tcPr>
            <w:tcW w:type="dxa" w:w="1511"/>
            <w:tcMar>
              <w:top w:type="dxa" w:w="70"/>
              <w:left w:type="dxa" w:w="130"/>
              <w:bottom w:type="dxa" w:w="70"/>
              <w:right w:type="dxa" w:w="130"/>
            </w:tcMar>
          </w:tcPr>
          <w:p>
            <w:pPr>
              <w:spacing w:line="260"/>
            </w:pPr>
            <w:r>
              <w:rPr>
                <w:b w:val="false"/>
                <w:bCs w:val="false"/>
                <w:sz w:val="19"/>
                <w:szCs w:val="19"/>
              </w:rPr>
              <w:t xml:space="preserve"/>
            </w:r>
          </w:p>
        </w:tc>
        <w:tc>
          <w:tcPr>
            <w:tcW w:type="dxa" w:w="3527"/>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
            </w:r>
          </w:p>
        </w:tc>
        <w:tc>
          <w:tcPr>
            <w:tcW w:type="dxa" w:w="1511"/>
            <w:tcMar>
              <w:top w:type="dxa" w:w="70"/>
              <w:left w:type="dxa" w:w="130"/>
              <w:bottom w:type="dxa" w:w="70"/>
              <w:right w:type="dxa" w:w="130"/>
            </w:tcMar>
          </w:tcPr>
          <w:p>
            <w:pPr>
              <w:spacing w:line="260"/>
            </w:pPr>
            <w:r>
              <w:rPr>
                <w:b w:val="false"/>
                <w:bCs w:val="false"/>
                <w:sz w:val="19"/>
                <w:szCs w:val="19"/>
              </w:rPr>
              <w:t xml:space="preserve"/>
            </w:r>
          </w:p>
        </w:tc>
        <w:tc>
          <w:tcPr>
            <w:tcW w:type="dxa" w:w="1511"/>
            <w:tcMar>
              <w:top w:type="dxa" w:w="70"/>
              <w:left w:type="dxa" w:w="130"/>
              <w:bottom w:type="dxa" w:w="70"/>
              <w:right w:type="dxa" w:w="130"/>
            </w:tcMar>
          </w:tcPr>
          <w:p>
            <w:pPr>
              <w:spacing w:line="260"/>
            </w:pPr>
            <w:r>
              <w:rPr>
                <w:b w:val="false"/>
                <w:bCs w:val="false"/>
                <w:sz w:val="19"/>
                <w:szCs w:val="19"/>
              </w:rPr>
              <w:t xml:space="preserve"/>
            </w:r>
          </w:p>
        </w:tc>
        <w:tc>
          <w:tcPr>
            <w:tcW w:type="dxa" w:w="3527"/>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
            </w:r>
          </w:p>
        </w:tc>
        <w:tc>
          <w:tcPr>
            <w:tcW w:type="dxa" w:w="1511"/>
            <w:tcMar>
              <w:top w:type="dxa" w:w="70"/>
              <w:left w:type="dxa" w:w="130"/>
              <w:bottom w:type="dxa" w:w="70"/>
              <w:right w:type="dxa" w:w="130"/>
            </w:tcMar>
          </w:tcPr>
          <w:p>
            <w:pPr>
              <w:spacing w:line="260"/>
            </w:pPr>
            <w:r>
              <w:rPr>
                <w:b w:val="false"/>
                <w:bCs w:val="false"/>
                <w:sz w:val="19"/>
                <w:szCs w:val="19"/>
              </w:rPr>
              <w:t xml:space="preserve"/>
            </w:r>
          </w:p>
        </w:tc>
        <w:tc>
          <w:tcPr>
            <w:tcW w:type="dxa" w:w="1511"/>
            <w:tcMar>
              <w:top w:type="dxa" w:w="70"/>
              <w:left w:type="dxa" w:w="130"/>
              <w:bottom w:type="dxa" w:w="70"/>
              <w:right w:type="dxa" w:w="130"/>
            </w:tcMar>
          </w:tcPr>
          <w:p>
            <w:pPr>
              <w:spacing w:line="260"/>
            </w:pPr>
            <w:r>
              <w:rPr>
                <w:b w:val="false"/>
                <w:bCs w:val="false"/>
                <w:sz w:val="19"/>
                <w:szCs w:val="19"/>
              </w:rPr>
              <w:t xml:space="preserve"/>
            </w:r>
          </w:p>
        </w:tc>
        <w:tc>
          <w:tcPr>
            <w:tcW w:type="dxa" w:w="3527"/>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
            </w:r>
          </w:p>
        </w:tc>
        <w:tc>
          <w:tcPr>
            <w:tcW w:type="dxa" w:w="1511"/>
            <w:tcMar>
              <w:top w:type="dxa" w:w="70"/>
              <w:left w:type="dxa" w:w="130"/>
              <w:bottom w:type="dxa" w:w="70"/>
              <w:right w:type="dxa" w:w="130"/>
            </w:tcMar>
          </w:tcPr>
          <w:p>
            <w:pPr>
              <w:spacing w:line="260"/>
            </w:pPr>
            <w:r>
              <w:rPr>
                <w:b w:val="false"/>
                <w:bCs w:val="false"/>
                <w:sz w:val="19"/>
                <w:szCs w:val="19"/>
              </w:rPr>
              <w:t xml:space="preserve"/>
            </w:r>
          </w:p>
        </w:tc>
        <w:tc>
          <w:tcPr>
            <w:tcW w:type="dxa" w:w="1511"/>
            <w:tcMar>
              <w:top w:type="dxa" w:w="70"/>
              <w:left w:type="dxa" w:w="130"/>
              <w:bottom w:type="dxa" w:w="70"/>
              <w:right w:type="dxa" w:w="130"/>
            </w:tcMar>
          </w:tcPr>
          <w:p>
            <w:pPr>
              <w:spacing w:line="260"/>
            </w:pPr>
            <w:r>
              <w:rPr>
                <w:b w:val="false"/>
                <w:bCs w:val="false"/>
                <w:sz w:val="19"/>
                <w:szCs w:val="19"/>
              </w:rPr>
              <w:t xml:space="preserve"/>
            </w:r>
          </w:p>
        </w:tc>
        <w:tc>
          <w:tcPr>
            <w:tcW w:type="dxa" w:w="3527"/>
            <w:tcMar>
              <w:top w:type="dxa" w:w="70"/>
              <w:left w:type="dxa" w:w="130"/>
              <w:bottom w:type="dxa" w:w="70"/>
              <w:right w:type="dxa" w:w="130"/>
            </w:tcMar>
          </w:tcPr>
          <w:p>
            <w:pPr>
              <w:spacing w:line="260"/>
            </w:pPr>
            <w:r>
              <w:rPr>
                <w:b w:val="false"/>
                <w:bCs w:val="false"/>
                <w:sz w:val="19"/>
                <w:szCs w:val="19"/>
              </w:rPr>
              <w:t xml:space="preserve"/>
            </w:r>
          </w:p>
        </w:tc>
      </w:tr>
    </w:tbl>
    <w:p>
      <w:pPr>
        <w:pStyle w:val="Heading1"/>
        <w:keepNext/>
        <w:spacing w:after="140" w:before="320"/>
      </w:pPr>
      <w:r>
        <w:rPr>
          <w:b/>
          <w:bCs/>
          <w:color w:val="1F3A5F"/>
          <w:sz w:val="36"/>
          <w:szCs w:val="36"/>
        </w:rPr>
        <w:t xml:space="preserve">5. Somebody joins mid-cohort</w:t>
      </w:r>
    </w:p>
    <w:p>
      <w:pPr>
        <w:spacing w:after="140" w:before="0" w:line="300"/>
      </w:pPr>
      <w:r>
        <w:rPr>
          <w:sz w:val="22"/>
          <w:szCs w:val="22"/>
        </w:rPr>
        <w:t xml:space="preserve">It will happen - staff turnover in the camps is a fact of the context, not an exception to plan around. Attendance is stop-start for learners, and it is stop-start for facilitators too.</w:t>
      </w:r>
    </w:p>
    <w:p>
      <w:pPr>
        <w:pStyle w:val="ListParagraph"/>
        <w:numPr>
          <w:ilvl w:val="0"/>
          <w:numId w:val="1"/>
        </w:numPr>
        <w:spacing w:after="80" w:line="300"/>
      </w:pPr>
      <w:r>
        <w:rPr>
          <w:sz w:val="22"/>
          <w:szCs w:val="22"/>
        </w:rPr>
        <w:t xml:space="preserve">Run IND-1 before they take a session. Never skip it: it is the one that makes the Educator Guide usable, and a facilitator without it will be improvising in front of a group in their first week.</w:t>
      </w:r>
    </w:p>
    <w:p>
      <w:pPr>
        <w:pStyle w:val="ListParagraph"/>
        <w:numPr>
          <w:ilvl w:val="0"/>
          <w:numId w:val="1"/>
        </w:numPr>
        <w:spacing w:after="80" w:line="300"/>
      </w:pPr>
      <w:r>
        <w:rPr>
          <w:sz w:val="22"/>
          <w:szCs w:val="22"/>
        </w:rPr>
        <w:t xml:space="preserve">IND-2 can wait, but only until the assessment window is in sight. Run it before the week-6 supported assessment, not during it.</w:t>
      </w:r>
    </w:p>
    <w:p>
      <w:pPr>
        <w:pStyle w:val="ListParagraph"/>
        <w:numPr>
          <w:ilvl w:val="0"/>
          <w:numId w:val="1"/>
        </w:numPr>
        <w:spacing w:after="80" w:line="300"/>
      </w:pPr>
      <w:r>
        <w:rPr>
          <w:sz w:val="22"/>
          <w:szCs w:val="22"/>
        </w:rPr>
        <w:t xml:space="preserve">Pair them with a facilitator who has been there since Week 1, for their first two weeks. This is worth more than anything you can say in a room.</w:t>
      </w:r>
    </w:p>
    <w:p>
      <w:pPr>
        <w:pStyle w:val="ListParagraph"/>
        <w:numPr>
          <w:ilvl w:val="0"/>
          <w:numId w:val="1"/>
        </w:numPr>
        <w:spacing w:after="80" w:line="300"/>
      </w:pPr>
      <w:r>
        <w:rPr>
          <w:sz w:val="22"/>
          <w:szCs w:val="22"/>
        </w:rPr>
        <w:t xml:space="preserve">Tell the coordinator what you cut and when you will run it, so the record stays honest.</w:t>
      </w:r>
    </w:p>
    <w:p>
      <w:pPr>
        <w:pStyle w:val="Heading1"/>
        <w:keepNext/>
        <w:spacing w:after="140" w:before="320"/>
      </w:pPr>
      <w:r>
        <w:rPr>
          <w:b/>
          <w:bCs/>
          <w:color w:val="1F3A5F"/>
          <w:sz w:val="36"/>
          <w:szCs w:val="36"/>
        </w:rPr>
        <w:t xml:space="preserve">6. After induction</w:t>
      </w:r>
    </w:p>
    <w:p>
      <w:pPr>
        <w:spacing w:after="140" w:before="0" w:line="300"/>
      </w:pPr>
      <w:r>
        <w:rPr>
          <w:sz w:val="22"/>
          <w:szCs w:val="22"/>
        </w:rPr>
        <w:t xml:space="preserve">Induction is not the end of your involvement, and the first two weeks are where it either lands or does not.</w:t>
      </w:r>
    </w:p>
    <w:p>
      <w:pPr>
        <w:pStyle w:val="ListParagraph"/>
        <w:numPr>
          <w:ilvl w:val="0"/>
          <w:numId w:val="1"/>
        </w:numPr>
        <w:spacing w:after="80" w:line="300"/>
      </w:pPr>
      <w:r>
        <w:rPr>
          <w:sz w:val="22"/>
          <w:szCs w:val="22"/>
        </w:rPr>
        <w:t xml:space="preserve">Sit in on one session per facilitator in the first fortnight. Not to judge them - to see which parts of the guide they are actually using, and which they have quietly stopped opening.</w:t>
      </w:r>
    </w:p>
    <w:p>
      <w:pPr>
        <w:pStyle w:val="ListParagraph"/>
        <w:numPr>
          <w:ilvl w:val="0"/>
          <w:numId w:val="1"/>
        </w:numPr>
        <w:spacing w:after="80" w:line="300"/>
      </w:pPr>
      <w:r>
        <w:rPr>
          <w:sz w:val="22"/>
          <w:szCs w:val="22"/>
        </w:rPr>
        <w:t xml:space="preserve">Take the questions that arrive in week two seriously. They are the real ones. The questions asked in the induction room are mostly about the programme; the questions asked in week two are about the learners in front of them.</w:t>
      </w:r>
    </w:p>
    <w:p>
      <w:pPr>
        <w:pStyle w:val="ListParagraph"/>
        <w:numPr>
          <w:ilvl w:val="0"/>
          <w:numId w:val="1"/>
        </w:numPr>
        <w:spacing w:after="80" w:line="300"/>
      </w:pPr>
      <w:r>
        <w:rPr>
          <w:sz w:val="22"/>
          <w:szCs w:val="22"/>
        </w:rPr>
        <w:t xml:space="preserve">Feed what you see back to the coordinator, and to Amala. If several facilitators are stuck on the same thing, that is a curriculum problem, not a training problem, and Amala should hear about it.</w:t>
      </w:r>
    </w:p>
    <w:p>
      <w:r>
        <w:br w:type="page"/>
      </w:r>
    </w:p>
    <w:p>
      <w:pPr>
        <w:pStyle w:val="Heading1"/>
        <w:keepNext/>
        <w:spacing w:after="140" w:before="320"/>
      </w:pPr>
      <w:r>
        <w:rPr>
          <w:b/>
          <w:bCs/>
          <w:color w:val="1F3A5F"/>
          <w:sz w:val="36"/>
          <w:szCs w:val="36"/>
        </w:rPr>
        <w:t xml:space="preserve">7. Running moderation</w:t>
      </w:r>
    </w:p>
    <w:p>
      <w:pPr>
        <w:spacing w:after="140" w:before="0" w:line="300"/>
      </w:pPr>
      <w:r>
        <w:rPr>
          <w:sz w:val="22"/>
          <w:szCs w:val="22"/>
        </w:rPr>
        <w:t xml:space="preserve">In each assessment period you hold moderation discussions with the educators you support, bring them to a session with Amala, and share what you learned before every learner is assessed. Amala is not in the room where the judgements are made, so you are how the standard is held there. Everything you need is in the Moderation Guide, with the moderation template; this is what to expect.</w:t>
      </w:r>
    </w:p>
    <w:p>
      <w:pPr>
        <w:pStyle w:val="ListParagraph"/>
        <w:numPr>
          <w:ilvl w:val="0"/>
          <w:numId w:val="1"/>
        </w:numPr>
        <w:spacing w:after="80" w:line="300"/>
      </w:pPr>
      <w:r>
        <w:rPr>
          <w:sz w:val="22"/>
          <w:szCs w:val="22"/>
        </w:rPr>
        <w:t xml:space="preserve">1. A first set of assessments - every educator.</w:t>
      </w:r>
    </w:p>
    <w:p>
      <w:pPr>
        <w:pStyle w:val="ListParagraph"/>
        <w:numPr>
          <w:ilvl w:val="0"/>
          <w:numId w:val="1"/>
        </w:numPr>
        <w:spacing w:after="80" w:line="300"/>
      </w:pPr>
      <w:r>
        <w:rPr>
          <w:sz w:val="22"/>
          <w:szCs w:val="22"/>
        </w:rPr>
        <w:t xml:space="preserve">2. Moderation discussions - master educators, with educators.</w:t>
      </w:r>
    </w:p>
    <w:p>
      <w:pPr>
        <w:pStyle w:val="ListParagraph"/>
        <w:numPr>
          <w:ilvl w:val="0"/>
          <w:numId w:val="1"/>
        </w:numPr>
        <w:spacing w:after="80" w:line="300"/>
      </w:pPr>
      <w:r>
        <w:rPr>
          <w:sz w:val="22"/>
          <w:szCs w:val="22"/>
        </w:rPr>
        <w:t xml:space="preserve">3. The moderation session with Amala - master educators, with a member of the amala education programmes team.</w:t>
      </w:r>
    </w:p>
    <w:p>
      <w:pPr>
        <w:pStyle w:val="ListParagraph"/>
        <w:numPr>
          <w:ilvl w:val="0"/>
          <w:numId w:val="1"/>
        </w:numPr>
        <w:spacing w:after="80" w:line="300"/>
      </w:pPr>
      <w:r>
        <w:rPr>
          <w:sz w:val="22"/>
          <w:szCs w:val="22"/>
        </w:rPr>
        <w:t xml:space="preserve">4. Share the learning - master educators, with every educator.</w:t>
      </w:r>
    </w:p>
    <w:p>
      <w:pPr>
        <w:pStyle w:val="ListParagraph"/>
        <w:numPr>
          <w:ilvl w:val="0"/>
          <w:numId w:val="1"/>
        </w:numPr>
        <w:spacing w:after="80" w:line="300"/>
      </w:pPr>
      <w:r>
        <w:rPr>
          <w:sz w:val="22"/>
          <w:szCs w:val="22"/>
        </w:rPr>
        <w:t xml:space="preserve">5. Every learner assessed - every educator.</w:t>
      </w:r>
    </w:p>
    <w:p>
      <w:pPr>
        <w:keepNext/>
        <w:spacing w:after="60" w:before="180"/>
      </w:pPr>
      <w:r>
        <w:rPr>
          <w:b/>
          <w:bCs/>
          <w:color w:val="6E7A2E"/>
          <w:spacing w:val="24"/>
          <w:sz w:val="17"/>
          <w:szCs w:val="17"/>
        </w:rPr>
        <w:t xml:space="preserve">HOLDING A MODERATION DISCUSSION</w:t>
      </w:r>
    </w:p>
    <w:p>
      <w:pPr>
        <w:pStyle w:val="ListParagraph"/>
        <w:numPr>
          <w:ilvl w:val="0"/>
          <w:numId w:val="1"/>
        </w:numPr>
        <w:spacing w:after="80" w:line="300"/>
      </w:pPr>
      <w:r>
        <w:rPr>
          <w:sz w:val="22"/>
          <w:szCs w:val="22"/>
        </w:rPr>
        <w:t xml:space="preserve">Let the educator present the whole case before anyone asks anything. It is their case and their rationale.</w:t>
      </w:r>
    </w:p>
    <w:p>
      <w:pPr>
        <w:pStyle w:val="ListParagraph"/>
        <w:numPr>
          <w:ilvl w:val="0"/>
          <w:numId w:val="1"/>
        </w:numPr>
        <w:spacing w:after="80" w:line="300"/>
      </w:pPr>
      <w:r>
        <w:rPr>
          <w:sz w:val="22"/>
          <w:szCs w:val="22"/>
        </w:rPr>
        <w:t xml:space="preserve">Hold the conversation, not the verdict. Your level is a view to be explored against the level descriptions, not a ruling.</w:t>
      </w:r>
    </w:p>
    <w:p>
      <w:pPr>
        <w:pStyle w:val="ListParagraph"/>
        <w:numPr>
          <w:ilvl w:val="0"/>
          <w:numId w:val="1"/>
        </w:numPr>
        <w:spacing w:after="80" w:line="300"/>
      </w:pPr>
      <w:r>
        <w:rPr>
          <w:sz w:val="22"/>
          <w:szCs w:val="22"/>
        </w:rPr>
        <w:t xml:space="preserve">It is case-based, not consensus-based. Where views differ, explore why against the level description - you do not have to end up agreeing, and seniority never settles it.</w:t>
      </w:r>
    </w:p>
    <w:p>
      <w:pPr>
        <w:pStyle w:val="ListParagraph"/>
        <w:numPr>
          <w:ilvl w:val="0"/>
          <w:numId w:val="1"/>
        </w:numPr>
        <w:spacing w:after="80" w:line="300"/>
      </w:pPr>
      <w:r>
        <w:rPr>
          <w:sz w:val="22"/>
          <w:szCs w:val="22"/>
        </w:rPr>
        <w:t xml:space="preserve">Bring the other educators in. Invite their questions, and keep the focus on the case, not the person.</w:t>
      </w:r>
    </w:p>
    <w:p>
      <w:pPr>
        <w:pStyle w:val="ListParagraph"/>
        <w:numPr>
          <w:ilvl w:val="0"/>
          <w:numId w:val="1"/>
        </w:numPr>
        <w:spacing w:after="80" w:line="300"/>
      </w:pPr>
      <w:r>
        <w:rPr>
          <w:sz w:val="22"/>
          <w:szCs w:val="22"/>
        </w:rPr>
        <w:t xml:space="preserve">Ask about the opportunity before the level. A low level can simply mean the learner never had a fair chance to show it.</w:t>
      </w:r>
    </w:p>
    <w:p>
      <w:pPr>
        <w:pStyle w:val="ListParagraph"/>
        <w:numPr>
          <w:ilvl w:val="0"/>
          <w:numId w:val="1"/>
        </w:numPr>
        <w:spacing w:after="80" w:line="300"/>
      </w:pPr>
      <w:r>
        <w:rPr>
          <w:sz w:val="22"/>
          <w:szCs w:val="22"/>
        </w:rPr>
        <w:t xml:space="preserve">Test the level both ways. Name the evidence for this level, and name what in the next level's description has not been seen. A reason that only argues one way is not finished.</w:t>
      </w:r>
    </w:p>
    <w:p>
      <w:pPr>
        <w:pStyle w:val="ListParagraph"/>
        <w:numPr>
          <w:ilvl w:val="0"/>
          <w:numId w:val="1"/>
        </w:numPr>
        <w:spacing w:after="80" w:line="300"/>
      </w:pPr>
      <w:r>
        <w:rPr>
          <w:sz w:val="22"/>
          <w:szCs w:val="22"/>
        </w:rPr>
        <w:t xml:space="preserve">Ask whether it was seen or reported. What a learner tells you they did at home counts, but say which it is, and look for something the educator saw.</w:t>
      </w:r>
    </w:p>
    <w:p>
      <w:pPr>
        <w:pStyle w:val="ListParagraph"/>
        <w:numPr>
          <w:ilvl w:val="0"/>
          <w:numId w:val="1"/>
        </w:numPr>
        <w:spacing w:after="80" w:line="300"/>
      </w:pPr>
      <w:r>
        <w:rPr>
          <w:sz w:val="22"/>
          <w:szCs w:val="22"/>
        </w:rPr>
        <w:t xml:space="preserve">A level describes what the learner can do now. Never set it lower to push the learner or higher to encourage them - that makes the level untrue, which is a bigger problem than a wrong one.</w:t>
      </w:r>
    </w:p>
    <w:p>
      <w:pPr>
        <w:pStyle w:val="ListParagraph"/>
        <w:numPr>
          <w:ilvl w:val="0"/>
          <w:numId w:val="1"/>
        </w:numPr>
        <w:spacing w:after="80" w:line="300"/>
      </w:pPr>
      <w:r>
        <w:rPr>
          <w:sz w:val="22"/>
          <w:szCs w:val="22"/>
        </w:rPr>
        <w:t xml:space="preserve">One discussion is not a pattern. Do not decide an educator is harsh or generous from one case; note it, and look again across more assessments.</w:t>
      </w:r>
    </w:p>
    <w:p>
      <w:pPr>
        <w:pStyle w:val="ListParagraph"/>
        <w:numPr>
          <w:ilvl w:val="0"/>
          <w:numId w:val="1"/>
        </w:numPr>
        <w:spacing w:after="80" w:line="300"/>
      </w:pPr>
      <w:r>
        <w:rPr>
          <w:sz w:val="22"/>
          <w:szCs w:val="22"/>
        </w:rPr>
        <w:t xml:space="preserve">Not every difference is a mistake. A learner can genuinely show more in one setting than another. The difference to remove is two people reading the same level description differently.</w:t>
      </w:r>
    </w:p>
    <w:p>
      <w:pPr>
        <w:pStyle w:val="ListParagraph"/>
        <w:numPr>
          <w:ilvl w:val="0"/>
          <w:numId w:val="1"/>
        </w:numPr>
        <w:spacing w:after="80" w:line="300"/>
      </w:pPr>
      <w:r>
        <w:rPr>
          <w:sz w:val="22"/>
          <w:szCs w:val="22"/>
        </w:rPr>
        <w:t xml:space="preserve">Watch for the slips: being swayed by a neat product rather than what the learner did, by knowing the learner, by effort rather than what the learner can now do - and reading a learner who cannot write as a learner who cannot do.</w:t>
      </w:r>
    </w:p>
    <w:p>
      <w:pPr>
        <w:pStyle w:val="ListParagraph"/>
        <w:numPr>
          <w:ilvl w:val="0"/>
          <w:numId w:val="1"/>
        </w:numPr>
        <w:spacing w:after="80" w:line="300"/>
      </w:pPr>
      <w:r>
        <w:rPr>
          <w:sz w:val="22"/>
          <w:szCs w:val="22"/>
        </w:rPr>
        <w:t xml:space="preserve">Write it down as you go. The template is what you take to Amala, and what you share back with educators.</w:t>
      </w:r>
    </w:p>
    <w:p>
      <w:pPr>
        <w:keepNext/>
        <w:spacing w:after="60" w:before="180"/>
      </w:pPr>
      <w:r>
        <w:rPr>
          <w:b/>
          <w:bCs/>
          <w:color w:val="6E7A2E"/>
          <w:spacing w:val="24"/>
          <w:sz w:val="17"/>
          <w:szCs w:val="17"/>
        </w:rPr>
        <w:t xml:space="preserve">THE MODERATION SESSION WITH AMALA</w:t>
      </w:r>
    </w:p>
    <w:p>
      <w:pPr>
        <w:spacing w:after="140" w:before="0" w:line="300"/>
      </w:pPr>
      <w:r>
        <w:rPr>
          <w:sz w:val="22"/>
          <w:szCs w:val="22"/>
        </w:rPr>
        <w:t xml:space="preserve">After the moderation discussions, master educators bring their completed templates to a moderation session with a member of the Amala Education Programmes team. It is where Amala checks that the levels are being read the same way across every centre and every master educator, without being in the room where the assessments were made.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IF THE SESSION READS A CASE DIFFERENTLY</w:t>
            </w:r>
          </w:p>
          <w:p>
            <w:pPr>
              <w:spacing w:after="0" w:before="0" w:line="300"/>
            </w:pPr>
            <w:r>
              <w:rPr>
                <w:sz w:val="21"/>
                <w:szCs w:val="21"/>
              </w:rPr>
              <w:t xml:space="preserve">If the session reads a case differently, take that back to the educator, one-to-one, before the follow-up session. The level stays their judgement: they decide whether to revise it, and if they do, they check any other learners they judged the same way. Then share what was learned with every educator. Amala does not regrade learners.</w:t>
            </w:r>
          </w:p>
        </w:tc>
      </w:tr>
    </w:tbl>
    <w:p>
      <w:pPr>
        <w:keepNext/>
        <w:spacing w:after="60" w:before="180"/>
      </w:pPr>
      <w:r>
        <w:rPr>
          <w:b/>
          <w:bCs/>
          <w:color w:val="6E7A2E"/>
          <w:spacing w:val="24"/>
          <w:sz w:val="17"/>
          <w:szCs w:val="17"/>
        </w:rPr>
        <w:t xml:space="preserve">HOW YOU GET READY</w:t>
      </w:r>
    </w:p>
    <w:p>
      <w:pPr>
        <w:spacing w:after="140" w:before="0" w:line="300"/>
      </w:pPr>
      <w:r>
        <w:rPr>
          <w:sz w:val="22"/>
          <w:szCs w:val="22"/>
        </w:rPr>
        <w:t xml:space="preserve">Master educators are trained to moderate by Amala before the first assessment period, and they learn it the way the educators will: by doing it.</w:t>
      </w:r>
    </w:p>
    <w:p>
      <w:pPr>
        <w:pStyle w:val="ListParagraph"/>
        <w:numPr>
          <w:ilvl w:val="0"/>
          <w:numId w:val="1"/>
        </w:numPr>
        <w:spacing w:after="80" w:line="300"/>
      </w:pPr>
      <w:r>
        <w:rPr>
          <w:sz w:val="22"/>
          <w:szCs w:val="22"/>
        </w:rPr>
        <w:t xml:space="preserve">Read this guide, and "What Might You See or Hear?", before the training.</w:t>
      </w:r>
    </w:p>
    <w:p>
      <w:pPr>
        <w:pStyle w:val="ListParagraph"/>
        <w:numPr>
          <w:ilvl w:val="0"/>
          <w:numId w:val="1"/>
        </w:numPr>
        <w:spacing w:after="80" w:line="300"/>
      </w:pPr>
      <w:r>
        <w:rPr>
          <w:sz w:val="22"/>
          <w:szCs w:val="22"/>
        </w:rPr>
        <w:t xml:space="preserve">In the training, Amala runs a moderation discussion with you as the educator; then you run one with another master educator while Amala watches the conversation, not the verdict. Then fill a template from it.</w:t>
      </w:r>
    </w:p>
    <w:p>
      <w:pPr>
        <w:pStyle w:val="ListParagraph"/>
        <w:numPr>
          <w:ilvl w:val="0"/>
          <w:numId w:val="1"/>
        </w:numPr>
        <w:spacing w:after="80" w:line="300"/>
      </w:pPr>
      <w:r>
        <w:rPr>
          <w:sz w:val="22"/>
          <w:szCs w:val="22"/>
        </w:rPr>
        <w:t xml:space="preserve">The formative period is the practice that counts. The Amala session afterwards looks at how each discussion ran, as well as the levels.</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TRAP</w:t>
            </w:r>
          </w:p>
          <w:p>
            <w:pPr>
              <w:spacing w:after="0" w:before="0" w:line="300"/>
            </w:pPr>
            <w:r>
              <w:rPr>
                <w:sz w:val="21"/>
                <w:szCs w:val="21"/>
              </w:rPr>
              <w:t xml:space="preserve">The discussion turns into the master educator telling the educator the right level. It feels efficient and respectful of rank, and it teaches nobody anything: the next assessments will be no more consistent than these, and the template that reaches Amala shows the master educator's view, not the conversation. The moderation is in the educator explaining their evidence and both of you reasoning against the level descriptions. Ask more than you tell.</w:t>
            </w:r>
          </w:p>
        </w:tc>
      </w:tr>
    </w:tbl>
    <w:p>
      <w:pPr>
        <w:spacing w:after="140" w:before="240" w:line="300"/>
      </w:pPr>
      <w:r>
        <w:rPr>
          <w:color w:val="5A6473"/>
          <w:sz w:val="18"/>
          <w:szCs w:val="18"/>
        </w:rPr>
        <w:t xml:space="preserve">This guide is part of a fully offline, editable pack for Learning Bridge+ (Cox’s Bazar). Not for redistribution outside the programme.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Trainer Guide  ·  Learning Bridge+ (Cox's Bazar)</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2026-10-26T06:04:24.671Z</dcterms:created>
  <dcterms:modified xsi:type="dcterms:W3CDTF">2026-10-26T06:04:24.671Z</dcterms:modified>
</cp:coreProperties>
</file>

<file path=docProps/custom.xml><?xml version="1.0" encoding="utf-8"?>
<Properties xmlns="http://schemas.openxmlformats.org/officeDocument/2006/custom-properties" xmlns:vt="http://schemas.openxmlformats.org/officeDocument/2006/docPropsVTypes"/>
</file>