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slides and the picture-card PDF alongside on the USB.</w:t>
      </w:r>
    </w:p>
    <w:p>
      <w:pPr>
        <w:pStyle w:val="ListParagraph"/>
        <w:numPr>
          <w:ilvl w:val="0"/>
          <w:numId w:val="2"/>
        </w:numPr>
        <w:spacing w:after="80" w:line="300"/>
      </w:pPr>
      <w:r>
        <w:rPr>
          <w:sz w:val="22"/>
          <w:szCs w:val="22"/>
        </w:rPr>
        <w:t xml:space="preserve">Check every site can print what it needs — at minimum one learner book per learner per component — or has a screen, or can work from a single held-up copy.</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 Before the Research Project’s shared challenge is agreed, run Agency in Learning and English only — two hours a day with you instead of three.</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2026-08-21T07:21:29.834Z</dcterms:created>
  <dcterms:modified xsi:type="dcterms:W3CDTF">2026-08-21T07:21:29.838Z</dcterms:modified>
</cp:coreProperties>
</file>

<file path=docProps/custom.xml><?xml version="1.0" encoding="utf-8"?>
<Properties xmlns="http://schemas.openxmlformats.org/officeDocument/2006/custom-properties" xmlns:vt="http://schemas.openxmlformats.org/officeDocument/2006/docPropsVTypes"/>
</file>