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how the 1:1 conversations run, and the safeguarding you must know before you take a caseload.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and the optional slides, which stay on the USB. Where there is no printer: show one copy on a screen, or hold up a printed sheet, and learners use their own notebooks — every activity is written to work that way.</w:t>
      </w:r>
    </w:p>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Session slides (Agency in Learning, My Voice)</w:t>
            </w:r>
          </w:p>
        </w:tc>
        <w:tc>
          <w:tcPr>
            <w:tcW w:type="dxa" w:w="1511"/>
            <w:tcMar>
              <w:top w:type="dxa" w:w="70"/>
              <w:left w:type="dxa" w:w="130"/>
              <w:bottom w:type="dxa" w:w="70"/>
              <w:right w:type="dxa" w:w="130"/>
            </w:tcMar>
          </w:tcPr>
          <w:p>
            <w:pPr>
              <w:spacing w:line="260"/>
            </w:pPr>
            <w:r>
              <w:rPr>
                <w:b w:val="false"/>
                <w:bCs w:val="false"/>
                <w:sz w:val="19"/>
                <w:szCs w:val="19"/>
              </w:rPr>
              <w:t xml:space="preserve">Optional</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Only for the minority of sites with a screen. On the USB only.</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pStyle w:val="Heading1"/>
        <w:keepNext/>
        <w:spacing w:after="140" w:before="320"/>
      </w:pPr>
      <w:r>
        <w:rPr>
          <w:b/>
          <w:bCs/>
          <w:color w:val="1F3A5F"/>
          <w:sz w:val="36"/>
          <w:szCs w:val="36"/>
        </w:rPr>
        <w:t xml:space="preserve">Contents</w:t>
      </w:r>
    </w:p>
    <w:p>
      <w:pPr>
        <w:spacing w:after="160" w:before="0" w:line="300"/>
      </w:pPr>
      <w:r>
        <w:rPr>
          <w:color w:val="5A6473"/>
          <w:sz w:val="20"/>
          <w:szCs w:val="20"/>
        </w:rPr>
        <w:t xml:space="preserve">Every page is numbered at the foot. The list below is the shape of the guide; in Word, the detailed contents underneath it fills in with page numbers when you open the file.</w:t>
      </w:r>
    </w:p>
    <w:p>
      <w:pPr>
        <w:spacing w:after="40" w:before="160"/>
      </w:pPr>
      <w:r>
        <w:rPr>
          <w:b/>
          <w:bCs/>
          <w:color w:val="1F3A5F"/>
          <w:sz w:val="22"/>
          <w:szCs w:val="22"/>
        </w:rPr>
        <w:t xml:space="preserve">Part 1 — Before you start</w:t>
      </w:r>
    </w:p>
    <w:p>
      <w:pPr>
        <w:spacing w:after="30"/>
        <w:ind w:left="340"/>
      </w:pPr>
      <w:r>
        <w:rPr>
          <w:color w:val="7A3B69"/>
          <w:sz w:val="20"/>
          <w:szCs w:val="20"/>
        </w:rPr>
        <w:t xml:space="preserve">1.1  Your three roles</w:t>
      </w:r>
    </w:p>
    <w:p>
      <w:pPr>
        <w:spacing w:after="30"/>
        <w:ind w:left="340"/>
      </w:pPr>
      <w:r>
        <w:rPr>
          <w:color w:val="7A3B69"/>
          <w:sz w:val="20"/>
          <w:szCs w:val="20"/>
        </w:rPr>
        <w:t xml:space="preserve">1.2  How we deliver here</w:t>
      </w:r>
    </w:p>
    <w:p>
      <w:pPr>
        <w:spacing w:after="30"/>
        <w:ind w:left="340"/>
      </w:pPr>
      <w:r>
        <w:rPr>
          <w:color w:val="7A3B69"/>
          <w:sz w:val="20"/>
          <w:szCs w:val="20"/>
        </w:rPr>
        <w:t xml:space="preserve">1.3  What a week could look like</w:t>
      </w:r>
    </w:p>
    <w:p>
      <w:pPr>
        <w:spacing w:after="30"/>
        <w:ind w:left="340"/>
      </w:pPr>
      <w:r>
        <w:rPr>
          <w:color w:val="7A3B69"/>
          <w:sz w:val="20"/>
          <w:szCs w:val="20"/>
        </w:rPr>
        <w:t xml:space="preserve">1.4  The twelve weeks</w:t>
      </w:r>
    </w:p>
    <w:p>
      <w:pPr>
        <w:spacing w:after="30"/>
        <w:ind w:left="340"/>
      </w:pPr>
      <w:r>
        <w:rPr>
          <w:color w:val="7A3B69"/>
          <w:sz w:val="20"/>
          <w:szCs w:val="20"/>
        </w:rPr>
        <w:t xml:space="preserve">1.5  The week-by-week map</w:t>
      </w:r>
    </w:p>
    <w:p>
      <w:pPr>
        <w:spacing w:after="30"/>
        <w:ind w:left="340"/>
      </w:pPr>
      <w:r>
        <w:rPr>
          <w:color w:val="7A3B69"/>
          <w:sz w:val="20"/>
          <w:szCs w:val="20"/>
        </w:rPr>
        <w:t xml:space="preserve">1.6  Before Week 1 — your checklist</w:t>
      </w:r>
    </w:p>
    <w:p>
      <w:pPr>
        <w:spacing w:after="40" w:before="160"/>
      </w:pPr>
      <w:r>
        <w:rPr>
          <w:b/>
          <w:bCs/>
          <w:color w:val="1F3A5F"/>
          <w:sz w:val="22"/>
          <w:szCs w:val="22"/>
        </w:rPr>
        <w:t xml:space="preserve">Part 2 — Mentoring and wellbeing</w:t>
      </w:r>
    </w:p>
    <w:p>
      <w:pPr>
        <w:spacing w:after="30"/>
        <w:ind w:left="340"/>
      </w:pPr>
      <w:r>
        <w:rPr>
          <w:color w:val="7A3B69"/>
          <w:sz w:val="20"/>
          <w:szCs w:val="20"/>
        </w:rPr>
        <w:t xml:space="preserve">2.1  What mentoring is here</w:t>
      </w:r>
    </w:p>
    <w:p>
      <w:pPr>
        <w:spacing w:after="30"/>
        <w:ind w:left="340"/>
      </w:pPr>
      <w:r>
        <w:rPr>
          <w:color w:val="7A3B69"/>
          <w:sz w:val="20"/>
          <w:szCs w:val="20"/>
        </w:rPr>
        <w:t xml:space="preserve">2.2  Safeguarding</w:t>
      </w:r>
    </w:p>
    <w:p>
      <w:pPr>
        <w:spacing w:after="40" w:before="160"/>
      </w:pPr>
      <w:r>
        <w:rPr>
          <w:b/>
          <w:bCs/>
          <w:color w:val="1F3A5F"/>
          <w:sz w:val="22"/>
          <w:szCs w:val="22"/>
        </w:rPr>
        <w:t xml:space="preserve">Part 3 — Assessing the two competencies</w:t>
      </w:r>
    </w:p>
    <w:p>
      <w:pPr>
        <w:spacing w:after="30"/>
        <w:ind w:left="340"/>
      </w:pPr>
      <w:r>
        <w:rPr>
          <w:color w:val="7A3B69"/>
          <w:sz w:val="20"/>
          <w:szCs w:val="20"/>
        </w:rPr>
        <w:t xml:space="preserve">3.1  What you are assessing</w:t>
      </w:r>
    </w:p>
    <w:p>
      <w:pPr>
        <w:spacing w:after="30"/>
        <w:ind w:left="340"/>
      </w:pPr>
      <w:r>
        <w:rPr>
          <w:color w:val="7A3B69"/>
          <w:sz w:val="20"/>
          <w:szCs w:val="20"/>
        </w:rPr>
        <w:t xml:space="preserve">3.2  Gather evidence as you go</w:t>
      </w:r>
    </w:p>
    <w:p>
      <w:pPr>
        <w:spacing w:after="30"/>
        <w:ind w:left="340"/>
      </w:pPr>
      <w:r>
        <w:rPr>
          <w:color w:val="7A3B69"/>
          <w:sz w:val="20"/>
          <w:szCs w:val="20"/>
        </w:rPr>
        <w:t xml:space="preserve">3.3  The two assessment points</w:t>
      </w:r>
    </w:p>
    <w:p>
      <w:pPr>
        <w:spacing w:after="30"/>
        <w:ind w:left="340"/>
      </w:pPr>
      <w:r>
        <w:rPr>
          <w:color w:val="7A3B69"/>
          <w:sz w:val="20"/>
          <w:szCs w:val="20"/>
        </w:rPr>
        <w:t xml:space="preserve">3.4  The scale, and the grade it produces</w:t>
      </w:r>
    </w:p>
    <w:p>
      <w:pPr>
        <w:spacing w:after="30"/>
        <w:ind w:left="340"/>
      </w:pPr>
      <w:r>
        <w:rPr>
          <w:color w:val="7A3B69"/>
          <w:sz w:val="20"/>
          <w:szCs w:val="20"/>
        </w:rPr>
        <w:t xml:space="preserve">3.5  A few things that make this work</w:t>
      </w:r>
    </w:p>
    <w:p>
      <w:pPr>
        <w:spacing w:after="40" w:before="160"/>
      </w:pPr>
      <w:r>
        <w:rPr>
          <w:b/>
          <w:bCs/>
          <w:color w:val="1F3A5F"/>
          <w:sz w:val="22"/>
          <w:szCs w:val="22"/>
        </w:rPr>
        <w:t xml:space="preserve">Part 4 — Agency in Learning</w:t>
      </w:r>
    </w:p>
    <w:p>
      <w:pPr>
        <w:spacing w:after="30"/>
        <w:ind w:left="700"/>
      </w:pPr>
      <w:r>
        <w:rPr>
          <w:color w:val="5A6473"/>
          <w:sz w:val="20"/>
          <w:szCs w:val="20"/>
        </w:rPr>
        <w:t xml:space="preserve">Phase 1 — Getting started</w:t>
      </w:r>
    </w:p>
    <w:p>
      <w:pPr>
        <w:spacing w:after="30"/>
        <w:ind w:left="700"/>
      </w:pPr>
      <w:r>
        <w:rPr>
          <w:color w:val="5A6473"/>
          <w:sz w:val="20"/>
          <w:szCs w:val="20"/>
        </w:rPr>
        <w:t xml:space="preserve">Phase 2 — Understand yourself as a learner</w:t>
      </w:r>
    </w:p>
    <w:p>
      <w:pPr>
        <w:spacing w:after="30"/>
        <w:ind w:left="700"/>
      </w:pPr>
      <w:r>
        <w:rPr>
          <w:color w:val="5A6473"/>
          <w:sz w:val="20"/>
          <w:szCs w:val="20"/>
        </w:rPr>
        <w:t xml:space="preserve">Phase 3 — Set clear, meaningful learning goals</w:t>
      </w:r>
    </w:p>
    <w:p>
      <w:pPr>
        <w:spacing w:after="30"/>
        <w:ind w:left="700"/>
      </w:pPr>
      <w:r>
        <w:rPr>
          <w:color w:val="5A6473"/>
          <w:sz w:val="20"/>
          <w:szCs w:val="20"/>
        </w:rPr>
        <w:t xml:space="preserve">Phase 4 — Plan and take deliberate steps</w:t>
      </w:r>
    </w:p>
    <w:p>
      <w:pPr>
        <w:spacing w:after="30"/>
        <w:ind w:left="700"/>
      </w:pPr>
      <w:r>
        <w:rPr>
          <w:color w:val="5A6473"/>
          <w:sz w:val="20"/>
          <w:szCs w:val="20"/>
        </w:rPr>
        <w:t xml:space="preserve">Phase 5 — Track progress, use feedback, and reflect</w:t>
      </w:r>
    </w:p>
    <w:p>
      <w:pPr>
        <w:spacing w:after="30"/>
        <w:ind w:left="700"/>
      </w:pPr>
      <w:r>
        <w:rPr>
          <w:color w:val="5A6473"/>
          <w:sz w:val="20"/>
          <w:szCs w:val="20"/>
        </w:rPr>
        <w:t xml:space="preserve">Phase 6 — Celebrate and look ahead</w:t>
      </w:r>
    </w:p>
    <w:p>
      <w:pPr>
        <w:spacing w:after="40" w:before="160"/>
      </w:pPr>
      <w:r>
        <w:rPr>
          <w:b/>
          <w:bCs/>
          <w:color w:val="1F3A5F"/>
          <w:sz w:val="22"/>
          <w:szCs w:val="22"/>
        </w:rPr>
        <w:t xml:space="preserve">Part 5 — English — My Voice</w:t>
      </w:r>
    </w:p>
    <w:p>
      <w:pPr>
        <w:spacing w:after="30"/>
        <w:ind w:left="700"/>
      </w:pPr>
      <w:r>
        <w:rPr>
          <w:color w:val="5A6473"/>
          <w:sz w:val="20"/>
          <w:szCs w:val="20"/>
        </w:rPr>
        <w:t xml:space="preserve">Phase 1 — Getting started</w:t>
      </w:r>
    </w:p>
    <w:p>
      <w:pPr>
        <w:spacing w:after="30"/>
        <w:ind w:left="700"/>
      </w:pPr>
      <w:r>
        <w:rPr>
          <w:color w:val="5A6473"/>
          <w:sz w:val="20"/>
          <w:szCs w:val="20"/>
        </w:rPr>
        <w:t xml:space="preserve">Phase 2 — The sounds, letters, and first words of English</w:t>
      </w:r>
    </w:p>
    <w:p>
      <w:pPr>
        <w:spacing w:after="30"/>
        <w:ind w:left="700"/>
      </w:pPr>
      <w:r>
        <w:rPr>
          <w:color w:val="5A6473"/>
          <w:sz w:val="20"/>
          <w:szCs w:val="20"/>
        </w:rPr>
        <w:t xml:space="preserve">Phase 3 — Say who you are</w:t>
      </w:r>
    </w:p>
    <w:p>
      <w:pPr>
        <w:spacing w:after="30"/>
        <w:ind w:left="700"/>
      </w:pPr>
      <w:r>
        <w:rPr>
          <w:color w:val="5A6473"/>
          <w:sz w:val="20"/>
          <w:szCs w:val="20"/>
        </w:rPr>
        <w:t xml:space="preserve">Phase 4 — My Name, My Voice — make and share</w:t>
      </w:r>
    </w:p>
    <w:p>
      <w:pPr>
        <w:spacing w:after="40" w:before="160"/>
      </w:pPr>
      <w:r>
        <w:rPr>
          <w:b/>
          <w:bCs/>
          <w:color w:val="1F3A5F"/>
          <w:sz w:val="22"/>
          <w:szCs w:val="22"/>
        </w:rPr>
        <w:t xml:space="preserve">Part 6 — Research Project</w:t>
      </w:r>
    </w:p>
    <w:p>
      <w:pPr>
        <w:spacing w:after="30"/>
        <w:ind w:left="700"/>
      </w:pPr>
      <w:r>
        <w:rPr>
          <w:color w:val="5A6473"/>
          <w:sz w:val="20"/>
          <w:szCs w:val="20"/>
        </w:rPr>
        <w:t xml:space="preserve">Phase 1 — Getting started</w:t>
      </w:r>
    </w:p>
    <w:p>
      <w:pPr>
        <w:spacing w:after="30"/>
        <w:ind w:left="700"/>
      </w:pPr>
      <w:r>
        <w:rPr>
          <w:color w:val="5A6473"/>
          <w:sz w:val="20"/>
          <w:szCs w:val="20"/>
        </w:rPr>
        <w:t xml:space="preserve">Phase 2 — Frame the challenge</w:t>
      </w:r>
    </w:p>
    <w:p>
      <w:pPr>
        <w:spacing w:after="30"/>
        <w:ind w:left="700"/>
      </w:pPr>
      <w:r>
        <w:rPr>
          <w:color w:val="5A6473"/>
          <w:sz w:val="20"/>
          <w:szCs w:val="20"/>
        </w:rPr>
        <w:t xml:space="preserve">Phase 3 — Plan and conduct research</w:t>
      </w:r>
    </w:p>
    <w:p>
      <w:pPr>
        <w:spacing w:after="30"/>
        <w:ind w:left="700"/>
      </w:pPr>
      <w:r>
        <w:rPr>
          <w:color w:val="5A6473"/>
          <w:sz w:val="20"/>
          <w:szCs w:val="20"/>
        </w:rPr>
        <w:t xml:space="preserve">Phase 4 — Evaluate evidence and develop insights</w:t>
      </w:r>
    </w:p>
    <w:p>
      <w:pPr>
        <w:spacing w:after="30"/>
        <w:ind w:left="700"/>
      </w:pPr>
      <w:r>
        <w:rPr>
          <w:color w:val="5A6473"/>
          <w:sz w:val="20"/>
          <w:szCs w:val="20"/>
        </w:rPr>
        <w:t xml:space="preserve">Phase 5 — Communicate findings</w:t>
      </w:r>
    </w:p>
    <w:p>
      <w:pPr>
        <w:spacing w:after="30"/>
        <w:ind w:left="700"/>
      </w:pPr>
      <w:r>
        <w:rPr>
          <w:color w:val="5A6473"/>
          <w:sz w:val="20"/>
          <w:szCs w:val="20"/>
        </w:rPr>
        <w:t xml:space="preserve">Phase 6 — Showcase and reflect</w:t>
      </w:r>
    </w:p>
    <w:p>
      <w:pPr>
        <w:spacing w:after="40" w:before="160"/>
      </w:pPr>
      <w:r>
        <w:rPr>
          <w:b/>
          <w:bCs/>
          <w:color w:val="1F3A5F"/>
          <w:sz w:val="22"/>
          <w:szCs w:val="22"/>
        </w:rPr>
        <w:t xml:space="preserve">Part 7 — The learner books — print one per learner</w:t>
      </w:r>
    </w:p>
    <w:p>
      <w:pPr>
        <w:spacing w:after="30"/>
        <w:ind w:left="340"/>
      </w:pPr>
      <w:r>
        <w:rPr>
          <w:color w:val="7A3B69"/>
          <w:sz w:val="20"/>
          <w:szCs w:val="20"/>
        </w:rPr>
        <w:t xml:space="preserve">7A  Agency in Learning — “My Learning Book”</w:t>
      </w:r>
    </w:p>
    <w:p>
      <w:pPr>
        <w:spacing w:after="30"/>
        <w:ind w:left="340"/>
      </w:pPr>
      <w:r>
        <w:rPr>
          <w:color w:val="7A3B69"/>
          <w:sz w:val="20"/>
          <w:szCs w:val="20"/>
        </w:rPr>
        <w:t xml:space="preserve">7B  English — the “My Voice book”</w:t>
      </w:r>
    </w:p>
    <w:p>
      <w:pPr>
        <w:spacing w:after="30"/>
        <w:ind w:left="340"/>
      </w:pPr>
      <w:r>
        <w:rPr>
          <w:color w:val="7A3B69"/>
          <w:sz w:val="20"/>
          <w:szCs w:val="20"/>
        </w:rPr>
        <w:t xml:space="preserve">7C  Research Project — “Our Research Book”</w:t>
      </w:r>
    </w:p>
    <w:p>
      <w:pPr>
        <w:spacing w:after="40" w:before="160"/>
      </w:pPr>
      <w:r>
        <w:rPr>
          <w:b/>
          <w:bCs/>
          <w:color w:val="1F3A5F"/>
          <w:sz w:val="22"/>
          <w:szCs w:val="22"/>
        </w:rPr>
        <w:t xml:space="preserve">Part 8 — Cards to print and cut out</w:t>
      </w:r>
    </w:p>
    <w:p>
      <w:pPr>
        <w:spacing w:after="30"/>
        <w:ind w:left="340"/>
      </w:pPr>
      <w:r>
        <w:rPr>
          <w:color w:val="7A3B69"/>
          <w:sz w:val="20"/>
          <w:szCs w:val="20"/>
        </w:rPr>
        <w:t xml:space="preserve">8A  English — letter &amp; picture cards</w:t>
      </w:r>
    </w:p>
    <w:p>
      <w:pPr>
        <w:spacing w:after="30"/>
        <w:ind w:left="340"/>
      </w:pPr>
      <w:r>
        <w:rPr>
          <w:color w:val="7A3B69"/>
          <w:sz w:val="20"/>
          <w:szCs w:val="20"/>
        </w:rPr>
        <w:t xml:space="preserve">8B  Research Project — picture-word cards</w:t>
      </w:r>
    </w:p>
    <w:p>
      <w:pPr>
        <w:spacing w:after="30"/>
        <w:ind w:left="340"/>
      </w:pPr>
      <w:r>
        <w:rPr>
          <w:color w:val="7A3B69"/>
          <w:sz w:val="20"/>
          <w:szCs w:val="20"/>
        </w:rPr>
        <w:t xml:space="preserve">8C  Agency in Learning — picture cards</w:t>
      </w:r>
    </w:p>
    <w:p>
      <w:pPr>
        <w:spacing w:after="40" w:before="160"/>
      </w:pPr>
      <w:r>
        <w:rPr>
          <w:b/>
          <w:bCs/>
          <w:color w:val="1F3A5F"/>
          <w:sz w:val="22"/>
          <w:szCs w:val="22"/>
        </w:rPr>
        <w:t xml:space="preserve">Part 9 — Assessment records</w:t>
      </w:r>
    </w:p>
    <w:p>
      <w:pPr>
        <w:spacing w:after="30"/>
        <w:ind w:left="340"/>
      </w:pPr>
      <w:r>
        <w:rPr>
          <w:color w:val="7A3B69"/>
          <w:sz w:val="20"/>
          <w:szCs w:val="20"/>
        </w:rPr>
        <w:t xml:space="preserve">9A  Agency in Learning — Set and pursue goals (FSL2)</w:t>
      </w:r>
    </w:p>
    <w:p>
      <w:pPr>
        <w:spacing w:after="30"/>
        <w:ind w:left="340"/>
      </w:pPr>
      <w:r>
        <w:rPr>
          <w:color w:val="7A3B69"/>
          <w:sz w:val="20"/>
          <w:szCs w:val="20"/>
        </w:rPr>
        <w:t xml:space="preserve">9B  Research Project — Investigate real-world issues (FSI1)</w:t>
      </w:r>
    </w:p>
    <w:p>
      <w:r>
        <w:br w:type="page"/>
      </w:r>
    </w:p>
    <w:p>
      <w:pPr>
        <w:pStyle w:val="Heading2"/>
        <w:keepNext/>
        <w:spacing w:after="100" w:before="280"/>
      </w:pPr>
      <w:r>
        <w:rPr>
          <w:b/>
          <w:bCs/>
          <w:color w:val="7A3B69"/>
          <w:sz w:val="28"/>
          <w:szCs w:val="28"/>
        </w:rPr>
        <w:t xml:space="preserve">Detailed contents, with page numbers</w:t>
      </w:r>
    </w:p>
    <w:p>
      <w:pPr>
        <w:spacing w:after="140" w:before="0" w:line="300"/>
      </w:pPr>
      <w:r>
        <w:rPr>
          <w:b/>
          <w:bCs/>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spacing w:after="120"/>
      </w:pPr>
      <w:r>
        <w:rPr>
          <w:b/>
          <w:bCs/>
          <w:color w:val="1F3A5F"/>
          <w:sz w:val="44"/>
          <w:szCs w:val="44"/>
        </w:rPr>
        <w:t xml:space="preserve">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1"/>
        <w:keepNext/>
        <w:spacing w:after="140" w:before="320"/>
      </w:pPr>
      <w:r>
        <w:rPr>
          <w:b/>
          <w:bCs/>
          <w:color w:val="1F3A5F"/>
          <w:sz w:val="36"/>
          <w:szCs w:val="36"/>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1"/>
        <w:keepNext/>
        <w:spacing w:after="140" w:before="320"/>
      </w:pPr>
      <w:r>
        <w:rPr>
          <w:b/>
          <w:bCs/>
          <w:color w:val="1F3A5F"/>
          <w:sz w:val="36"/>
          <w:szCs w:val="36"/>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1"/>
        <w:keepNext/>
        <w:spacing w:after="140" w:before="320"/>
      </w:pPr>
      <w:r>
        <w:rPr>
          <w:b/>
          <w:bCs/>
          <w:color w:val="1F3A5F"/>
          <w:sz w:val="36"/>
          <w:szCs w:val="36"/>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 Before the Research Project’s shared challenge is agreed, run Agency in Learning and English only — two hours a day with you instead of three.</w:t>
      </w:r>
    </w:p>
    <w:p>
      <w:pPr>
        <w:pStyle w:val="Heading1"/>
        <w:keepNext/>
        <w:spacing w:after="140" w:before="320"/>
      </w:pPr>
      <w:r>
        <w:rPr>
          <w:b/>
          <w:bCs/>
          <w:color w:val="1F3A5F"/>
          <w:sz w:val="36"/>
          <w:szCs w:val="36"/>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1"/>
        <w:keepNext/>
        <w:spacing w:after="140" w:before="320"/>
      </w:pPr>
      <w:r>
        <w:rPr>
          <w:b/>
          <w:bCs/>
          <w:color w:val="1F3A5F"/>
          <w:sz w:val="36"/>
          <w:szCs w:val="36"/>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1"/>
        <w:keepNext/>
        <w:spacing w:after="140" w:before="320"/>
      </w:pPr>
      <w:r>
        <w:rPr>
          <w:b/>
          <w:bCs/>
          <w:color w:val="1F3A5F"/>
          <w:sz w:val="36"/>
          <w:szCs w:val="36"/>
        </w:rPr>
        <w:t xml:space="preserve">1.6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one per learner per component (Part 7), or a plan for how you will work without a printer.</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spacing w:after="120"/>
      </w:pPr>
      <w:r>
        <w:rPr>
          <w:b/>
          <w:bCs/>
          <w:color w:val="1F3A5F"/>
          <w:sz w:val="44"/>
          <w:szCs w:val="44"/>
        </w:rPr>
        <w:t xml:space="preserve">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w:t>
      </w:r>
    </w:p>
    <w:p>
      <w:r>
        <w:br w:type="page"/>
      </w:r>
    </w:p>
    <w:p>
      <w:pPr>
        <w:pStyle w:val="Heading1"/>
        <w:keepNext/>
        <w:spacing w:after="140" w:before="320"/>
      </w:pPr>
      <w:r>
        <w:rPr>
          <w:b/>
          <w:bCs/>
          <w:color w:val="1F3A5F"/>
          <w:sz w:val="36"/>
          <w:szCs w:val="36"/>
        </w:rPr>
        <w:t xml:space="preserve">2.1  What mentoring is here</w:t>
      </w:r>
    </w:p>
    <w:p>
      <w:pPr>
        <w:spacing w:after="140" w:before="0" w:line="300"/>
      </w:pPr>
      <w:r>
        <w:rPr>
          <w:sz w:val="22"/>
          <w:szCs w:val="22"/>
        </w:rPr>
        <w:t xml:space="preserve">1:1 mentoring is the spine of wellbeing support: it is where a learner is known as a person, where distress is noticed early, and where the learning goals set in Agency in Learning are kept alive. You are not a counsellor — you build the relationship, notice concerns, and refer along NRC’s pathways.</w:t>
      </w:r>
    </w:p>
    <w:p>
      <w:pPr>
        <w:keepNext/>
        <w:spacing w:after="60" w:before="180"/>
      </w:pPr>
      <w:r>
        <w:rPr>
          <w:b/>
          <w:bCs/>
          <w:color w:val="6E7A2E"/>
          <w:spacing w:val="24"/>
          <w:sz w:val="17"/>
          <w:szCs w:val="17"/>
        </w:rPr>
        <w:t xml:space="preserve">HOW IT RUNS</w:t>
      </w:r>
    </w:p>
    <w:p>
      <w:pPr>
        <w:pStyle w:val="ListParagraph"/>
        <w:numPr>
          <w:ilvl w:val="0"/>
          <w:numId w:val="1"/>
        </w:numPr>
        <w:spacing w:after="80" w:line="300"/>
      </w:pPr>
      <w:r>
        <w:rPr>
          <w:sz w:val="22"/>
          <w:szCs w:val="22"/>
        </w:rPr>
        <w:t xml:space="preserve">Fold mentoring into the weekly in-person time as short 1:1 or very small-group conversations. No devices, no internet.</w:t>
      </w:r>
    </w:p>
    <w:p>
      <w:pPr>
        <w:pStyle w:val="ListParagraph"/>
        <w:numPr>
          <w:ilvl w:val="0"/>
          <w:numId w:val="1"/>
        </w:numPr>
        <w:spacing w:after="80" w:line="300"/>
      </w:pPr>
      <w:r>
        <w:rPr>
          <w:sz w:val="22"/>
          <w:szCs w:val="22"/>
        </w:rPr>
        <w:t xml:space="preserve">Start every meeting with a genuine check-in, spoken in the learner’s own language rather than as a written survey. Watch for withdrawal, or a change in how "fine" sounds over the weeks.</w:t>
      </w:r>
    </w:p>
    <w:p>
      <w:pPr>
        <w:pStyle w:val="ListParagraph"/>
        <w:numPr>
          <w:ilvl w:val="0"/>
          <w:numId w:val="1"/>
        </w:numPr>
        <w:spacing w:after="80" w:line="300"/>
      </w:pPr>
      <w:r>
        <w:rPr>
          <w:sz w:val="22"/>
          <w:szCs w:val="22"/>
        </w:rPr>
        <w:t xml:space="preserve">Keep a light paper record of what you notice, so each conversation builds on the last and survives stop-start attendance.</w:t>
      </w:r>
    </w:p>
    <w:p>
      <w:pPr>
        <w:pStyle w:val="ListParagraph"/>
        <w:numPr>
          <w:ilvl w:val="0"/>
          <w:numId w:val="1"/>
        </w:numPr>
        <w:spacing w:after="80" w:line="300"/>
      </w:pPr>
      <w:r>
        <w:rPr>
          <w:sz w:val="22"/>
          <w:szCs w:val="22"/>
        </w:rPr>
        <w:t xml:space="preserve">Surface the skills learners already use in camp life — caring for siblings, translating, running a stall, resolving disputes. Capture that growth orally and visually; it becomes evidence for the Set and Pursue Goals assessment.</w:t>
      </w:r>
    </w:p>
    <w:p>
      <w:pPr>
        <w:spacing w:after="140" w:before="0" w:line="300"/>
      </w:pPr>
      <w:r>
        <w:rPr>
          <w:b/>
          <w:bCs/>
          <w:color w:val="5A6473"/>
          <w:sz w:val="21"/>
          <w:szCs w:val="21"/>
        </w:rPr>
        <w:t xml:space="preserve">The shared practice is the mentor moves on the Educators pages. Use them; this guide says how they are held in the Cox’s Bazar context.</w:t>
      </w:r>
    </w:p>
    <w:p>
      <w:pPr>
        <w:pStyle w:val="Heading1"/>
        <w:keepNext/>
        <w:spacing w:after="140" w:before="320"/>
      </w:pPr>
      <w:r>
        <w:rPr>
          <w:b/>
          <w:bCs/>
          <w:color w:val="1F3A5F"/>
          <w:sz w:val="36"/>
          <w:szCs w:val="36"/>
        </w:rPr>
        <w:t xml:space="preserve">2.2  Safeguarding</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CASELOAD</w:t>
            </w:r>
          </w:p>
          <w:p>
            <w:pPr>
              <w:spacing w:after="90" w:before="0" w:line="300"/>
            </w:pPr>
            <w:r>
              <w:rPr>
                <w:sz w:val="21"/>
                <w:szCs w:val="21"/>
              </w:rPr>
              <w:t xml:space="preserve">Know NRC’s safeguarding policy and the camp referral pathway before you mentor anyone.</w:t>
            </w:r>
          </w:p>
          <w:p>
            <w:pPr>
              <w:spacing w:after="90" w:before="0" w:line="300"/>
            </w:pPr>
            <w:r>
              <w:rPr>
                <w:sz w:val="21"/>
                <w:szCs w:val="21"/>
              </w:rPr>
              <w:t xml:space="preserve">No learner ever has to share. For sensitive ground — loss, family, marriage, displacement — step back; the materials give you clear step-back prompts.</w:t>
            </w:r>
          </w:p>
          <w:p>
            <w:pPr>
              <w:spacing w:after="0" w:before="0" w:line="300"/>
            </w:pPr>
            <w:r>
              <w:rPr>
                <w:sz w:val="21"/>
                <w:szCs w:val="21"/>
              </w:rPr>
              <w:t xml:space="preserve">Disclosures may involve protection risks common in displacement — child marriage, family separation, gender-based violence. Respond calmly, never promise secrecy, and refer. Your job is to notice, steady, and refer — not to counsel.</w:t>
            </w:r>
          </w:p>
        </w:tc>
      </w:tr>
    </w:tbl>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spacing w:after="120"/>
      </w:pPr>
      <w:r>
        <w:rPr>
          <w:b/>
          <w:bCs/>
          <w:color w:val="1F3A5F"/>
          <w:sz w:val="44"/>
          <w:szCs w:val="44"/>
        </w:rPr>
        <w:t xml:space="preserve">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1"/>
        <w:keepNext/>
        <w:spacing w:after="140" w:before="320"/>
      </w:pPr>
      <w:r>
        <w:rPr>
          <w:b/>
          <w:bCs/>
          <w:color w:val="1F3A5F"/>
          <w:sz w:val="36"/>
          <w:szCs w:val="36"/>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1"/>
        <w:keepNext/>
        <w:spacing w:after="140" w:before="320"/>
      </w:pPr>
      <w:r>
        <w:rPr>
          <w:b/>
          <w:bCs/>
          <w:color w:val="1F3A5F"/>
          <w:sz w:val="36"/>
          <w:szCs w:val="36"/>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1"/>
        <w:keepNext/>
        <w:spacing w:after="140" w:before="320"/>
      </w:pPr>
      <w:r>
        <w:rPr>
          <w:b/>
          <w:bCs/>
          <w:color w:val="1F3A5F"/>
          <w:sz w:val="36"/>
          <w:szCs w:val="36"/>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1"/>
        <w:keepNext/>
        <w:spacing w:after="140" w:before="320"/>
      </w:pPr>
      <w:r>
        <w:rPr>
          <w:b/>
          <w:bCs/>
          <w:color w:val="1F3A5F"/>
          <w:sz w:val="36"/>
          <w:szCs w:val="36"/>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spacing w:after="140" w:before="0" w:line="300"/>
      </w:pPr>
      <w:r>
        <w:rPr>
          <w:b/>
          <w:bCs/>
          <w:color w:val="5A6473"/>
          <w:sz w:val="21"/>
          <w:szCs w:val="21"/>
        </w:rPr>
        <w:t xml:space="preserve">Note: the Research Project’s shared challenge is being finalised with NRC and the community. Confirm with your coordinator which competencies your cohort is assessed in and when.</w:t>
      </w:r>
    </w:p>
    <w:p>
      <w:pPr>
        <w:pStyle w:val="Heading1"/>
        <w:keepNext/>
        <w:spacing w:after="140" w:before="320"/>
      </w:pPr>
      <w:r>
        <w:rPr>
          <w:b/>
          <w:bCs/>
          <w:color w:val="1F3A5F"/>
          <w:sz w:val="36"/>
          <w:szCs w:val="36"/>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No printer? Show one copy on a screen, or hold up a printed sheet, and learners use their own notebooks.</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spacing w:after="120"/>
      </w:pPr>
      <w:r>
        <w:rPr>
          <w:b/>
          <w:bCs/>
          <w:color w:val="1F3A5F"/>
          <w:sz w:val="44"/>
          <w:szCs w:val="44"/>
        </w:rPr>
        <w:t xml:space="preserve">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3h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3h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spacing w:after="60" w:before="1800" w:line="300"/>
      </w:pPr>
      <w:r>
        <w:rPr>
          <w:b/>
          <w:bCs/>
          <w:color w:val="6E7A2E"/>
          <w:sz w:val="24"/>
          <w:szCs w:val="24"/>
        </w:rPr>
        <w:t xml:space="preserve">PART 5</w:t>
      </w:r>
    </w:p>
    <w:p>
      <w:pPr>
        <w:spacing w:after="120"/>
      </w:pPr>
      <w:r>
        <w:rPr>
          <w:b/>
          <w:bCs/>
          <w:color w:val="1F3A5F"/>
          <w:sz w:val="44"/>
          <w:szCs w:val="44"/>
        </w:rPr>
        <w:t xml:space="preserve">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 a small group or the class, with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spacing w:after="120"/>
      </w:pPr>
      <w:r>
        <w:rPr>
          <w:b/>
          <w:bCs/>
          <w:color w:val="1F3A5F"/>
          <w:sz w:val="44"/>
          <w:szCs w:val="44"/>
        </w:rPr>
        <w:t xml:space="preserve">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ACTIVITY IN THE MATERIAL BANK: SET UP YOUR RESEARCH BOOK</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ACTIVITY IN THE MATERIAL BANK: MEET OUR CHALLENGE</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ACTIVITY IN THE MATERIAL BANK: WHAT GOOD RESEARCH LOOKS LIKE</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ACTIVITY IN THE MATERIAL BANK: WHAT WE ALREADY KNOW</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ACTIVITY IN THE MATERIAL BANK: WHO AND WHAT IS CONNECTED TO OUR CHALLENGE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ACTIVITY IN THE MATERIAL BANK: MAKE OUR RESEARCH QUESTION OUR OWN</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ACTIVITY IN THE MATERIAL BANK: TWO WAYS TO FIND OUT, AND BEING A FAIR AND SAFE RESEARCHER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ACTIVITY IN THE MATERIAL BANK: DESIGN OUR INTERVIEW AND SURVEY QUESTIONS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ACTIVITY IN THE MATERIAL BANK: PRACTISE BEING AN INTERVIEWER, AND GET READY TO GO</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ACTIVITY IN THE MATERIAL BANK: WORKING WITH OUR SOURCES</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ACTIVITY IN THE MATERIAL BANK: GO AND GATHER</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ACTIVITY IN THE MATERIAL BANK: CAN WE TRUST IT? WEIGHING OUR SOURCES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ACTIVITY IN THE MATERIAL BANK: SORT AND THEME WHAT WE FOUND</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ACTIVITY IN THE MATERIAL BANK: DIG FOR THE ROOT CAUSE</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ACTIVITY IN THE MATERIAL BANK: WHO, WHAT, AND WHY — LOOKING DEEPER</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ACTIVITY IN THE MATERIAL BANK: FROM FINDINGS TO INSIGHTS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ACTIVITY IN THE MATERIAL BANK: CHOOSE OUR FORMAT AND OUR AUDIENCE</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ACTIVITY IN THE MATERIAL BANK: BUILD OUR RESEARCH OUTPUT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ACTIVITY IN THE MATERIAL BANK: SHARE OUR FINDINGS, AND LOOK BACK</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80" w:line="300"/>
      </w:pPr>
      <w:r>
        <w:rPr>
          <w:sz w:val="22"/>
          <w:szCs w:val="22"/>
        </w:rPr>
        <w:t xml:space="preserve">H. UNHCR. "Rohingya refugees restore depleted forest in Bangladesh." Around 2021 (CONFIRM date).</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Still to add</w:t>
      </w:r>
    </w:p>
    <w:p>
      <w:pPr>
        <w:spacing w:after="140" w:before="0" w:line="30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(CONFIRM date).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spacing w:after="120"/>
      </w:pPr>
      <w:r>
        <w:rPr>
          <w:b/>
          <w:bCs/>
          <w:color w:val="1F3A5F"/>
          <w:sz w:val="44"/>
          <w:szCs w:val="44"/>
        </w:rPr>
        <w:t xml:space="preserve">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1"/>
        <w:keepNext/>
        <w:spacing w:after="140" w:before="320"/>
      </w:pPr>
      <w:r>
        <w:rPr>
          <w:b/>
          <w:bCs/>
          <w:color w:val="1F3A5F"/>
          <w:sz w:val="36"/>
          <w:szCs w:val="36"/>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Draw or mark how you would try each one.</w:t>
      </w:r>
    </w:p>
    <w:p>
      <w:pPr>
        <w:spacing w:after="60" w:before="160"/>
      </w:pPr>
      <w:r>
        <w:rPr>
          <w:b/>
          <w:bCs/>
          <w:color w:val="7A3B69"/>
          <w:sz w:val="22"/>
          <w:szCs w:val="22"/>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Get to know yourself as a learner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160"/>
      </w:pPr>
      <w:r>
        <w:rPr>
          <w:b/>
          <w:bCs/>
          <w:color w:val="7A3B69"/>
          <w:sz w:val="22"/>
          <w:szCs w:val="22"/>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Choose a learning goal that matters to you</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160"/>
      </w:pPr>
      <w:r>
        <w:rPr>
          <w:b/>
          <w:bCs/>
          <w:color w:val="7A3B69"/>
          <w:sz w:val="22"/>
          <w:szCs w:val="22"/>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Make a plan and take steps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160"/>
      </w:pPr>
      <w:r>
        <w:rPr>
          <w:b/>
          <w:bCs/>
          <w:color w:val="7A3B69"/>
          <w:sz w:val="22"/>
          <w:szCs w:val="22"/>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See how you are doing, and grow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2"/>
        <w:keepNext/>
        <w:spacing w:after="180" w:before="160"/>
      </w:pPr>
      <w:r>
        <w:rPr>
          <w:b/>
          <w:bCs/>
          <w:color w:val="1F3A5F"/>
          <w:sz w:val="38"/>
          <w:szCs w:val="38"/>
        </w:rPr>
        <w:t xml:space="preserve">Getting better at goals</w:t>
      </w:r>
    </w:p>
    <w:p>
      <w:pPr>
        <w:spacing w:after="180" w:before="0" w:line="300"/>
      </w:pPr>
      <w:r>
        <w:rPr>
          <w:color w:val="5A6473"/>
          <w:sz w:val="24"/>
          <w:szCs w:val="24"/>
        </w:rPr>
        <w:t xml:space="preserve">How people grow at setting and pursuing goals. Mark where you are now, and again at the end.</w:t>
      </w:r>
    </w:p>
    <w:p>
      <w:pPr>
        <w:spacing w:after="140" w:before="0" w:line="300"/>
      </w:pPr>
      <w:r>
        <w:rPr>
          <w:color w:val="5A6473"/>
          <w:sz w:val="20"/>
          <w:szCs w:val="20"/>
        </w:rPr>
        <w:t xml:space="preserve">Each step is a bit further along. Mark the one most like you now.</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BETTER AT GOALS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5000" w:hRule="atLeast"/>
        </w:trPr>
        <w:tc>
          <w:tcPr>
            <w:tcW w:type="dxa" w:w="9070"/>
            <w:tcMar>
              <w:top w:type="dxa" w:w="80"/>
              <w:left w:type="dxa" w:w="140"/>
              <w:bottom w:type="dxa" w:w="80"/>
              <w:right w:type="dxa" w:w="140"/>
            </w:tcMar>
          </w:tcPr>
          <w:p>
            <w:pPr>
              <w:spacing w:line="260"/>
            </w:pPr>
            <w:r>
              <w:rPr>
                <w:b/>
                <w:bCs/>
                <w:color w:val="7A3B69"/>
                <w:sz w:val="18"/>
                <w:szCs w:val="18"/>
              </w:rPr>
              <w:t xml:space="preserve">Draw it here</w:t>
            </w: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Draw or mark what you are good at as a learner.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Good at: remembering stories · helping younger children · fixing things with my hands.</w:t>
            </w:r>
          </w:p>
          <w:p>
            <w:pPr>
              <w:spacing w:after="0" w:before="0" w:line="300"/>
            </w:pPr>
            <w:r>
              <w:rPr>
                <w:sz w:val="21"/>
                <w:szCs w:val="21"/>
              </w:rPr>
              <w:t xml:space="preserve">Want to grow: speaking in front of others · writing my letters.</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3800" w:hRule="atLeast"/>
        </w:trPr>
        <w:tc>
          <w:tcPr>
            <w:tcW w:type="dxa" w:w="9070"/>
            <w:tcMar>
              <w:top w:type="dxa" w:w="80"/>
              <w:left w:type="dxa" w:w="140"/>
              <w:bottom w:type="dxa" w:w="80"/>
              <w:right w:type="dxa" w:w="140"/>
            </w:tcMar>
          </w:tcPr>
          <w:p>
            <w:r>
              <w:t xml:space="preserve"/>
            </w: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4600" w:hRule="atLeast"/>
        </w:trPr>
        <w:tc>
          <w:tcPr>
            <w:tcW w:type="dxa" w:w="9070"/>
            <w:tcMar>
              <w:top w:type="dxa" w:w="80"/>
              <w:left w:type="dxa" w:w="140"/>
              <w:bottom w:type="dxa" w:w="80"/>
              <w:right w:type="dxa" w:w="140"/>
            </w:tcMar>
          </w:tcPr>
          <w:p>
            <w:pPr>
              <w:spacing w:line="260"/>
            </w:pPr>
            <w:r>
              <w:rPr>
                <w:b/>
                <w:bCs/>
                <w:color w:val="7A3B69"/>
                <w:sz w:val="18"/>
                <w:szCs w:val="18"/>
              </w:rPr>
              <w:t xml:space="preserve">Draw your goal here</w:t>
            </w: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3600" w:hRule="atLeast"/>
        </w:trPr>
        <w:tc>
          <w:tcPr>
            <w:tcW w:type="dxa" w:w="9070"/>
            <w:tcMar>
              <w:top w:type="dxa" w:w="80"/>
              <w:left w:type="dxa" w:w="140"/>
              <w:bottom w:type="dxa" w:w="80"/>
              <w:right w:type="dxa" w:w="140"/>
            </w:tcMar>
          </w:tcPr>
          <w:p>
            <w:pPr>
              <w:spacing w:line="260"/>
            </w:pPr>
            <w:r>
              <w:rPr>
                <w:b/>
                <w:bCs/>
                <w:color w:val="7A3B69"/>
                <w:sz w:val="18"/>
                <w:szCs w:val="18"/>
              </w:rPr>
              <w:t xml:space="preserve">Draw or mark the times you will work on your goal</w:t>
            </w: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5000" w:hRule="atLeast"/>
        </w:trPr>
        <w:tc>
          <w:tcPr>
            <w:tcW w:type="dxa" w:w="9070"/>
            <w:tcMar>
              <w:top w:type="dxa" w:w="80"/>
              <w:left w:type="dxa" w:w="140"/>
              <w:bottom w:type="dxa" w:w="80"/>
              <w:right w:type="dxa" w:w="140"/>
            </w:tcMar>
          </w:tcPr>
          <w:p>
            <w:pPr>
              <w:spacing w:line="260"/>
            </w:pPr>
            <w:r>
              <w:rPr>
                <w:b/>
                <w:bCs/>
                <w:color w:val="7A3B69"/>
                <w:sz w:val="18"/>
                <w:szCs w:val="18"/>
              </w:rPr>
              <w:t xml:space="preserve">Draw it here</w:t>
            </w: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800" w:hRule="atLeast"/>
        </w:trPr>
        <w:tc>
          <w:tcPr>
            <w:tcW w:type="dxa" w:w="9070"/>
            <w:tcMar>
              <w:top w:type="dxa" w:w="80"/>
              <w:left w:type="dxa" w:w="140"/>
              <w:bottom w:type="dxa" w:w="80"/>
              <w:right w:type="dxa" w:w="140"/>
            </w:tcMar>
          </w:tcPr>
          <w:p>
            <w:pPr>
              <w:spacing w:line="260"/>
            </w:pPr>
            <w:r>
              <w:rPr>
                <w:b/>
                <w:bCs/>
                <w:color w:val="7A3B69"/>
                <w:sz w:val="18"/>
                <w:szCs w:val="18"/>
              </w:rPr>
              <w:t xml:space="preserve">Draw it here</w:t>
            </w:r>
          </w:p>
        </w:tc>
      </w:tr>
    </w:tbl>
    <w:p>
      <w:pPr>
        <w:spacing w:after="140" w:before="160" w:line="300"/>
      </w:pPr>
      <w:r>
        <w:rPr>
          <w:b/>
          <w:bCs/>
          <w:color w:val="7A3B69"/>
          <w:sz w:val="22"/>
          <w:szCs w:val="22"/>
        </w:rPr>
        <w:t xml:space="preserve">Now</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800" w:hRule="atLeast"/>
        </w:trPr>
        <w:tc>
          <w:tcPr>
            <w:tcW w:type="dxa" w:w="9070"/>
            <w:tcMar>
              <w:top w:type="dxa" w:w="80"/>
              <w:left w:type="dxa" w:w="140"/>
              <w:bottom w:type="dxa" w:w="80"/>
              <w:right w:type="dxa" w:w="140"/>
            </w:tcMar>
          </w:tcPr>
          <w:p>
            <w:pPr>
              <w:spacing w:line="260"/>
            </w:pPr>
            <w:r>
              <w:rPr>
                <w:b/>
                <w:bCs/>
                <w:color w:val="7A3B69"/>
                <w:sz w:val="18"/>
                <w:szCs w:val="18"/>
              </w:rPr>
              <w:t xml:space="preserve">Draw it here</w:t>
            </w: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5000" w:hRule="atLeast"/>
        </w:trPr>
        <w:tc>
          <w:tcPr>
            <w:tcW w:type="dxa" w:w="9070"/>
            <w:tcMar>
              <w:top w:type="dxa" w:w="80"/>
              <w:left w:type="dxa" w:w="140"/>
              <w:bottom w:type="dxa" w:w="80"/>
              <w:right w:type="dxa" w:w="140"/>
            </w:tcMar>
          </w:tcPr>
          <w:p>
            <w:pPr>
              <w:spacing w:line="260"/>
            </w:pPr>
            <w:r>
              <w:rPr>
                <w:b/>
                <w:bCs/>
                <w:color w:val="7A3B69"/>
                <w:sz w:val="18"/>
                <w:szCs w:val="18"/>
              </w:rPr>
              <w:t xml:space="preserve">Draw it here</w:t>
            </w: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r>
        <w:br w:type="page"/>
      </w:r>
    </w:p>
    <w:p>
      <w:pPr>
        <w:pStyle w:val="Heading1"/>
        <w:keepNext/>
        <w:spacing w:after="140" w:before="320"/>
      </w:pPr>
      <w:r>
        <w:rPr>
          <w:b/>
          <w:bCs/>
          <w:color w:val="1F3A5F"/>
          <w:sz w:val="36"/>
          <w:szCs w:val="36"/>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tabs>
          <w:tab w:val="right" w:pos="9070" w:leader="underscore"/>
        </w:tabs>
        <w:spacing w:after="200" w:before="240" w:line="300"/>
      </w:pPr>
      <w:r>
        <w:t xml:space="preserve">	</w:t>
      </w:r>
    </w:p>
    <w:p>
      <w:pPr>
        <w:spacing w:after="100" w:before="200" w:line="300"/>
      </w:pPr>
      <w:r>
        <w:rPr>
          <w:b/>
          <w:bCs/>
          <w:sz w:val="24"/>
          <w:szCs w:val="24"/>
        </w:rPr>
        <w:t xml:space="preserve">Draw yourself:</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3600" w:hRule="atLeast"/>
        </w:trPr>
        <w:tc>
          <w:tcPr>
            <w:tcW w:type="dxa" w:w="9070"/>
            <w:tcMar>
              <w:top w:type="dxa" w:w="80"/>
              <w:left w:type="dxa" w:w="140"/>
              <w:bottom w:type="dxa" w:w="80"/>
              <w:right w:type="dxa" w:w="140"/>
            </w:tcMar>
          </w:tcPr>
          <w:p>
            <w:r>
              <w:t xml:space="preserve"/>
            </w:r>
          </w:p>
        </w:tc>
      </w:tr>
    </w:tbl>
    <w:p>
      <w:r>
        <w:br w:type="page"/>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2"/>
        <w:keepNext/>
        <w:spacing w:after="100" w:before="280"/>
      </w:pPr>
      <w:r>
        <w:rPr>
          <w:b/>
          <w:bCs/>
          <w:color w:val="7A3B69"/>
          <w:sz w:val="28"/>
          <w:szCs w:val="28"/>
        </w:rPr>
        <w:t xml:space="preserve">How to use this book</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900" w:hRule="atLeast"/>
        </w:trPr>
        <w:tc>
          <w:tcPr>
            <w:tcW w:type="dxa" w:w="9070"/>
            <w:tcMar>
              <w:top w:type="dxa" w:w="80"/>
              <w:left w:type="dxa" w:w="140"/>
              <w:bottom w:type="dxa" w:w="80"/>
              <w:right w:type="dxa" w:w="140"/>
            </w:tcMar>
          </w:tcPr>
          <w:p>
            <w:r>
              <w:t xml:space="preserve"/>
            </w: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500" w:hRule="atLeast"/>
        </w:trPr>
        <w:tc>
          <w:tcPr>
            <w:tcW w:type="dxa" w:w="9070"/>
            <w:tcMar>
              <w:top w:type="dxa" w:w="80"/>
              <w:left w:type="dxa" w:w="140"/>
              <w:bottom w:type="dxa" w:w="80"/>
              <w:right w:type="dxa" w:w="140"/>
            </w:tcMar>
          </w:tcPr>
          <w:p>
            <w:r>
              <w:t xml:space="preserve"/>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3000" w:hRule="atLeast"/>
        </w:trPr>
        <w:tc>
          <w:tcPr>
            <w:tcW w:type="dxa" w:w="9070"/>
            <w:tcMar>
              <w:top w:type="dxa" w:w="80"/>
              <w:left w:type="dxa" w:w="140"/>
              <w:bottom w:type="dxa" w:w="80"/>
              <w:right w:type="dxa" w:w="140"/>
            </w:tcMar>
          </w:tcPr>
          <w:p>
            <w:pPr>
              <w:spacing w:line="260"/>
            </w:pPr>
            <w:r>
              <w:rPr>
                <w:b/>
                <w:bCs/>
                <w:color w:val="7A3B69"/>
                <w:sz w:val="18"/>
                <w:szCs w:val="18"/>
              </w:rPr>
              <w:t xml:space="preserve">Draw one thing about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600" w:hRule="atLeast"/>
        </w:trPr>
        <w:tc>
          <w:tcPr>
            <w:tcW w:type="dxa" w:w="9070"/>
            <w:tcMar>
              <w:top w:type="dxa" w:w="80"/>
              <w:left w:type="dxa" w:w="140"/>
              <w:bottom w:type="dxa" w:w="80"/>
              <w:right w:type="dxa" w:w="140"/>
            </w:tcMar>
          </w:tcPr>
          <w:p>
            <w:pPr>
              <w:spacing w:line="260"/>
            </w:pPr>
            <w:r>
              <w:rPr>
                <w:b/>
                <w:bCs/>
                <w:color w:val="7A3B69"/>
                <w:sz w:val="18"/>
                <w:szCs w:val="18"/>
              </w:rPr>
              <w:t xml:space="preserve">Draw or say what you can do now:</w:t>
            </w: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1"/>
        <w:keepNext/>
        <w:spacing w:after="140" w:before="320"/>
      </w:pPr>
      <w:r>
        <w:rPr>
          <w:b/>
          <w:bCs/>
          <w:color w:val="1F3A5F"/>
          <w:sz w:val="36"/>
          <w:szCs w:val="36"/>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6200" w:hRule="atLeast"/>
        </w:trPr>
        <w:tc>
          <w:tcPr>
            <w:tcW w:type="dxa" w:w="9070"/>
            <w:tcMar>
              <w:top w:type="dxa" w:w="80"/>
              <w:left w:type="dxa" w:w="140"/>
              <w:bottom w:type="dxa" w:w="80"/>
              <w:right w:type="dxa" w:w="140"/>
            </w:tcMar>
          </w:tcPr>
          <w:p>
            <w:r>
              <w:t xml:space="preserve"/>
            </w: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3600" w:hRule="atLeast"/>
        </w:trPr>
        <w:tc>
          <w:tcPr>
            <w:tcW w:type="dxa" w:w="9070"/>
            <w:tcMar>
              <w:top w:type="dxa" w:w="80"/>
              <w:left w:type="dxa" w:w="140"/>
              <w:bottom w:type="dxa" w:w="80"/>
              <w:right w:type="dxa" w:w="140"/>
            </w:tcMar>
          </w:tcPr>
          <w:p>
            <w:r>
              <w:t xml:space="preserve"/>
            </w: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100" w:hRule="atLeast"/>
        </w:trPr>
        <w:tc>
          <w:tcPr>
            <w:tcW w:type="dxa" w:w="9070"/>
            <w:tcMar>
              <w:top w:type="dxa" w:w="80"/>
              <w:left w:type="dxa" w:w="140"/>
              <w:bottom w:type="dxa" w:w="80"/>
              <w:right w:type="dxa" w:w="140"/>
            </w:tcMar>
          </w:tcPr>
          <w:p>
            <w:pPr>
              <w:spacing w:line="260"/>
            </w:pPr>
            <w:r>
              <w:rPr>
                <w:b/>
                <w:bCs/>
                <w:color w:val="7A3B69"/>
                <w:sz w:val="18"/>
                <w:szCs w:val="18"/>
              </w:rPr>
              <w:t xml:space="preserve">put a ○ where you are</w:t>
            </w: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100" w:hRule="atLeast"/>
        </w:trPr>
        <w:tc>
          <w:tcPr>
            <w:tcW w:type="dxa" w:w="9070"/>
            <w:tcMar>
              <w:top w:type="dxa" w:w="80"/>
              <w:left w:type="dxa" w:w="140"/>
              <w:bottom w:type="dxa" w:w="80"/>
              <w:right w:type="dxa" w:w="140"/>
            </w:tcMar>
          </w:tcPr>
          <w:p>
            <w:pPr>
              <w:spacing w:line="260"/>
            </w:pPr>
            <w:r>
              <w:rPr>
                <w:b/>
                <w:bCs/>
                <w:color w:val="7A3B69"/>
                <w:sz w:val="18"/>
                <w:szCs w:val="18"/>
              </w:rPr>
              <w:t xml:space="preserve">put a ✓ where you are now</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6400" w:hRule="atLeast"/>
        </w:trPr>
        <w:tc>
          <w:tcPr>
            <w:tcW w:type="dxa" w:w="9070"/>
            <w:tcMar>
              <w:top w:type="dxa" w:w="80"/>
              <w:left w:type="dxa" w:w="140"/>
              <w:bottom w:type="dxa" w:w="80"/>
              <w:right w:type="dxa" w:w="140"/>
            </w:tcMar>
          </w:tcPr>
          <w:p>
            <w:pPr>
              <w:spacing w:line="260"/>
            </w:pPr>
            <w:r>
              <w:rPr>
                <w:b/>
                <w:bCs/>
                <w:color w:val="7A3B69"/>
                <w:sz w:val="18"/>
                <w:szCs w:val="18"/>
              </w:rPr>
              <w:t xml:space="preserve">our map — draw here</w:t>
            </w: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800" w:hRule="atLeast"/>
        </w:trPr>
        <w:tc>
          <w:tcPr>
            <w:tcW w:type="dxa" w:w="9070"/>
            <w:tcMar>
              <w:top w:type="dxa" w:w="80"/>
              <w:left w:type="dxa" w:w="140"/>
              <w:bottom w:type="dxa" w:w="80"/>
              <w:right w:type="dxa" w:w="140"/>
            </w:tcMar>
          </w:tcPr>
          <w:p>
            <w:r>
              <w:t xml:space="preserve"/>
            </w: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100" w:hRule="atLeast"/>
        </w:trPr>
        <w:tc>
          <w:tcPr>
            <w:tcW w:type="dxa" w:w="9070"/>
            <w:tcMar>
              <w:top w:type="dxa" w:w="80"/>
              <w:left w:type="dxa" w:w="140"/>
              <w:bottom w:type="dxa" w:w="80"/>
              <w:right w:type="dxa" w:w="140"/>
            </w:tcMar>
          </w:tcPr>
          <w:p>
            <w:pPr>
              <w:spacing w:line="260"/>
            </w:pPr>
            <w:r>
              <w:rPr>
                <w:b/>
                <w:bCs/>
                <w:color w:val="7A3B69"/>
                <w:sz w:val="18"/>
                <w:szCs w:val="18"/>
              </w:rPr>
              <w:t xml:space="preserve">put a ✓ where you are now</w:t>
            </w: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pageBreakBefore/>
        <w:spacing w:after="14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p>
      <w:r>
        <w:br w:type="page"/>
      </w:r>
    </w:p>
    <w:p>
      <w:pPr>
        <w:spacing w:after="60" w:before="1800" w:line="300"/>
      </w:pPr>
      <w:r>
        <w:rPr>
          <w:b/>
          <w:bCs/>
          <w:color w:val="6E7A2E"/>
          <w:sz w:val="24"/>
          <w:szCs w:val="24"/>
        </w:rPr>
        <w:t xml:space="preserve">PART 8</w:t>
      </w:r>
    </w:p>
    <w:p>
      <w:pPr>
        <w:spacing w:after="120"/>
      </w:pPr>
      <w:r>
        <w:rPr>
          <w:b/>
          <w:bCs/>
          <w:color w:val="1F3A5F"/>
          <w:sz w:val="44"/>
          <w:szCs w:val="44"/>
        </w:rPr>
        <w:t xml:space="preserve">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1"/>
        <w:keepNext/>
        <w:spacing w:after="140" w:before="320"/>
      </w:pPr>
      <w:r>
        <w:rPr>
          <w:b/>
          <w:bCs/>
          <w:color w:val="1F3A5F"/>
          <w:sz w:val="36"/>
          <w:szCs w:val="36"/>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2"/>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2"/>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2"/>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1"/>
        <w:keepNext/>
        <w:spacing w:after="140" w:before="320"/>
      </w:pPr>
      <w:r>
        <w:rPr>
          <w:b/>
          <w:bCs/>
          <w:color w:val="1F3A5F"/>
          <w:sz w:val="36"/>
          <w:szCs w:val="36"/>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1"/>
        <w:keepNext/>
        <w:spacing w:after="140" w:before="320"/>
      </w:pPr>
      <w:r>
        <w:rPr>
          <w:b/>
          <w:bCs/>
          <w:color w:val="1F3A5F"/>
          <w:sz w:val="36"/>
          <w:szCs w:val="36"/>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spacing w:after="120"/>
      </w:pPr>
      <w:r>
        <w:rPr>
          <w:b/>
          <w:bCs/>
          <w:color w:val="1F3A5F"/>
          <w:sz w:val="44"/>
          <w:szCs w:val="44"/>
        </w:rPr>
        <w:t xml:space="preserve">Assessment records</w:t>
      </w:r>
    </w:p>
    <w:p>
      <w:pPr>
        <w:spacing w:after="140" w:before="0" w:line="300"/>
      </w:pPr>
      <w:r>
        <w:rPr>
          <w:color w:val="5A6473"/>
          <w:sz w:val="23"/>
          <w:szCs w:val="23"/>
        </w:rPr>
        <w:t xml:space="preserve">Two records, one per assessed competency. Make one copy of each per learner, put their name on it, and fill it at Week 6 and again at Week 12.</w:t>
      </w:r>
    </w:p>
    <w:p>
      <w:r>
        <w:br w:type="page"/>
      </w:r>
    </w:p>
    <w:p>
      <w:pPr>
        <w:pStyle w:val="Heading1"/>
        <w:keepNext/>
        <w:spacing w:after="140" w:before="320"/>
      </w:pPr>
      <w:r>
        <w:rPr>
          <w:b/>
          <w:bCs/>
          <w:color w:val="1F3A5F"/>
          <w:sz w:val="36"/>
          <w:szCs w:val="36"/>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200" w:hRule="atLeast"/>
        </w:trPr>
        <w:tc>
          <w:tcPr>
            <w:tcW w:type="dxa" w:w="9070"/>
            <w:tcMar>
              <w:top w:type="dxa" w:w="80"/>
              <w:left w:type="dxa" w:w="140"/>
              <w:bottom w:type="dxa" w:w="80"/>
              <w:right w:type="dxa" w:w="140"/>
            </w:tcMar>
          </w:tcPr>
          <w:p>
            <w:r>
              <w:t xml:space="preserve"/>
            </w: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200" w:hRule="atLeast"/>
        </w:trPr>
        <w:tc>
          <w:tcPr>
            <w:tcW w:type="dxa" w:w="9070"/>
            <w:tcMar>
              <w:top w:type="dxa" w:w="80"/>
              <w:left w:type="dxa" w:w="140"/>
              <w:bottom w:type="dxa" w:w="80"/>
              <w:right w:type="dxa" w:w="140"/>
            </w:tcMar>
          </w:tcPr>
          <w:p>
            <w:r>
              <w:t xml:space="preserve"/>
            </w: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1"/>
        <w:keepNext/>
        <w:spacing w:after="140" w:before="320"/>
      </w:pPr>
      <w:r>
        <w:rPr>
          <w:b/>
          <w:bCs/>
          <w:color w:val="1F3A5F"/>
          <w:sz w:val="36"/>
          <w:szCs w:val="36"/>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200" w:hRule="atLeast"/>
        </w:trPr>
        <w:tc>
          <w:tcPr>
            <w:tcW w:type="dxa" w:w="9070"/>
            <w:tcMar>
              <w:top w:type="dxa" w:w="80"/>
              <w:left w:type="dxa" w:w="140"/>
              <w:bottom w:type="dxa" w:w="80"/>
              <w:right w:type="dxa" w:w="140"/>
            </w:tcMar>
          </w:tcPr>
          <w:p>
            <w:r>
              <w:t xml:space="preserve"/>
            </w: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200" w:hRule="atLeast"/>
        </w:trPr>
        <w:tc>
          <w:tcPr>
            <w:tcW w:type="dxa" w:w="9070"/>
            <w:tcMar>
              <w:top w:type="dxa" w:w="80"/>
              <w:left w:type="dxa" w:w="140"/>
              <w:bottom w:type="dxa" w:w="80"/>
              <w:right w:type="dxa" w:w="140"/>
            </w:tcMar>
          </w:tcPr>
          <w:p>
            <w:r>
              <w:t xml:space="preserve"/>
            </w: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2026-08-21T07:21:29.878Z</dcterms:created>
  <dcterms:modified xsi:type="dcterms:W3CDTF">2026-08-21T07:21:29.878Z</dcterms:modified>
</cp:coreProperties>
</file>

<file path=docProps/custom.xml><?xml version="1.0" encoding="utf-8"?>
<Properties xmlns="http://schemas.openxmlformats.org/officeDocument/2006/custom-properties" xmlns:vt="http://schemas.openxmlformats.org/officeDocument/2006/docPropsVTypes"/>
</file>