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E7A2E"/>
          <w:sz w:val="22"/>
          <w:szCs w:val="22"/>
        </w:rPr>
        <w:t xml:space="preserve">Learning Bridge+</w:t>
      </w:r>
    </w:p>
    <w:p>
      <w:pPr>
        <w:spacing w:after="60"/>
      </w:pPr>
      <w:r>
        <w:rPr>
          <w:b/>
          <w:bCs/>
          <w:color w:val="1F3A5F"/>
          <w:sz w:val="52"/>
          <w:szCs w:val="52"/>
        </w:rPr>
        <w:t xml:space="preserve">Educator Guide</w:t>
      </w:r>
    </w:p>
    <w:p>
      <w:pPr>
        <w:spacing w:after="60" w:before="0"/>
      </w:pPr>
      <w:r>
        <w:rPr>
          <w:b/>
          <w:bCs/>
          <w:color w:val="7A3B69"/>
          <w:sz w:val="28"/>
          <w:szCs w:val="28"/>
        </w:rPr>
        <w:t xml:space="preserve">Facilitate, mentor, assess</w:t>
      </w:r>
    </w:p>
    <w:p>
      <w:pPr>
        <w:spacing w:after="20" w:before="0"/>
      </w:pPr>
      <w:r>
        <w:rPr>
          <w:color w:val="5A6473"/>
          <w:sz w:val="21"/>
          <w:szCs w:val="21"/>
        </w:rPr>
        <w:t xml:space="preserve">Learning Bridge+ (Cox's Bazar)  ·  a fully offline readiness programme for Rohingya youth</w:t>
      </w:r>
    </w:p>
    <w:p>
      <w:pPr>
        <w:spacing w:after="220" w:before="0"/>
      </w:pPr>
      <w:r>
        <w:rPr>
          <w:color w:val="5A6473"/>
          <w:sz w:val="21"/>
          <w:szCs w:val="21"/>
        </w:rPr>
        <w:t xml:space="preserve">Amala Education, remote technical consultant to the Norwegian Refugee Council (NRC)</w:t>
      </w:r>
    </w:p>
    <w:p>
      <w:pPr>
        <w:spacing w:after="120" w:before="0"/>
      </w:pPr>
      <w:r>
        <w:rPr>
          <w:sz w:val="22"/>
          <w:szCs w:val="22"/>
        </w:rPr>
        <w:t xml:space="preserve">This guide is for you, the educator. In this programme one person holds three functions: you facilitate the learning, you mentor learners one-to-one, and you assess the two competencies. This guide is the shared thread across all three — how to deliver in this context, and how the two assessments work. Your day-to-day session guidance lives in the Facilitator Unit Plan for each component; keep that beside you.</w:t>
      </w:r>
    </w:p>
    <w:p>
      <w:pPr>
        <w:pBdr>
          <w:bottom w:val="single" w:color="B9B3A6" w:sz="6"/>
        </w:pBdr>
        <w:spacing w:after="120"/>
      </w:pPr>
    </w:p>
    <w:p>
      <w:pPr>
        <w:pStyle w:val="Heading1"/>
        <w:spacing w:after="100" w:before="260"/>
      </w:pPr>
      <w:r>
        <w:rPr>
          <w:b/>
          <w:bCs/>
          <w:color w:val="1F3A5F"/>
          <w:sz w:val="30"/>
          <w:szCs w:val="30"/>
        </w:rPr>
        <w:t xml:space="preserve">1. Your three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00"/>
      </w:tblGrid>
      <w:tr>
        <w:trPr>
          <w:tblHeader/>
        </w:trPr>
        <w:tc>
          <w:tcPr>
            <w:tcW w:type="dxa" w:w="32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Role</w:t>
            </w:r>
          </w:p>
        </w:tc>
        <w:tc>
          <w:tcPr>
            <w:tcW w:type="dxa" w:w="76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What it means here</w:t>
            </w:r>
          </w:p>
        </w:tc>
      </w:tr>
      <w:tr>
        <w:tc>
          <w:tcPr>
            <w:tcW w:type="dxa" w:w="3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Facilitator</w:t>
            </w:r>
          </w:p>
        </w:tc>
        <w:tc>
          <w:tcPr>
            <w:tcW w:type="dxa" w:w="7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You run the sessions — 3 hours in-person and 2 hours independent per week — delivering oral and visual first, in the language you share with learners.</w:t>
            </w:r>
          </w:p>
        </w:tc>
      </w:tr>
      <w:tr>
        <w:tc>
          <w:tcPr>
            <w:tcW w:type="dxa" w:w="3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Mentor</w:t>
            </w:r>
          </w:p>
        </w:tc>
        <w:tc>
          <w:tcPr>
            <w:tcW w:type="dxa" w:w="7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You know each learner as a person through short 1:1 conversations. You keep their learning goals alive between sessions, notice when something is wrong, and refer.</w:t>
            </w:r>
          </w:p>
        </w:tc>
      </w:tr>
      <w:tr>
        <w:tc>
          <w:tcPr>
            <w:tcW w:type="dxa" w:w="3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Assessor</w:t>
            </w:r>
          </w:p>
        </w:tc>
        <w:tc>
          <w:tcPr>
            <w:tcW w:type="dxa" w:w="7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You gather evidence as you teach and make a judgement of each learner in the two competencies — a supported one at Week 6, a final one at Week 12.</w:t>
            </w:r>
          </w:p>
        </w:tc>
      </w:tr>
    </w:tbl>
    <w:p>
      <w:pPr>
        <w:pStyle w:val="Heading1"/>
        <w:spacing w:after="100" w:before="260"/>
      </w:pPr>
      <w:r>
        <w:rPr>
          <w:b/>
          <w:bCs/>
          <w:color w:val="1F3A5F"/>
          <w:sz w:val="30"/>
          <w:szCs w:val="30"/>
        </w:rPr>
        <w:t xml:space="preserve">2. How we deliver here</w:t>
      </w:r>
    </w:p>
    <w:p>
      <w:pPr>
        <w:spacing w:after="120" w:before="0"/>
      </w:pPr>
      <w:r>
        <w:rPr>
          <w:sz w:val="22"/>
          <w:szCs w:val="22"/>
        </w:rPr>
        <w:t xml:space="preserve">Three things are rebuilt for this context. Hold all three, in every session.</w:t>
      </w:r>
    </w:p>
    <w:p>
      <w:pPr>
        <w:pStyle w:val="Heading3"/>
        <w:spacing w:after="60" w:before="160"/>
      </w:pPr>
      <w:r>
        <w:rPr>
          <w:b/>
          <w:bCs/>
          <w:color w:val="1F3A5F"/>
          <w:sz w:val="23"/>
          <w:szCs w:val="23"/>
        </w:rPr>
        <w:t xml:space="preserve">Oral and visual first</w:t>
      </w:r>
    </w:p>
    <w:p>
      <w:pPr>
        <w:spacing w:after="120" w:before="0"/>
      </w:pPr>
      <w:r>
        <w:rPr>
          <w:sz w:val="22"/>
          <w:szCs w:val="22"/>
        </w:rPr>
        <w:t xml:space="preserve">Most learners are not yet literate in any language. Deliver from the plain-English guide in the language you use with learners; learners draw, colour, and speak rather than read and write. The materials are built for this — lean on the say-aloud guidance rather than assuming subject expertise.</w:t>
      </w:r>
    </w:p>
    <w:p>
      <w:pPr>
        <w:pStyle w:val="Heading3"/>
        <w:spacing w:after="60" w:before="160"/>
      </w:pPr>
      <w:r>
        <w:rPr>
          <w:b/>
          <w:bCs/>
          <w:color w:val="1F3A5F"/>
          <w:sz w:val="23"/>
          <w:szCs w:val="23"/>
        </w:rPr>
        <w:t xml:space="preserve">Learning goals within the learner’s control</w:t>
      </w:r>
    </w:p>
    <w:p>
      <w:pPr>
        <w:spacing w:after="120" w:before="0"/>
      </w:pPr>
      <w:r>
        <w:rPr>
          <w:sz w:val="22"/>
          <w:szCs w:val="22"/>
        </w:rPr>
        <w:t xml:space="preserve">Goal-setting is reframed around near-term learning goals the learner can actually act on, not futures that are currently blocked. Keep the conversation about the next controllable step — honest and hopeful.</w:t>
      </w:r>
    </w:p>
    <w:p>
      <w:pPr>
        <w:pStyle w:val="Heading3"/>
        <w:spacing w:after="60" w:before="160"/>
      </w:pPr>
      <w:r>
        <w:rPr>
          <w:b/>
          <w:bCs/>
          <w:color w:val="1F3A5F"/>
          <w:sz w:val="23"/>
          <w:szCs w:val="23"/>
        </w:rPr>
        <w:t xml:space="preserve">Modular, so stop-start attendance never breaks the sequence</w:t>
      </w:r>
    </w:p>
    <w:p>
      <w:pPr>
        <w:spacing w:after="120" w:before="0"/>
      </w:pPr>
      <w:r>
        <w:rPr>
          <w:sz w:val="22"/>
          <w:szCs w:val="22"/>
        </w:rPr>
        <w:t xml:space="preserve">Sessions are self-contained. When a learner returns after an absence, re-anchor the goal, break the next step down small, and treat the return as progress — not a fresh start. Fully offline throughout: assume no internet, and often no power or devices.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1F3A5F"/>
          <w:sz w:val="30"/>
          <w:szCs w:val="30"/>
        </w:rPr>
        <w:t xml:space="preserve">3. Mentoring</w:t>
      </w:r>
    </w:p>
    <w:p>
      <w:pPr>
        <w:spacing w:after="120" w:before="0"/>
      </w:pPr>
      <w:r>
        <w:rPr>
          <w:sz w:val="22"/>
          <w:szCs w:val="22"/>
        </w:rPr>
        <w:t xml:space="preserve">1:1 mentoring is the spine of wellbeing support: it is where a learner is known as a person, where distress is noticed early, and where the learning goals set in Agency in Learning are kept alive. You are not a counsellor — you build the relationship, notice concerns, and refer along NRC’s pathways.</w:t>
      </w:r>
    </w:p>
    <w:p>
      <w:pPr>
        <w:spacing w:after="40" w:before="80"/>
      </w:pPr>
      <w:r>
        <w:rPr>
          <w:b/>
          <w:bCs/>
          <w:i/>
          <w:iCs/>
          <w:color w:val="6E7A2E"/>
          <w:sz w:val="21"/>
          <w:szCs w:val="21"/>
        </w:rPr>
        <w:t xml:space="preserve">How it runs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Fold mentoring into the weekly in-person time as short 1:1 or very small-group conversations. No devices, no internet.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Start every meeting with a genuine check-in, spoken in the learner’s own language rather than as a written survey. Watch for withdrawal, or a change in how "fine" sounds over the weeks.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Keep a light paper record of what you notice, so each conversation builds on the last and survives stop-start attendance.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Surface the skills learners already use in camp life — caring for siblings, translating, running a stall, resolving disputes. Capture that growth orally and visually; it becomes evidence for the Set and Pursue Goals assessment.</w:t>
      </w:r>
    </w:p>
    <w:p>
      <w:pPr>
        <w:spacing w:after="120" w:before="0"/>
      </w:pPr>
      <w:r>
        <w:rPr>
          <w:i/>
          <w:iCs/>
          <w:color w:val="5A6473"/>
          <w:sz w:val="21"/>
          <w:szCs w:val="21"/>
        </w:rPr>
        <w:t xml:space="preserve">The shared practice is the mentor moves on the Educators pages. Use them; this guide says how they are held in the Cox’s Bazar context.</w:t>
      </w:r>
    </w:p>
    <w:tbl>
      <w:tblPr>
        <w:tblW w:type="pct" w:w="100%"/>
        <w:tblBorders>
          <w:top w:val="single" w:color="B9B3A6" w:sz="2"/>
          <w:left w:val="single" w:color="7A3B69" w:sz="18"/>
          <w:bottom w:val="single" w:color="B9B3A6" w:sz="2"/>
          <w:right w:val="single" w:color="B9B3A6" w:sz="2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Safeguarding — before you take a caseload</w:t>
            </w:r>
          </w:p>
          <w:p>
            <w:pPr>
              <w:spacing w:after="80" w:before="0"/>
            </w:pPr>
            <w:r>
              <w:rPr>
                <w:sz w:val="21"/>
                <w:szCs w:val="21"/>
              </w:rPr>
              <w:t xml:space="preserve">Know NRC’s safeguarding policy and the camp referral pathway before you mentor anyone.</w:t>
            </w:r>
          </w:p>
          <w:p>
            <w:pPr>
              <w:spacing w:after="80" w:before="0"/>
            </w:pPr>
            <w:r>
              <w:rPr>
                <w:sz w:val="21"/>
                <w:szCs w:val="21"/>
              </w:rPr>
              <w:t xml:space="preserve">No learner ever has to share. For sensitive ground — loss, family, marriage, displacement — step back; the materials give you clear step-back prompts.</w:t>
            </w:r>
          </w:p>
          <w:p>
            <w:pPr>
              <w:spacing w:after="0" w:before="0"/>
            </w:pPr>
            <w:r>
              <w:rPr>
                <w:sz w:val="21"/>
                <w:szCs w:val="21"/>
              </w:rPr>
              <w:t xml:space="preserve">Disclosures may involve protection risks common in displacement — child marriage, family separation, gender-based violence. Respond calmly, never promise secrecy, and refer. Your job is to notice, steady, and refer — not to counsel.</w:t>
            </w:r>
          </w:p>
        </w:tc>
      </w:tr>
    </w:tbl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1F3A5F"/>
          <w:sz w:val="30"/>
          <w:szCs w:val="30"/>
        </w:rPr>
        <w:t xml:space="preserve">4. Assessing the two competencies</w:t>
      </w:r>
    </w:p>
    <w:p>
      <w:pPr>
        <w:spacing w:after="120" w:before="0"/>
      </w:pPr>
      <w:r>
        <w:rPr>
          <w:sz w:val="22"/>
          <w:szCs w:val="22"/>
        </w:rPr>
        <w:t xml:space="preserve">You are assessing two competencies against Amala’s Proficiency Scale. Assessment is your judgement across varied evidence — not a single test — and it is gathered as you teach.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00"/>
      </w:tblGrid>
      <w:tr>
        <w:trPr>
          <w:tblHeader/>
        </w:trPr>
        <w:tc>
          <w:tcPr>
            <w:tcW w:type="dxa" w:w="32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Competency</w:t>
            </w:r>
          </w:p>
        </w:tc>
        <w:tc>
          <w:tcPr>
            <w:tcW w:type="dxa" w:w="76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Where it is developed</w:t>
            </w:r>
          </w:p>
        </w:tc>
      </w:tr>
      <w:tr>
        <w:tc>
          <w:tcPr>
            <w:tcW w:type="dxa" w:w="3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Set and Pursue Goals</w:t>
            </w:r>
          </w:p>
        </w:tc>
        <w:tc>
          <w:tcPr>
            <w:tcW w:type="dxa" w:w="7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Agency in Learning — setting clear learning goals and taking deliberate steps toward them.</w:t>
            </w:r>
          </w:p>
        </w:tc>
      </w:tr>
      <w:tr>
        <w:tc>
          <w:tcPr>
            <w:tcW w:type="dxa" w:w="3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Investigate Real World Issues</w:t>
            </w:r>
          </w:p>
        </w:tc>
        <w:tc>
          <w:tcPr>
            <w:tcW w:type="dxa" w:w="7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Research Project — researching a real challenge to develop actionable insights.</w:t>
            </w:r>
          </w:p>
        </w:tc>
      </w:tr>
    </w:tbl>
    <w:p>
      <w:pPr>
        <w:pStyle w:val="Heading2"/>
        <w:spacing w:after="80" w:before="200"/>
      </w:pPr>
      <w:r>
        <w:rPr>
          <w:b/>
          <w:bCs/>
          <w:color w:val="7A3B69"/>
          <w:sz w:val="25"/>
          <w:szCs w:val="25"/>
        </w:rPr>
        <w:t xml:space="preserve">Gather evidence as you go</w:t>
      </w:r>
    </w:p>
    <w:p>
      <w:pPr>
        <w:spacing w:after="120" w:before="0"/>
      </w:pPr>
      <w:r>
        <w:rPr>
          <w:sz w:val="22"/>
          <w:szCs w:val="22"/>
        </w:rPr>
        <w:t xml:space="preserve">Do not leave assessment to the end. Across the weeks, collect the evidence of each learner’s competency from: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Their workbook — the Learner Profile, goal, plan, and growth pages they build.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The steps they actually take toward a goal, and how they adjust when a step does not 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Their growth path — where they started and how they have 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What they say and do — in sessions and in mentoring. Much of your strongest evidence is oral and visual, because many learners are not yet literate. That is expected; record it.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5"/>
          <w:szCs w:val="25"/>
        </w:rPr>
        <w:t xml:space="preserve">The two assessment points</w:t>
      </w:r>
    </w:p>
    <w:p>
      <w:pPr>
        <w:pStyle w:val="Heading3"/>
        <w:spacing w:after="60" w:before="160"/>
      </w:pPr>
      <w:r>
        <w:rPr>
          <w:b/>
          <w:bCs/>
          <w:color w:val="1F3A5F"/>
          <w:sz w:val="23"/>
          <w:szCs w:val="23"/>
        </w:rPr>
        <w:t xml:space="preserve">Week 6 — supported assessment</w:t>
      </w:r>
    </w:p>
    <w:p>
      <w:pPr>
        <w:spacing w:after="120" w:before="0"/>
      </w:pPr>
      <w:r>
        <w:rPr>
          <w:sz w:val="22"/>
          <w:szCs w:val="22"/>
        </w:rPr>
        <w:t xml:space="preserve">After the first five weeks of learning, make a first, provisional judgement of each learner against the Proficiency Scale. You do this with Amala’s support and calibration — it is a checkpoint and a rehearsal, not the final grade. Use what it surfaces: which learners you have thin evidence on, where your judgement felt uncertain, which competency needs more attention in the next block.</w:t>
      </w:r>
    </w:p>
    <w:p>
      <w:pPr>
        <w:pStyle w:val="Heading3"/>
        <w:spacing w:after="60" w:before="160"/>
      </w:pPr>
      <w:r>
        <w:rPr>
          <w:b/>
          <w:bCs/>
          <w:color w:val="1F3A5F"/>
          <w:sz w:val="23"/>
          <w:szCs w:val="23"/>
        </w:rPr>
        <w:t xml:space="preserve">Week 12 — final assessment</w:t>
      </w:r>
    </w:p>
    <w:p>
      <w:pPr>
        <w:spacing w:after="120" w:before="0"/>
      </w:pPr>
      <w:r>
        <w:rPr>
          <w:sz w:val="22"/>
          <w:szCs w:val="22"/>
        </w:rPr>
        <w:t xml:space="preserve">After the next five weeks, make your final judgement of each learner in the two competencies, against the same scale and on the fuller body of evidence. Amala then moderates a sample — reviewing judgements against the evidence — to confirm they are consistent and fair before the readiness decision is confirmed.</w:t>
      </w:r>
    </w:p>
    <w:tbl>
      <w:tblPr>
        <w:tblW w:type="pct" w:w="100%"/>
        <w:tblBorders>
          <w:top w:val="single" w:color="B9B3A6" w:sz="2"/>
          <w:left w:val="single" w:color="6E7A2E" w:sz="18"/>
          <w:bottom w:val="single" w:color="B9B3A6" w:sz="2"/>
          <w:right w:val="single" w:color="B9B3A6" w:sz="2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z w:val="22"/>
                <w:szCs w:val="22"/>
              </w:rPr>
              <w:t xml:space="preserve">Five weeks, check in, five weeks, decide</w:t>
            </w:r>
          </w:p>
          <w:p>
            <w:pPr>
              <w:spacing w:after="0" w:before="0"/>
            </w:pPr>
            <w:r>
              <w:rPr>
                <w:sz w:val="21"/>
                <w:szCs w:val="21"/>
              </w:rPr>
              <w:t xml:space="preserve">Weeks 1–5 learn  →  Week 6 supported (provisional) judgement, with Amala  →  Weeks 7–11 learn  →  Week 12 final judgement, then Amala moderation.</w:t>
            </w:r>
          </w:p>
        </w:tc>
      </w:tr>
    </w:tbl>
    <w:p>
      <w:pPr>
        <w:pStyle w:val="Heading2"/>
        <w:spacing w:after="80" w:before="200"/>
      </w:pPr>
      <w:r>
        <w:rPr>
          <w:b/>
          <w:bCs/>
          <w:color w:val="7A3B69"/>
          <w:sz w:val="25"/>
          <w:szCs w:val="25"/>
        </w:rPr>
        <w:t xml:space="preserve">The grade scale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00"/>
      </w:tblGrid>
      <w:tr>
        <w:trPr>
          <w:tblHeader/>
        </w:trPr>
        <w:tc>
          <w:tcPr>
            <w:tcW w:type="dxa" w:w="32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Grade</w:t>
            </w:r>
          </w:p>
        </w:tc>
        <w:tc>
          <w:tcPr>
            <w:tcW w:type="dxa" w:w="76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3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Pass</w:t>
            </w:r>
          </w:p>
        </w:tc>
        <w:tc>
          <w:tcPr>
            <w:tcW w:type="dxa" w:w="7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Practitioner in both competencies.</w:t>
            </w:r>
          </w:p>
        </w:tc>
      </w:tr>
      <w:tr>
        <w:tc>
          <w:tcPr>
            <w:tcW w:type="dxa" w:w="3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Merit</w:t>
            </w:r>
          </w:p>
        </w:tc>
        <w:tc>
          <w:tcPr>
            <w:tcW w:type="dxa" w:w="7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Reflective Practitioner in one competency, Practitioner in the other.</w:t>
            </w:r>
          </w:p>
        </w:tc>
      </w:tr>
      <w:tr>
        <w:tc>
          <w:tcPr>
            <w:tcW w:type="dxa" w:w="3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Distinction</w:t>
            </w:r>
          </w:p>
        </w:tc>
        <w:tc>
          <w:tcPr>
            <w:tcW w:type="dxa" w:w="7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Reflective Practitioner in both competencies.</w:t>
            </w:r>
          </w:p>
        </w:tc>
      </w:tr>
    </w:tbl>
    <w:p>
      <w:pPr>
        <w:spacing w:after="120" w:before="0"/>
      </w:pPr>
      <w:r>
        <w:rPr>
          <w:i/>
          <w:iCs/>
          <w:color w:val="5A6473"/>
          <w:sz w:val="21"/>
          <w:szCs w:val="21"/>
        </w:rPr>
        <w:t xml:space="preserve">Note: the Research Project’s shared challenge is being finalised with NRC and the community. Confirm with your coordinator which competencies your cohort is assessed in and when.</w:t>
      </w:r>
    </w:p>
    <w:p>
      <w:r>
        <w:br w:type="page"/>
      </w:r>
    </w:p>
    <w:p>
      <w:pPr>
        <w:pStyle w:val="Heading1"/>
        <w:spacing w:after="100" w:before="260"/>
      </w:pPr>
      <w:r>
        <w:rPr>
          <w:b/>
          <w:bCs/>
          <w:color w:val="1F3A5F"/>
          <w:sz w:val="30"/>
          <w:szCs w:val="30"/>
        </w:rPr>
        <w:t xml:space="preserve">5. A few things that make this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Deliver in the language you share with learners, from the plain-English guide. Times in the plan are generous on purpose — oral work, drawing, and translation take longer than they look.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Let learners draw and speak. Reading and writing are not the point of most activities; showing the thinking 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Coach, don’t rescue. Re-anchor the goal, break the next step down, and let the learner take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return after absence is progress. Pick the learner up where they are.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printer? Show one copy on a screen, or hold up a printed sheet, and learners use their own notebooks.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When something sensitive surfaces: step back, stay calm, do not promise secrecy, and refer.</w:t>
      </w:r>
    </w:p>
    <w:p>
      <w:pPr>
        <w:spacing w:after="120" w:before="240"/>
      </w:pPr>
      <w:r>
        <w:rPr>
          <w:color w:val="5A6473"/>
          <w:sz w:val="18"/>
          <w:szCs w:val="18"/>
        </w:rPr>
        <w:t xml:space="preserve">This guide is part of a fully offline, editable pack for Learning Bridge+ (Cox’s Bazar). Your session-by-session guidance is in the Facilitator Unit Plan for each component. Not for redistribution outside the programme.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2026-08-05T01:15:25.798Z</dcterms:created>
  <dcterms:modified xsi:type="dcterms:W3CDTF">2026-08-05T01:15:25.798Z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