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pPr>
      <w:r>
        <w:rPr>
          <w:b/>
          <w:bCs/>
          <w:color w:val="7A3B69"/>
          <w:sz w:val="28"/>
          <w:szCs w:val="28"/>
        </w:rPr>
        <w:t xml:space="preserve">Running the programme in the camps</w:t>
      </w:r>
    </w:p>
    <w:p>
      <w:pPr>
        <w:spacing w:after="20" w:before="0"/>
      </w:pPr>
      <w:r>
        <w:rPr>
          <w:color w:val="5A6473"/>
          <w:sz w:val="21"/>
          <w:szCs w:val="21"/>
        </w:rPr>
        <w:t xml:space="preserve">Learning Bridge+ (Cox's Bazar)  ·  a fully offline readiness programme for Rohingya youth</w:t>
      </w:r>
    </w:p>
    <w:p>
      <w:pPr>
        <w:spacing w:after="220" w:before="0"/>
      </w:pPr>
      <w:r>
        <w:rPr>
          <w:color w:val="5A6473"/>
          <w:sz w:val="21"/>
          <w:szCs w:val="21"/>
        </w:rPr>
        <w:t xml:space="preserve">Amala Education, remote technical consultant to the Norwegian Refugee Council (NRC)</w:t>
      </w:r>
    </w:p>
    <w:p>
      <w:pPr>
        <w:spacing w:after="120" w:before="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written for the facilitators you support.</w:t>
      </w:r>
    </w:p>
    <w:p>
      <w:pPr>
        <w:pBdr>
          <w:bottom w:val="single" w:color="B9B3A6" w:sz="6"/>
        </w:pBdr>
        <w:spacing w:after="120"/>
      </w:pPr>
    </w:p>
    <w:p>
      <w:pPr>
        <w:pStyle w:val="Heading1"/>
        <w:spacing w:after="100" w:before="260"/>
      </w:pPr>
      <w:r>
        <w:rPr>
          <w:b/>
          <w:bCs/>
          <w:color w:val="1F3A5F"/>
          <w:sz w:val="30"/>
          <w:szCs w:val="30"/>
        </w:rPr>
        <w:t xml:space="preserve">1. What this programme is</w:t>
      </w:r>
    </w:p>
    <w:p>
      <w:pPr>
        <w:spacing w:after="120" w:before="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20" w:before="0"/>
      </w:pPr>
      <w:r>
        <w:rPr>
          <w:sz w:val="22"/>
          <w:szCs w:val="22"/>
        </w:rPr>
        <w:t xml:space="preserve">It is the certificated Learning Bridge+ tier, so learners are formally assessed in two competencies to support the decision about whether they are ready to transition.</w:t>
      </w:r>
    </w:p>
    <w:p>
      <w:pPr>
        <w:spacing w:after="40" w:before="80"/>
      </w:pPr>
      <w:r>
        <w:rPr>
          <w:b/>
          <w:bCs/>
          <w:i/>
          <w:iCs/>
          <w:color w:val="6E7A2E"/>
          <w:sz w:val="21"/>
          <w:szCs w:val="21"/>
        </w:rPr>
        <w:t xml:space="preserve">The headline success measure</w:t>
      </w:r>
    </w:p>
    <w:p>
      <w:pPr>
        <w:spacing w:after="120" w:before="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1"/>
        <w:spacing w:after="100" w:before="260"/>
      </w:pPr>
      <w:r>
        <w:rPr>
          <w:b/>
          <w:bCs/>
          <w:color w:val="1F3A5F"/>
          <w:sz w:val="30"/>
          <w:szCs w:val="30"/>
        </w:rPr>
        <w:t xml:space="preserve">2. Who does what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Role</w:t>
            </w:r>
          </w:p>
        </w:tc>
        <w:tc>
          <w:tcPr>
            <w:tcW w:type="dxa" w:w="7600"/>
            <w:shd w:fill="F0ECE3"/>
            <w:tcMar>
              <w:top w:type="dxa" w:w="60"/>
              <w:left w:type="dxa" w:w="120"/>
              <w:bottom w:type="dxa" w:w="60"/>
              <w:right w:type="dxa" w:w="120"/>
            </w:tcMar>
          </w:tcPr>
          <w:p>
            <w:r>
              <w:rPr>
                <w:b/>
                <w:bCs/>
                <w:color w:val="1F3A5F"/>
                <w:sz w:val="20"/>
                <w:szCs w:val="20"/>
              </w:rPr>
              <w:t xml:space="preserve">Responsibility</w:t>
            </w:r>
          </w:p>
        </w:tc>
      </w:tr>
      <w:tr>
        <w:tc>
          <w:tcPr>
            <w:tcW w:type="dxa" w:w="3200"/>
            <w:tcMar>
              <w:top w:type="dxa" w:w="60"/>
              <w:left w:type="dxa" w:w="120"/>
              <w:bottom w:type="dxa" w:w="60"/>
              <w:right w:type="dxa" w:w="120"/>
            </w:tcMar>
          </w:tcPr>
          <w:p>
            <w:r>
              <w:rPr>
                <w:b/>
                <w:bCs/>
                <w:color w:val="7A3B69"/>
                <w:sz w:val="20"/>
                <w:szCs w:val="20"/>
              </w:rPr>
              <w:t xml:space="preserve">Amala</w:t>
            </w:r>
          </w:p>
        </w:tc>
        <w:tc>
          <w:tcPr>
            <w:tcW w:type="dxa" w:w="7600"/>
            <w:tcMar>
              <w:top w:type="dxa" w:w="60"/>
              <w:left w:type="dxa" w:w="120"/>
              <w:bottom w:type="dxa" w:w="60"/>
              <w:right w:type="dxa" w:w="120"/>
            </w:tcMar>
          </w:tcPr>
          <w:p>
            <w:r>
              <w:rPr>
                <w:b w:val="false"/>
                <w:bCs w:val="false"/>
                <w:sz w:val="20"/>
                <w:szCs w:val="20"/>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3200"/>
            <w:tcMar>
              <w:top w:type="dxa" w:w="60"/>
              <w:left w:type="dxa" w:w="120"/>
              <w:bottom w:type="dxa" w:w="60"/>
              <w:right w:type="dxa" w:w="120"/>
            </w:tcMar>
          </w:tcPr>
          <w:p>
            <w:r>
              <w:rPr>
                <w:b/>
                <w:bCs/>
                <w:color w:val="7A3B69"/>
                <w:sz w:val="20"/>
                <w:szCs w:val="20"/>
              </w:rPr>
              <w:t xml:space="preserve">You (coordinator)</w:t>
            </w:r>
          </w:p>
        </w:tc>
        <w:tc>
          <w:tcPr>
            <w:tcW w:type="dxa" w:w="7600"/>
            <w:tcMar>
              <w:top w:type="dxa" w:w="60"/>
              <w:left w:type="dxa" w:w="120"/>
              <w:bottom w:type="dxa" w:w="60"/>
              <w:right w:type="dxa" w:w="120"/>
            </w:tcMar>
          </w:tcPr>
          <w:p>
            <w:r>
              <w:rPr>
                <w:b w:val="false"/>
                <w:bCs w:val="false"/>
                <w:sz w:val="20"/>
                <w:szCs w:val="20"/>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3200"/>
            <w:tcMar>
              <w:top w:type="dxa" w:w="60"/>
              <w:left w:type="dxa" w:w="120"/>
              <w:bottom w:type="dxa" w:w="60"/>
              <w:right w:type="dxa" w:w="120"/>
            </w:tcMar>
          </w:tcPr>
          <w:p>
            <w:r>
              <w:rPr>
                <w:b/>
                <w:bCs/>
                <w:color w:val="7A3B69"/>
                <w:sz w:val="20"/>
                <w:szCs w:val="20"/>
              </w:rPr>
              <w:t xml:space="preserve">Educators</w:t>
            </w:r>
          </w:p>
        </w:tc>
        <w:tc>
          <w:tcPr>
            <w:tcW w:type="dxa" w:w="7600"/>
            <w:tcMar>
              <w:top w:type="dxa" w:w="60"/>
              <w:left w:type="dxa" w:w="120"/>
              <w:bottom w:type="dxa" w:w="60"/>
              <w:right w:type="dxa" w:w="120"/>
            </w:tcMar>
          </w:tcPr>
          <w:p>
            <w:r>
              <w:rPr>
                <w:b w:val="false"/>
                <w:bCs w:val="false"/>
                <w:sz w:val="20"/>
                <w:szCs w:val="20"/>
              </w:rPr>
              <w:t xml:space="preserve">Deliver the programme. Each educator holds three functions — they facilitate the sessions, mentor learners 1:1, and assess the competencies. See the Educator Guide.</w:t>
            </w:r>
          </w:p>
        </w:tc>
      </w:tr>
      <w:tr>
        <w:tc>
          <w:tcPr>
            <w:tcW w:type="dxa" w:w="3200"/>
            <w:tcMar>
              <w:top w:type="dxa" w:w="60"/>
              <w:left w:type="dxa" w:w="120"/>
              <w:bottom w:type="dxa" w:w="60"/>
              <w:right w:type="dxa" w:w="120"/>
            </w:tcMar>
          </w:tcPr>
          <w:p>
            <w:r>
              <w:rPr>
                <w:b/>
                <w:bCs/>
                <w:color w:val="7A3B69"/>
                <w:sz w:val="20"/>
                <w:szCs w:val="20"/>
              </w:rPr>
              <w:t xml:space="preserve">NRC</w:t>
            </w:r>
          </w:p>
        </w:tc>
        <w:tc>
          <w:tcPr>
            <w:tcW w:type="dxa" w:w="7600"/>
            <w:tcMar>
              <w:top w:type="dxa" w:w="60"/>
              <w:left w:type="dxa" w:w="120"/>
              <w:bottom w:type="dxa" w:w="60"/>
              <w:right w:type="dxa" w:w="120"/>
            </w:tcMar>
          </w:tcPr>
          <w:p>
            <w:r>
              <w:rPr>
                <w:b w:val="false"/>
                <w:bCs w:val="false"/>
                <w:sz w:val="20"/>
                <w:szCs w:val="20"/>
              </w:rPr>
              <w:t xml:space="preserve">Owns the programme, employs and manages staff, and owns the Code of Conduct, safeguarding, and MHPSS/protection referral pathways.</w:t>
            </w:r>
          </w:p>
        </w:tc>
      </w:tr>
    </w:tbl>
    <w:p>
      <w:r>
        <w:br w:type="page"/>
      </w:r>
    </w:p>
    <w:p>
      <w:pPr>
        <w:pStyle w:val="Heading1"/>
        <w:spacing w:after="100" w:before="260"/>
      </w:pPr>
      <w:r>
        <w:rPr>
          <w:b/>
          <w:bCs/>
          <w:color w:val="1F3A5F"/>
          <w:sz w:val="30"/>
          <w:szCs w:val="30"/>
        </w:rPr>
        <w:t xml:space="preserve">3. Setting up a cohort</w:t>
      </w:r>
    </w:p>
    <w:p>
      <w:pPr>
        <w:spacing w:after="120" w:before="0"/>
      </w:pPr>
      <w:r>
        <w:rPr>
          <w:sz w:val="22"/>
          <w:szCs w:val="22"/>
        </w:rPr>
        <w:t xml:space="preserve">Work through this before Week 1. Most of it you do once per site, then maintain.</w:t>
      </w:r>
    </w:p>
    <w:p>
      <w:pPr>
        <w:pStyle w:val="ListParagraph"/>
        <w:numPr>
          <w:ilvl w:val="0"/>
          <w:numId w:val="2"/>
        </w:numPr>
        <w:spacing w:after="6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6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60"/>
      </w:pPr>
      <w:r>
        <w:rPr>
          <w:sz w:val="22"/>
          <w:szCs w:val="22"/>
        </w:rPr>
        <w:t xml:space="preserve">Distribute the offline pack. Every resource is supplied ready-made and editable, distributed physically by USB or hard drive — the facilitator plan, the student workbook, picture cards, and optional slides for the minority of sites with a screen. Check every site has the full pack and can print what it needs (or has a screen, or can work from a single held-up copy).</w:t>
      </w:r>
    </w:p>
    <w:p>
      <w:pPr>
        <w:pStyle w:val="ListParagraph"/>
        <w:numPr>
          <w:ilvl w:val="0"/>
          <w:numId w:val="2"/>
        </w:numPr>
        <w:spacing w:after="6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60"/>
      </w:pPr>
      <w:r>
        <w:rPr>
          <w:sz w:val="22"/>
          <w:szCs w:val="22"/>
        </w:rPr>
        <w:t xml:space="preserve">Run diagnostic intake. Place each learner, check English proficiency where needed (the cohort is below B1, many not yet literate in any language), and pair each learner with a mentor.</w:t>
      </w:r>
    </w:p>
    <w:p>
      <w:pPr>
        <w:pStyle w:val="Heading1"/>
        <w:spacing w:after="100" w:before="260"/>
      </w:pPr>
      <w:r>
        <w:rPr>
          <w:b/>
          <w:bCs/>
          <w:color w:val="1F3A5F"/>
          <w:sz w:val="30"/>
          <w:szCs w:val="30"/>
        </w:rPr>
        <w:t xml:space="preserve">4. The programme structure and the 12-week rhythm</w:t>
      </w:r>
    </w:p>
    <w:p>
      <w:pPr>
        <w:spacing w:after="120" w:before="0"/>
      </w:pPr>
      <w:r>
        <w:rPr>
          <w:sz w:val="22"/>
          <w:szCs w:val="22"/>
        </w:rPr>
        <w:t xml:space="preserve">The programme has three taught components plus ongoing mentoring, running side by side across the same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Component</w:t>
            </w:r>
          </w:p>
        </w:tc>
        <w:tc>
          <w:tcPr>
            <w:tcW w:type="dxa" w:w="7600"/>
            <w:shd w:fill="F0ECE3"/>
            <w:tcMar>
              <w:top w:type="dxa" w:w="60"/>
              <w:left w:type="dxa" w:w="120"/>
              <w:bottom w:type="dxa" w:w="60"/>
              <w:right w:type="dxa" w:w="120"/>
            </w:tcMar>
          </w:tcPr>
          <w:p>
            <w:r>
              <w:rPr>
                <w:b/>
                <w:bCs/>
                <w:color w:val="1F3A5F"/>
                <w:sz w:val="20"/>
                <w:szCs w:val="20"/>
              </w:rPr>
              <w:t xml:space="preserve">Hours and cadence</w:t>
            </w:r>
          </w:p>
        </w:tc>
      </w:tr>
      <w:tr>
        <w:tc>
          <w:tcPr>
            <w:tcW w:type="dxa" w:w="3200"/>
            <w:tcMar>
              <w:top w:type="dxa" w:w="60"/>
              <w:left w:type="dxa" w:w="120"/>
              <w:bottom w:type="dxa" w:w="60"/>
              <w:right w:type="dxa" w:w="120"/>
            </w:tcMar>
          </w:tcPr>
          <w:p>
            <w:r>
              <w:rPr>
                <w:b/>
                <w:bCs/>
                <w:color w:val="7A3B69"/>
                <w:sz w:val="20"/>
                <w:szCs w:val="20"/>
              </w:rPr>
              <w:t xml:space="preserve">Agency in Learning</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Develops Set and Pursue Goals (assessed).</w:t>
            </w:r>
          </w:p>
        </w:tc>
      </w:tr>
      <w:tr>
        <w:tc>
          <w:tcPr>
            <w:tcW w:type="dxa" w:w="3200"/>
            <w:tcMar>
              <w:top w:type="dxa" w:w="60"/>
              <w:left w:type="dxa" w:w="120"/>
              <w:bottom w:type="dxa" w:w="60"/>
              <w:right w:type="dxa" w:w="120"/>
            </w:tcMar>
          </w:tcPr>
          <w:p>
            <w:r>
              <w:rPr>
                <w:b/>
                <w:bCs/>
                <w:color w:val="7A3B69"/>
                <w:sz w:val="20"/>
                <w:szCs w:val="20"/>
              </w:rPr>
              <w:t xml:space="preserve">Research Project</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Develops Investigate Real World Issues (assessed).</w:t>
            </w:r>
          </w:p>
        </w:tc>
      </w:tr>
      <w:tr>
        <w:tc>
          <w:tcPr>
            <w:tcW w:type="dxa" w:w="3200"/>
            <w:tcMar>
              <w:top w:type="dxa" w:w="60"/>
              <w:left w:type="dxa" w:w="120"/>
              <w:bottom w:type="dxa" w:w="60"/>
              <w:right w:type="dxa" w:w="120"/>
            </w:tcMar>
          </w:tcPr>
          <w:p>
            <w:r>
              <w:rPr>
                <w:b/>
                <w:bCs/>
                <w:color w:val="7A3B69"/>
                <w:sz w:val="20"/>
                <w:szCs w:val="20"/>
              </w:rPr>
              <w:t xml:space="preserve">English Language Development</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Compulsory in this edition; assessed formatively against A1 Can-Do outcomes, not one of the two graded competencies.</w:t>
            </w:r>
          </w:p>
        </w:tc>
      </w:tr>
      <w:tr>
        <w:tc>
          <w:tcPr>
            <w:tcW w:type="dxa" w:w="3200"/>
            <w:tcMar>
              <w:top w:type="dxa" w:w="60"/>
              <w:left w:type="dxa" w:w="120"/>
              <w:bottom w:type="dxa" w:w="60"/>
              <w:right w:type="dxa" w:w="120"/>
            </w:tcMar>
          </w:tcPr>
          <w:p>
            <w:r>
              <w:rPr>
                <w:b/>
                <w:bCs/>
                <w:color w:val="7A3B69"/>
                <w:sz w:val="20"/>
                <w:szCs w:val="20"/>
              </w:rPr>
              <w:t xml:space="preserve">Mentoring and Wellbeing</w:t>
            </w:r>
          </w:p>
        </w:tc>
        <w:tc>
          <w:tcPr>
            <w:tcW w:type="dxa" w:w="7600"/>
            <w:tcMar>
              <w:top w:type="dxa" w:w="60"/>
              <w:left w:type="dxa" w:w="120"/>
              <w:bottom w:type="dxa" w:w="60"/>
              <w:right w:type="dxa" w:w="120"/>
            </w:tcMar>
          </w:tcPr>
          <w:p>
            <w:r>
              <w:rPr>
                <w:b w:val="false"/>
                <w:bCs w:val="false"/>
                <w:sz w:val="20"/>
                <w:szCs w:val="20"/>
              </w:rPr>
              <w:t xml:space="preserve">Ongoing · short 1:1 or small-group conversations folded into the weekly in-person time. Not a fixed block of hours.</w:t>
            </w:r>
          </w:p>
        </w:tc>
      </w:tr>
    </w:tbl>
    <w:p>
      <w:pPr>
        <w:spacing w:after="120" w:before="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spacing w:after="80" w:before="200"/>
      </w:pPr>
      <w:r>
        <w:rPr>
          <w:b/>
          <w:bCs/>
          <w:color w:val="7A3B69"/>
          <w:sz w:val="25"/>
          <w:szCs w:val="25"/>
        </w:rPr>
        <w:t xml:space="preserve">An example week</w:t>
      </w:r>
    </w:p>
    <w:p>
      <w:pPr>
        <w:spacing w:after="120" w:before="0"/>
      </w:pPr>
      <w:r>
        <w:rPr>
          <w:sz w:val="22"/>
          <w:szCs w:val="22"/>
        </w:rPr>
        <w:t xml:space="preserve">One way to place the hours across a six-day week. Each in-person session is about an hour, mentoring is folded in, and the independent tasks are done at home between sessions.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Day</w:t>
            </w:r>
          </w:p>
        </w:tc>
        <w:tc>
          <w:tcPr>
            <w:tcW w:type="dxa" w:w="7600"/>
            <w:shd w:fill="F0ECE3"/>
            <w:tcMar>
              <w:top w:type="dxa" w:w="60"/>
              <w:left w:type="dxa" w:w="120"/>
              <w:bottom w:type="dxa" w:w="60"/>
              <w:right w:type="dxa" w:w="120"/>
            </w:tcMar>
          </w:tcPr>
          <w:p>
            <w:r>
              <w:rPr>
                <w:b/>
                <w:bCs/>
                <w:color w:val="1F3A5F"/>
                <w:sz w:val="20"/>
                <w:szCs w:val="20"/>
              </w:rPr>
              <w:t xml:space="preserve">In-person sessions (about 1 hour each)</w:t>
            </w:r>
          </w:p>
        </w:tc>
      </w:tr>
      <w:tr>
        <w:tc>
          <w:tcPr>
            <w:tcW w:type="dxa" w:w="3200"/>
            <w:tcMar>
              <w:top w:type="dxa" w:w="60"/>
              <w:left w:type="dxa" w:w="120"/>
              <w:bottom w:type="dxa" w:w="60"/>
              <w:right w:type="dxa" w:w="120"/>
            </w:tcMar>
          </w:tcPr>
          <w:p>
            <w:r>
              <w:rPr>
                <w:b/>
                <w:bCs/>
                <w:color w:val="7A3B69"/>
                <w:sz w:val="20"/>
                <w:szCs w:val="20"/>
              </w:rPr>
              <w:t xml:space="preserve">Day 1</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2</w:t>
            </w:r>
          </w:p>
        </w:tc>
        <w:tc>
          <w:tcPr>
            <w:tcW w:type="dxa" w:w="7600"/>
            <w:tcMar>
              <w:top w:type="dxa" w:w="60"/>
              <w:left w:type="dxa" w:w="120"/>
              <w:bottom w:type="dxa" w:w="60"/>
              <w:right w:type="dxa" w:w="120"/>
            </w:tcMar>
          </w:tcPr>
          <w:p>
            <w:r>
              <w:rPr>
                <w:b w:val="false"/>
                <w:bCs w:val="false"/>
                <w:sz w:val="20"/>
                <w:szCs w:val="20"/>
              </w:rPr>
              <w:t xml:space="preserve">Research Project  ·  mentoring check-ins</w:t>
            </w:r>
          </w:p>
        </w:tc>
      </w:tr>
      <w:tr>
        <w:tc>
          <w:tcPr>
            <w:tcW w:type="dxa" w:w="3200"/>
            <w:tcMar>
              <w:top w:type="dxa" w:w="60"/>
              <w:left w:type="dxa" w:w="120"/>
              <w:bottom w:type="dxa" w:w="60"/>
              <w:right w:type="dxa" w:w="120"/>
            </w:tcMar>
          </w:tcPr>
          <w:p>
            <w:r>
              <w:rPr>
                <w:b/>
                <w:bCs/>
                <w:color w:val="7A3B69"/>
                <w:sz w:val="20"/>
                <w:szCs w:val="20"/>
              </w:rPr>
              <w:t xml:space="preserve">Day 3</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4</w:t>
            </w:r>
          </w:p>
        </w:tc>
        <w:tc>
          <w:tcPr>
            <w:tcW w:type="dxa" w:w="7600"/>
            <w:tcMar>
              <w:top w:type="dxa" w:w="60"/>
              <w:left w:type="dxa" w:w="120"/>
              <w:bottom w:type="dxa" w:w="60"/>
              <w:right w:type="dxa" w:w="120"/>
            </w:tcMar>
          </w:tcPr>
          <w:p>
            <w:r>
              <w:rPr>
                <w:b w:val="false"/>
                <w:bCs w:val="false"/>
                <w:sz w:val="20"/>
                <w:szCs w:val="20"/>
              </w:rPr>
              <w:t xml:space="preserve">Research Project  ·  mentoring check-ins</w:t>
            </w:r>
          </w:p>
        </w:tc>
      </w:tr>
      <w:tr>
        <w:tc>
          <w:tcPr>
            <w:tcW w:type="dxa" w:w="3200"/>
            <w:tcMar>
              <w:top w:type="dxa" w:w="60"/>
              <w:left w:type="dxa" w:w="120"/>
              <w:bottom w:type="dxa" w:w="60"/>
              <w:right w:type="dxa" w:w="120"/>
            </w:tcMar>
          </w:tcPr>
          <w:p>
            <w:r>
              <w:rPr>
                <w:b/>
                <w:bCs/>
                <w:color w:val="7A3B69"/>
                <w:sz w:val="20"/>
                <w:szCs w:val="20"/>
              </w:rPr>
              <w:t xml:space="preserve">Day 5</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6</w:t>
            </w:r>
          </w:p>
        </w:tc>
        <w:tc>
          <w:tcPr>
            <w:tcW w:type="dxa" w:w="7600"/>
            <w:tcMar>
              <w:top w:type="dxa" w:w="60"/>
              <w:left w:type="dxa" w:w="120"/>
              <w:bottom w:type="dxa" w:w="60"/>
              <w:right w:type="dxa" w:w="120"/>
            </w:tcMar>
          </w:tcPr>
          <w:p>
            <w:r>
              <w:rPr>
                <w:b w:val="false"/>
                <w:bCs w:val="false"/>
                <w:sz w:val="20"/>
                <w:szCs w:val="20"/>
              </w:rPr>
              <w:t xml:space="preserve">Research Project  ·  a short small-group wellbeing check and reflection</w:t>
            </w:r>
          </w:p>
        </w:tc>
      </w:tr>
    </w:tbl>
    <w:p>
      <w:pPr>
        <w:spacing w:after="120" w:before="0"/>
      </w:pPr>
      <w:r>
        <w:rPr>
          <w:sz w:val="22"/>
          <w:szCs w:val="22"/>
        </w:rPr>
        <w:t xml:space="preserve">This is one example — adapt it to your site. The fixed points are the weekly hours per component (3h in-person, 2h independent) and that the components run side by side; how you place them across the week is yours. Fewer learning days? Run longer sessions on fewer days. Early cohorts, before the Research Project’s shared challenge is agreed, run Agency in Learning and English only — about six hours in-person a week — and add the Research Project when it is ready.</w:t>
      </w:r>
    </w:p>
    <w:p>
      <w:pPr>
        <w:pStyle w:val="Heading2"/>
        <w:spacing w:after="80" w:before="200"/>
      </w:pPr>
      <w:r>
        <w:rPr>
          <w:b/>
          <w:bCs/>
          <w:color w:val="7A3B69"/>
          <w:sz w:val="25"/>
          <w:szCs w:val="25"/>
        </w:rPr>
        <w:t xml:space="preserve">The 12-week rhythm</w:t>
      </w:r>
    </w:p>
    <w:p>
      <w:pPr>
        <w:spacing w:after="120" w:before="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When</w:t>
            </w:r>
          </w:p>
        </w:tc>
        <w:tc>
          <w:tcPr>
            <w:tcW w:type="dxa" w:w="7600"/>
            <w:shd w:fill="F0ECE3"/>
            <w:tcMar>
              <w:top w:type="dxa" w:w="60"/>
              <w:left w:type="dxa" w:w="120"/>
              <w:bottom w:type="dxa" w:w="60"/>
              <w:right w:type="dxa" w:w="120"/>
            </w:tcMar>
          </w:tcPr>
          <w:p>
            <w:r>
              <w:rPr>
                <w:b/>
                <w:bCs/>
                <w:color w:val="1F3A5F"/>
                <w:sz w:val="20"/>
                <w:szCs w:val="20"/>
              </w:rPr>
              <w:t xml:space="preserve">What happens</w:t>
            </w:r>
          </w:p>
        </w:tc>
      </w:tr>
      <w:tr>
        <w:tc>
          <w:tcPr>
            <w:tcW w:type="dxa" w:w="3200"/>
            <w:tcMar>
              <w:top w:type="dxa" w:w="60"/>
              <w:left w:type="dxa" w:w="120"/>
              <w:bottom w:type="dxa" w:w="60"/>
              <w:right w:type="dxa" w:w="120"/>
            </w:tcMar>
          </w:tcPr>
          <w:p>
            <w:r>
              <w:rPr>
                <w:b/>
                <w:bCs/>
                <w:color w:val="7A3B69"/>
                <w:sz w:val="20"/>
                <w:szCs w:val="20"/>
              </w:rPr>
              <w:t xml:space="preserve">Before Week 1</w:t>
            </w:r>
          </w:p>
        </w:tc>
        <w:tc>
          <w:tcPr>
            <w:tcW w:type="dxa" w:w="7600"/>
            <w:tcMar>
              <w:top w:type="dxa" w:w="60"/>
              <w:left w:type="dxa" w:w="120"/>
              <w:bottom w:type="dxa" w:w="60"/>
              <w:right w:type="dxa" w:w="120"/>
            </w:tcMar>
          </w:tcPr>
          <w:p>
            <w:r>
              <w:rPr>
                <w:b w:val="false"/>
                <w:bCs w:val="false"/>
                <w:sz w:val="20"/>
                <w:szCs w:val="20"/>
              </w:rPr>
              <w:t xml:space="preserve">Diagnostic intake. Each learner is placed and, where needed, English proficiency is checked (below B1). Learners are paired with a mentor.</w:t>
            </w:r>
          </w:p>
        </w:tc>
      </w:tr>
      <w:tr>
        <w:tc>
          <w:tcPr>
            <w:tcW w:type="dxa" w:w="3200"/>
            <w:tcMar>
              <w:top w:type="dxa" w:w="60"/>
              <w:left w:type="dxa" w:w="120"/>
              <w:bottom w:type="dxa" w:w="60"/>
              <w:right w:type="dxa" w:w="120"/>
            </w:tcMar>
          </w:tcPr>
          <w:p>
            <w:r>
              <w:rPr>
                <w:b/>
                <w:bCs/>
                <w:color w:val="7A3B69"/>
                <w:sz w:val="20"/>
                <w:szCs w:val="20"/>
              </w:rPr>
              <w:t xml:space="preserve">Weeks 1–5</w:t>
            </w:r>
          </w:p>
        </w:tc>
        <w:tc>
          <w:tcPr>
            <w:tcW w:type="dxa" w:w="7600"/>
            <w:tcMar>
              <w:top w:type="dxa" w:w="60"/>
              <w:left w:type="dxa" w:w="120"/>
              <w:bottom w:type="dxa" w:w="60"/>
              <w:right w:type="dxa" w:w="120"/>
            </w:tcMar>
          </w:tcPr>
          <w:p>
            <w:r>
              <w:rPr>
                <w:b w:val="false"/>
                <w:bCs w:val="false"/>
                <w:sz w:val="20"/>
                <w:szCs w:val="20"/>
              </w:rPr>
              <w:t xml:space="preserve">First block of learning. Educators deliver the component sessions and begin gathering evidence of each learner’s competency as they go — from workbooks, steps taken, and what learners say and do.</w:t>
            </w:r>
          </w:p>
        </w:tc>
      </w:tr>
      <w:tr>
        <w:tc>
          <w:tcPr>
            <w:tcW w:type="dxa" w:w="3200"/>
            <w:tcMar>
              <w:top w:type="dxa" w:w="60"/>
              <w:left w:type="dxa" w:w="120"/>
              <w:bottom w:type="dxa" w:w="60"/>
              <w:right w:type="dxa" w:w="120"/>
            </w:tcMar>
          </w:tcPr>
          <w:p>
            <w:r>
              <w:rPr>
                <w:b/>
                <w:bCs/>
                <w:color w:val="7A3B69"/>
                <w:sz w:val="20"/>
                <w:szCs w:val="20"/>
              </w:rPr>
              <w:t xml:space="preserve">Week 6</w:t>
            </w:r>
          </w:p>
        </w:tc>
        <w:tc>
          <w:tcPr>
            <w:tcW w:type="dxa" w:w="7600"/>
            <w:tcMar>
              <w:top w:type="dxa" w:w="60"/>
              <w:left w:type="dxa" w:w="120"/>
              <w:bottom w:type="dxa" w:w="60"/>
              <w:right w:type="dxa" w:w="120"/>
            </w:tcMar>
          </w:tcPr>
          <w:p>
            <w:r>
              <w:rPr>
                <w:b w:val="false"/>
                <w:bCs w:val="false"/>
                <w:sz w:val="20"/>
                <w:szCs w:val="20"/>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3200"/>
            <w:tcMar>
              <w:top w:type="dxa" w:w="60"/>
              <w:left w:type="dxa" w:w="120"/>
              <w:bottom w:type="dxa" w:w="60"/>
              <w:right w:type="dxa" w:w="120"/>
            </w:tcMar>
          </w:tcPr>
          <w:p>
            <w:r>
              <w:rPr>
                <w:b/>
                <w:bCs/>
                <w:color w:val="7A3B69"/>
                <w:sz w:val="20"/>
                <w:szCs w:val="20"/>
              </w:rPr>
              <w:t xml:space="preserve">Weeks 7–11</w:t>
            </w:r>
          </w:p>
        </w:tc>
        <w:tc>
          <w:tcPr>
            <w:tcW w:type="dxa" w:w="7600"/>
            <w:tcMar>
              <w:top w:type="dxa" w:w="60"/>
              <w:left w:type="dxa" w:w="120"/>
              <w:bottom w:type="dxa" w:w="60"/>
              <w:right w:type="dxa" w:w="120"/>
            </w:tcMar>
          </w:tcPr>
          <w:p>
            <w:r>
              <w:rPr>
                <w:b w:val="false"/>
                <w:bCs w:val="false"/>
                <w:sz w:val="20"/>
                <w:szCs w:val="20"/>
              </w:rPr>
              <w:t xml:space="preserve">Second block of learning. Educators keep building the competencies and keep gathering evidence, guided by what Week 6 surfaced about each learner.</w:t>
            </w:r>
          </w:p>
        </w:tc>
      </w:tr>
      <w:tr>
        <w:tc>
          <w:tcPr>
            <w:tcW w:type="dxa" w:w="3200"/>
            <w:tcMar>
              <w:top w:type="dxa" w:w="60"/>
              <w:left w:type="dxa" w:w="120"/>
              <w:bottom w:type="dxa" w:w="60"/>
              <w:right w:type="dxa" w:w="120"/>
            </w:tcMar>
          </w:tcPr>
          <w:p>
            <w:r>
              <w:rPr>
                <w:b/>
                <w:bCs/>
                <w:color w:val="7A3B69"/>
                <w:sz w:val="20"/>
                <w:szCs w:val="20"/>
              </w:rPr>
              <w:t xml:space="preserve">Week 12</w:t>
            </w:r>
          </w:p>
        </w:tc>
        <w:tc>
          <w:tcPr>
            <w:tcW w:type="dxa" w:w="7600"/>
            <w:tcMar>
              <w:top w:type="dxa" w:w="60"/>
              <w:left w:type="dxa" w:w="120"/>
              <w:bottom w:type="dxa" w:w="60"/>
              <w:right w:type="dxa" w:w="120"/>
            </w:tcMar>
          </w:tcPr>
          <w:p>
            <w:r>
              <w:rPr>
                <w:b w:val="false"/>
                <w:bCs w:val="false"/>
                <w:sz w:val="20"/>
                <w:szCs w:val="20"/>
              </w:rPr>
              <w:t xml:space="preserve">Final (summative) assessment. Educators make their final judgement of each learner in the two assessed competencies, against the Proficiency Scale.</w:t>
            </w:r>
          </w:p>
        </w:tc>
      </w:tr>
      <w:tr>
        <w:tc>
          <w:tcPr>
            <w:tcW w:type="dxa" w:w="3200"/>
            <w:tcMar>
              <w:top w:type="dxa" w:w="60"/>
              <w:left w:type="dxa" w:w="120"/>
              <w:bottom w:type="dxa" w:w="60"/>
              <w:right w:type="dxa" w:w="120"/>
            </w:tcMar>
          </w:tcPr>
          <w:p>
            <w:r>
              <w:rPr>
                <w:b/>
                <w:bCs/>
                <w:color w:val="7A3B69"/>
                <w:sz w:val="20"/>
                <w:szCs w:val="20"/>
              </w:rPr>
              <w:t xml:space="preserve">After Week 12</w:t>
            </w:r>
          </w:p>
        </w:tc>
        <w:tc>
          <w:tcPr>
            <w:tcW w:type="dxa" w:w="7600"/>
            <w:tcMar>
              <w:top w:type="dxa" w:w="60"/>
              <w:left w:type="dxa" w:w="120"/>
              <w:bottom w:type="dxa" w:w="60"/>
              <w:right w:type="dxa" w:w="120"/>
            </w:tcMar>
          </w:tcPr>
          <w:p>
            <w:r>
              <w:rPr>
                <w:b w:val="false"/>
                <w:bCs w:val="false"/>
                <w:sz w:val="20"/>
                <w:szCs w:val="20"/>
              </w:rPr>
              <w:t xml:space="preserve">Amala moderation. Amala reviews a sample of judgements against the evidence to confirm they are consistent and fair, and the readiness decision is confirmed.</w:t>
            </w:r>
          </w:p>
        </w:tc>
      </w:tr>
    </w:tbl>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The two assessment points, in one line</w:t>
            </w:r>
          </w:p>
          <w:p>
            <w:pPr>
              <w:spacing w:after="80" w:before="0"/>
            </w:pPr>
            <w:r>
              <w:rPr>
                <w:sz w:val="21"/>
                <w:szCs w:val="21"/>
              </w:rPr>
              <w:t xml:space="preserve">Week 6 — supported assessment: a first, provisional judgement, made with Amala’s support. A checkpoint and a rehearsal.</w:t>
            </w:r>
          </w:p>
          <w:p>
            <w:pPr>
              <w:spacing w:after="0" w:before="0"/>
            </w:pPr>
            <w:r>
              <w:rPr>
                <w:sz w:val="21"/>
                <w:szCs w:val="21"/>
              </w:rPr>
              <w:t xml:space="preserve">Week 12 — final assessment: the educators’ final judgement of the two competencies, which Amala then moderates.</w:t>
            </w:r>
          </w:p>
        </w:tc>
      </w:tr>
    </w:tbl>
    <w:p>
      <w:r>
        <w:br w:type="page"/>
      </w:r>
    </w:p>
    <w:p>
      <w:pPr>
        <w:pStyle w:val="Heading1"/>
        <w:spacing w:after="100" w:before="260"/>
      </w:pPr>
      <w:r>
        <w:rPr>
          <w:b/>
          <w:bCs/>
          <w:color w:val="1F3A5F"/>
          <w:sz w:val="30"/>
          <w:szCs w:val="30"/>
        </w:rPr>
        <w:t xml:space="preserve">5. Coordinating assessment and moderation</w:t>
      </w:r>
    </w:p>
    <w:p>
      <w:pPr>
        <w:spacing w:after="120" w:before="0"/>
      </w:pPr>
      <w:r>
        <w:rPr>
          <w:sz w:val="22"/>
          <w:szCs w:val="22"/>
        </w:rPr>
        <w:t xml:space="preserve">Assessment rests on educator judgement across varied evidence, not on a single test. Your role is to make that judgement possible and fair.</w:t>
      </w:r>
    </w:p>
    <w:p>
      <w:pPr>
        <w:spacing w:after="40" w:before="80"/>
      </w:pPr>
      <w:r>
        <w:rPr>
          <w:b/>
          <w:bCs/>
          <w:i/>
          <w:iCs/>
          <w:color w:val="6E7A2E"/>
          <w:sz w:val="21"/>
          <w:szCs w:val="21"/>
        </w:rPr>
        <w:t xml:space="preserve">Before Week 6</w:t>
      </w:r>
    </w:p>
    <w:p>
      <w:pPr>
        <w:pStyle w:val="ListParagraph"/>
        <w:numPr>
          <w:ilvl w:val="0"/>
          <w:numId w:val="1"/>
        </w:numPr>
        <w:spacing w:after="6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60"/>
      </w:pPr>
      <w:r>
        <w:rPr>
          <w:sz w:val="22"/>
          <w:szCs w:val="22"/>
        </w:rPr>
        <w:t xml:space="preserve">Schedule the Week-6 supported assessment with Amala, so educators make their first judgements with support and calibration.</w:t>
      </w:r>
    </w:p>
    <w:p>
      <w:pPr>
        <w:spacing w:after="40" w:before="80"/>
      </w:pPr>
      <w:r>
        <w:rPr>
          <w:b/>
          <w:bCs/>
          <w:i/>
          <w:iCs/>
          <w:color w:val="6E7A2E"/>
          <w:sz w:val="21"/>
          <w:szCs w:val="21"/>
        </w:rPr>
        <w:t xml:space="preserve">Between Week 6 and Week 12</w:t>
      </w:r>
    </w:p>
    <w:p>
      <w:pPr>
        <w:pStyle w:val="ListParagraph"/>
        <w:numPr>
          <w:ilvl w:val="0"/>
          <w:numId w:val="1"/>
        </w:numPr>
        <w:spacing w:after="60"/>
      </w:pPr>
      <w:r>
        <w:rPr>
          <w:sz w:val="22"/>
          <w:szCs w:val="22"/>
        </w:rPr>
        <w:t xml:space="preserve">Feed back what Week 6 surfaced: which learners need more evidence, where educators’ judgements were uncertain, which competency needs more attention in the second block.</w:t>
      </w:r>
    </w:p>
    <w:p>
      <w:pPr>
        <w:spacing w:after="40" w:before="80"/>
      </w:pPr>
      <w:r>
        <w:rPr>
          <w:b/>
          <w:bCs/>
          <w:i/>
          <w:iCs/>
          <w:color w:val="6E7A2E"/>
          <w:sz w:val="21"/>
          <w:szCs w:val="21"/>
        </w:rPr>
        <w:t xml:space="preserve">At Week 12</w:t>
      </w:r>
    </w:p>
    <w:p>
      <w:pPr>
        <w:pStyle w:val="ListParagraph"/>
        <w:numPr>
          <w:ilvl w:val="0"/>
          <w:numId w:val="1"/>
        </w:numPr>
        <w:spacing w:after="6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60"/>
      </w:pPr>
      <w:r>
        <w:rPr>
          <w:sz w:val="22"/>
          <w:szCs w:val="22"/>
        </w:rPr>
        <w:t xml:space="preserve">Hand a sample to Amala for moderation — a case-based review that confirms judgements are consistent and fair before the readiness decision is confirmed.</w:t>
      </w:r>
    </w:p>
    <w:p>
      <w:pPr>
        <w:pStyle w:val="Heading2"/>
        <w:spacing w:after="80" w:before="200"/>
      </w:pPr>
      <w:r>
        <w:rPr>
          <w:b/>
          <w:bCs/>
          <w:color w:val="7A3B69"/>
          <w:sz w:val="25"/>
          <w:szCs w:val="25"/>
        </w:rPr>
        <w:t xml:space="preserve">The two assessed competencies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Competency</w:t>
            </w:r>
          </w:p>
        </w:tc>
        <w:tc>
          <w:tcPr>
            <w:tcW w:type="dxa" w:w="7600"/>
            <w:shd w:fill="F0ECE3"/>
            <w:tcMar>
              <w:top w:type="dxa" w:w="60"/>
              <w:left w:type="dxa" w:w="120"/>
              <w:bottom w:type="dxa" w:w="60"/>
              <w:right w:type="dxa" w:w="120"/>
            </w:tcMar>
          </w:tcPr>
          <w:p>
            <w:r>
              <w:rPr>
                <w:b/>
                <w:bCs/>
                <w:color w:val="1F3A5F"/>
                <w:sz w:val="20"/>
                <w:szCs w:val="20"/>
              </w:rPr>
              <w:t xml:space="preserve">Developed through</w:t>
            </w:r>
          </w:p>
        </w:tc>
      </w:tr>
      <w:tr>
        <w:tc>
          <w:tcPr>
            <w:tcW w:type="dxa" w:w="3200"/>
            <w:tcMar>
              <w:top w:type="dxa" w:w="60"/>
              <w:left w:type="dxa" w:w="120"/>
              <w:bottom w:type="dxa" w:w="60"/>
              <w:right w:type="dxa" w:w="120"/>
            </w:tcMar>
          </w:tcPr>
          <w:p>
            <w:r>
              <w:rPr>
                <w:b/>
                <w:bCs/>
                <w:color w:val="7A3B69"/>
                <w:sz w:val="20"/>
                <w:szCs w:val="20"/>
              </w:rPr>
              <w:t xml:space="preserve">Set and Pursue Goals</w:t>
            </w:r>
          </w:p>
        </w:tc>
        <w:tc>
          <w:tcPr>
            <w:tcW w:type="dxa" w:w="7600"/>
            <w:tcMar>
              <w:top w:type="dxa" w:w="60"/>
              <w:left w:type="dxa" w:w="120"/>
              <w:bottom w:type="dxa" w:w="60"/>
              <w:right w:type="dxa" w:w="120"/>
            </w:tcMar>
          </w:tcPr>
          <w:p>
            <w:r>
              <w:rPr>
                <w:b w:val="false"/>
                <w:bCs w:val="false"/>
                <w:sz w:val="20"/>
                <w:szCs w:val="20"/>
              </w:rPr>
              <w:t xml:space="preserve">The Agency in Learning component. The ability to set clear objectives for learning and growth and take deliberate steps toward them.</w:t>
            </w:r>
          </w:p>
        </w:tc>
      </w:tr>
      <w:tr>
        <w:tc>
          <w:tcPr>
            <w:tcW w:type="dxa" w:w="3200"/>
            <w:tcMar>
              <w:top w:type="dxa" w:w="60"/>
              <w:left w:type="dxa" w:w="120"/>
              <w:bottom w:type="dxa" w:w="60"/>
              <w:right w:type="dxa" w:w="120"/>
            </w:tcMar>
          </w:tcPr>
          <w:p>
            <w:r>
              <w:rPr>
                <w:b/>
                <w:bCs/>
                <w:color w:val="7A3B69"/>
                <w:sz w:val="20"/>
                <w:szCs w:val="20"/>
              </w:rPr>
              <w:t xml:space="preserve">Investigate Real World Issues</w:t>
            </w:r>
          </w:p>
        </w:tc>
        <w:tc>
          <w:tcPr>
            <w:tcW w:type="dxa" w:w="7600"/>
            <w:tcMar>
              <w:top w:type="dxa" w:w="60"/>
              <w:left w:type="dxa" w:w="120"/>
              <w:bottom w:type="dxa" w:w="60"/>
              <w:right w:type="dxa" w:w="120"/>
            </w:tcMar>
          </w:tcPr>
          <w:p>
            <w:r>
              <w:rPr>
                <w:b w:val="false"/>
                <w:bCs w:val="false"/>
                <w:sz w:val="20"/>
                <w:szCs w:val="20"/>
              </w:rPr>
              <w:t xml:space="preserve">The Research Project component. The ability to research challenges affecting people and the planet to develop actionable insights.</w:t>
            </w:r>
          </w:p>
        </w:tc>
      </w:tr>
    </w:tbl>
    <w:p>
      <w:pPr>
        <w:spacing w:after="120" w:before="0"/>
      </w:pPr>
      <w:r>
        <w:rPr>
          <w:i/>
          <w:i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spacing w:after="80" w:before="200"/>
      </w:pPr>
      <w:r>
        <w:rPr>
          <w:b/>
          <w:bCs/>
          <w:color w:val="7A3B69"/>
          <w:sz w:val="25"/>
          <w:szCs w:val="25"/>
        </w:rPr>
        <w:t xml:space="preserve">The grade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Grade</w:t>
            </w:r>
          </w:p>
        </w:tc>
        <w:tc>
          <w:tcPr>
            <w:tcW w:type="dxa" w:w="7600"/>
            <w:shd w:fill="F0ECE3"/>
            <w:tcMar>
              <w:top w:type="dxa" w:w="60"/>
              <w:left w:type="dxa" w:w="120"/>
              <w:bottom w:type="dxa" w:w="60"/>
              <w:right w:type="dxa" w:w="120"/>
            </w:tcMar>
          </w:tcPr>
          <w:p>
            <w:r>
              <w:rPr>
                <w:b/>
                <w:bCs/>
                <w:color w:val="1F3A5F"/>
                <w:sz w:val="20"/>
                <w:szCs w:val="20"/>
              </w:rPr>
              <w:t xml:space="preserve">Requirement</w:t>
            </w:r>
          </w:p>
        </w:tc>
      </w:tr>
      <w:tr>
        <w:tc>
          <w:tcPr>
            <w:tcW w:type="dxa" w:w="3200"/>
            <w:tcMar>
              <w:top w:type="dxa" w:w="60"/>
              <w:left w:type="dxa" w:w="120"/>
              <w:bottom w:type="dxa" w:w="60"/>
              <w:right w:type="dxa" w:w="120"/>
            </w:tcMar>
          </w:tcPr>
          <w:p>
            <w:r>
              <w:rPr>
                <w:b/>
                <w:bCs/>
                <w:color w:val="7A3B69"/>
                <w:sz w:val="20"/>
                <w:szCs w:val="20"/>
              </w:rPr>
              <w:t xml:space="preserve">Pass</w:t>
            </w:r>
          </w:p>
        </w:tc>
        <w:tc>
          <w:tcPr>
            <w:tcW w:type="dxa" w:w="7600"/>
            <w:tcMar>
              <w:top w:type="dxa" w:w="60"/>
              <w:left w:type="dxa" w:w="120"/>
              <w:bottom w:type="dxa" w:w="60"/>
              <w:right w:type="dxa" w:w="120"/>
            </w:tcMar>
          </w:tcPr>
          <w:p>
            <w:r>
              <w:rPr>
                <w:b w:val="false"/>
                <w:bCs w:val="false"/>
                <w:sz w:val="20"/>
                <w:szCs w:val="20"/>
              </w:rPr>
              <w:t xml:space="preserve">Practitioner in both competencies.</w:t>
            </w:r>
          </w:p>
        </w:tc>
      </w:tr>
      <w:tr>
        <w:tc>
          <w:tcPr>
            <w:tcW w:type="dxa" w:w="3200"/>
            <w:tcMar>
              <w:top w:type="dxa" w:w="60"/>
              <w:left w:type="dxa" w:w="120"/>
              <w:bottom w:type="dxa" w:w="60"/>
              <w:right w:type="dxa" w:w="120"/>
            </w:tcMar>
          </w:tcPr>
          <w:p>
            <w:r>
              <w:rPr>
                <w:b/>
                <w:bCs/>
                <w:color w:val="7A3B69"/>
                <w:sz w:val="20"/>
                <w:szCs w:val="20"/>
              </w:rPr>
              <w:t xml:space="preserve">Merit</w:t>
            </w:r>
          </w:p>
        </w:tc>
        <w:tc>
          <w:tcPr>
            <w:tcW w:type="dxa" w:w="7600"/>
            <w:tcMar>
              <w:top w:type="dxa" w:w="60"/>
              <w:left w:type="dxa" w:w="120"/>
              <w:bottom w:type="dxa" w:w="60"/>
              <w:right w:type="dxa" w:w="120"/>
            </w:tcMar>
          </w:tcPr>
          <w:p>
            <w:r>
              <w:rPr>
                <w:b w:val="false"/>
                <w:bCs w:val="false"/>
                <w:sz w:val="20"/>
                <w:szCs w:val="20"/>
              </w:rPr>
              <w:t xml:space="preserve">Reflective Practitioner in one competency, Practitioner in the other.</w:t>
            </w:r>
          </w:p>
        </w:tc>
      </w:tr>
      <w:tr>
        <w:tc>
          <w:tcPr>
            <w:tcW w:type="dxa" w:w="3200"/>
            <w:tcMar>
              <w:top w:type="dxa" w:w="60"/>
              <w:left w:type="dxa" w:w="120"/>
              <w:bottom w:type="dxa" w:w="60"/>
              <w:right w:type="dxa" w:w="120"/>
            </w:tcMar>
          </w:tcPr>
          <w:p>
            <w:r>
              <w:rPr>
                <w:b/>
                <w:bCs/>
                <w:color w:val="7A3B69"/>
                <w:sz w:val="20"/>
                <w:szCs w:val="20"/>
              </w:rPr>
              <w:t xml:space="preserve">Distinction</w:t>
            </w:r>
          </w:p>
        </w:tc>
        <w:tc>
          <w:tcPr>
            <w:tcW w:type="dxa" w:w="7600"/>
            <w:tcMar>
              <w:top w:type="dxa" w:w="60"/>
              <w:left w:type="dxa" w:w="120"/>
              <w:bottom w:type="dxa" w:w="60"/>
              <w:right w:type="dxa" w:w="120"/>
            </w:tcMar>
          </w:tcPr>
          <w:p>
            <w:r>
              <w:rPr>
                <w:b w:val="false"/>
                <w:bCs w:val="false"/>
                <w:sz w:val="20"/>
                <w:szCs w:val="20"/>
              </w:rPr>
              <w:t xml:space="preserve">Reflective Practitioner in both competencies.</w:t>
            </w:r>
          </w:p>
        </w:tc>
      </w:tr>
    </w:tbl>
    <w:p>
      <w:r>
        <w:br w:type="page"/>
      </w:r>
    </w:p>
    <w:p>
      <w:pPr>
        <w:pStyle w:val="Heading1"/>
        <w:spacing w:after="100" w:before="260"/>
      </w:pPr>
      <w:r>
        <w:rPr>
          <w:b/>
          <w:bCs/>
          <w:color w:val="1F3A5F"/>
          <w:sz w:val="30"/>
          <w:szCs w:val="30"/>
        </w:rPr>
        <w:t xml:space="preserve">6. Safeguarding and protection</w:t>
      </w:r>
    </w:p>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This is not optional, and it is not yours to improvise</w:t>
            </w:r>
          </w:p>
          <w:p>
            <w:pPr>
              <w:spacing w:after="80" w:before="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80" w:before="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pPr>
            <w:r>
              <w:rPr>
                <w:sz w:val="21"/>
                <w:szCs w:val="21"/>
              </w:rPr>
              <w:t xml:space="preserve">Your job as coordinator: make sure the referral pathway is known and live at every site before delivery starts, and that every educator has been briefed on it.</w:t>
            </w:r>
          </w:p>
        </w:tc>
      </w:tr>
    </w:tbl>
    <w:p>
      <w:pPr>
        <w:pStyle w:val="Heading1"/>
        <w:spacing w:after="100" w:before="260"/>
      </w:pPr>
      <w:r>
        <w:rPr>
          <w:b/>
          <w:bCs/>
          <w:color w:val="1F3A5F"/>
          <w:sz w:val="30"/>
          <w:szCs w:val="30"/>
        </w:rPr>
        <w:t xml:space="preserve">7. Coordinator checklist</w:t>
      </w:r>
    </w:p>
    <w:p>
      <w:pPr>
        <w:spacing w:after="40" w:before="80"/>
      </w:pPr>
      <w:r>
        <w:rPr>
          <w:b/>
          <w:bCs/>
          <w:i/>
          <w:iCs/>
          <w:color w:val="6E7A2E"/>
          <w:sz w:val="21"/>
          <w:szCs w:val="21"/>
        </w:rPr>
        <w:t xml:space="preserve">Once per cohort, before Week 1</w:t>
      </w:r>
    </w:p>
    <w:p>
      <w:pPr>
        <w:pStyle w:val="ListParagraph"/>
        <w:numPr>
          <w:ilvl w:val="0"/>
          <w:numId w:val="1"/>
        </w:numPr>
        <w:spacing w:after="60"/>
      </w:pPr>
      <w:r>
        <w:rPr>
          <w:sz w:val="22"/>
          <w:szCs w:val="22"/>
        </w:rPr>
        <w:t xml:space="preserve">Sites confirmed; offline packs distributed and checked at each site.</w:t>
      </w:r>
    </w:p>
    <w:p>
      <w:pPr>
        <w:pStyle w:val="ListParagraph"/>
        <w:numPr>
          <w:ilvl w:val="0"/>
          <w:numId w:val="1"/>
        </w:numPr>
        <w:spacing w:after="60"/>
      </w:pPr>
      <w:r>
        <w:rPr>
          <w:sz w:val="22"/>
          <w:szCs w:val="22"/>
        </w:rPr>
        <w:t xml:space="preserve">Facilitators confirmed, with female facilitators and same-gender grouping where needed, and language matched.</w:t>
      </w:r>
    </w:p>
    <w:p>
      <w:pPr>
        <w:pStyle w:val="ListParagraph"/>
        <w:numPr>
          <w:ilvl w:val="0"/>
          <w:numId w:val="1"/>
        </w:numPr>
        <w:spacing w:after="60"/>
      </w:pPr>
      <w:r>
        <w:rPr>
          <w:sz w:val="22"/>
          <w:szCs w:val="22"/>
        </w:rPr>
        <w:t xml:space="preserve">Safeguarding and referral pathway concrete and briefed at every site.</w:t>
      </w:r>
    </w:p>
    <w:p>
      <w:pPr>
        <w:pStyle w:val="ListParagraph"/>
        <w:numPr>
          <w:ilvl w:val="0"/>
          <w:numId w:val="1"/>
        </w:numPr>
        <w:spacing w:after="60"/>
      </w:pPr>
      <w:r>
        <w:rPr>
          <w:sz w:val="22"/>
          <w:szCs w:val="22"/>
        </w:rPr>
        <w:t xml:space="preserve">Diagnostic intake complete; learners placed and paired with mentors.</w:t>
      </w:r>
    </w:p>
    <w:p>
      <w:pPr>
        <w:pStyle w:val="ListParagraph"/>
        <w:numPr>
          <w:ilvl w:val="0"/>
          <w:numId w:val="1"/>
        </w:numPr>
        <w:spacing w:after="60"/>
      </w:pPr>
      <w:r>
        <w:rPr>
          <w:sz w:val="22"/>
          <w:szCs w:val="22"/>
        </w:rPr>
        <w:t xml:space="preserve">Week-6 and Week-12 assessment windows on the calendar; Week-6 support booked with Amala.</w:t>
      </w:r>
    </w:p>
    <w:p>
      <w:pPr>
        <w:spacing w:after="40" w:before="80"/>
      </w:pPr>
      <w:r>
        <w:rPr>
          <w:b/>
          <w:bCs/>
          <w:i/>
          <w:iCs/>
          <w:color w:val="6E7A2E"/>
          <w:sz w:val="21"/>
          <w:szCs w:val="21"/>
        </w:rPr>
        <w:t xml:space="preserve">Through the cohort</w:t>
      </w:r>
    </w:p>
    <w:p>
      <w:pPr>
        <w:pStyle w:val="ListParagraph"/>
        <w:numPr>
          <w:ilvl w:val="0"/>
          <w:numId w:val="1"/>
        </w:numPr>
        <w:spacing w:after="60"/>
      </w:pPr>
      <w:r>
        <w:rPr>
          <w:sz w:val="22"/>
          <w:szCs w:val="22"/>
        </w:rPr>
        <w:t xml:space="preserve">Evidence being gathered continuously, not left to the end.</w:t>
      </w:r>
    </w:p>
    <w:p>
      <w:pPr>
        <w:pStyle w:val="ListParagraph"/>
        <w:numPr>
          <w:ilvl w:val="0"/>
          <w:numId w:val="1"/>
        </w:numPr>
        <w:spacing w:after="60"/>
      </w:pPr>
      <w:r>
        <w:rPr>
          <w:sz w:val="22"/>
          <w:szCs w:val="22"/>
        </w:rPr>
        <w:t xml:space="preserve">Attendance is stop-start by nature — pick learners up where they are; a return after absence is progress, not a fresh start.</w:t>
      </w:r>
    </w:p>
    <w:p>
      <w:pPr>
        <w:pStyle w:val="ListParagraph"/>
        <w:numPr>
          <w:ilvl w:val="0"/>
          <w:numId w:val="1"/>
        </w:numPr>
        <w:spacing w:after="60"/>
      </w:pPr>
      <w:r>
        <w:rPr>
          <w:sz w:val="22"/>
          <w:szCs w:val="22"/>
        </w:rPr>
        <w:t xml:space="preserve">Week-6 supported assessment run with Amala; findings fed back to educators.</w:t>
      </w:r>
    </w:p>
    <w:p>
      <w:pPr>
        <w:pStyle w:val="ListParagraph"/>
        <w:numPr>
          <w:ilvl w:val="0"/>
          <w:numId w:val="1"/>
        </w:numPr>
        <w:spacing w:after="60"/>
      </w:pPr>
      <w:r>
        <w:rPr>
          <w:sz w:val="22"/>
          <w:szCs w:val="22"/>
        </w:rPr>
        <w:t xml:space="preserve">Week-12 final assessment collected; sample handed to Amala for moderation.</w:t>
      </w:r>
    </w:p>
    <w:p>
      <w:pPr>
        <w:pStyle w:val="ListParagraph"/>
        <w:numPr>
          <w:ilvl w:val="0"/>
          <w:numId w:val="1"/>
        </w:numPr>
        <w:spacing w:after="60"/>
      </w:pPr>
      <w:r>
        <w:rPr>
          <w:sz w:val="22"/>
          <w:szCs w:val="22"/>
        </w:rPr>
        <w:t xml:space="preserve">Track the cohort against the 70% readiness measure.</w:t>
      </w:r>
    </w:p>
    <w:p>
      <w:pPr>
        <w:spacing w:after="120" w:before="240"/>
      </w:pPr>
      <w:r>
        <w:rPr>
          <w:color w:val="5A6473"/>
          <w:sz w:val="18"/>
          <w:szCs w:val="18"/>
        </w:rPr>
        <w:t xml:space="preserve">This guide is part of a fully offline, editable pack for Learning Bridge+ (Cox’s Bazar).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2026-08-08T04:22:55.866Z</dcterms:created>
  <dcterms:modified xsi:type="dcterms:W3CDTF">2026-08-08T04:22:55.866Z</dcterms:modified>
</cp:coreProperties>
</file>

<file path=docProps/custom.xml><?xml version="1.0" encoding="utf-8"?>
<Properties xmlns="http://schemas.openxmlformats.org/officeDocument/2006/custom-properties" xmlns:vt="http://schemas.openxmlformats.org/officeDocument/2006/docPropsVTypes"/>
</file>