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(expect the cohort to be below B1, with a range of literacy levels),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Alongside the people learners invite themselves, agree with your sites who else should be there: camp committee members, majhis, imams, teachers, NRC staff, and anyone working on the hills the research is about. The research is about a shared problem, and the people who could act on it should hear it.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2026-08-25T08:06:47.561Z</dcterms:created>
  <dcterms:modified xsi:type="dcterms:W3CDTF">2026-08-25T08:06:47.562Z</dcterms:modified>
</cp:coreProperties>
</file>

<file path=docProps/custom.xml><?xml version="1.0" encoding="utf-8"?>
<Properties xmlns="http://schemas.openxmlformats.org/officeDocument/2006/custom-properties" xmlns:vt="http://schemas.openxmlformats.org/officeDocument/2006/docPropsVTypes"/>
</file>