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44"/>
          <w:szCs w:val="44"/>
        </w:rPr>
        <w:t xml:space="preserve">Research Project</w:t>
      </w:r>
    </w:p>
    <w:p>
      <w:pPr>
        <w:spacing w:after="40" w:before="0"/>
      </w:pPr>
      <w:r>
        <w:rPr>
          <w:b/>
          <w:bCs/>
          <w:color w:val="7A3B69"/>
          <w:sz w:val="24"/>
          <w:szCs w:val="24"/>
        </w:rPr>
        <w:t xml:space="preserve">Assessment record — Investigate real-world issues (FSI1)</w:t>
      </w:r>
    </w:p>
    <w:p>
      <w:pPr>
        <w:spacing w:after="160" w:before="0"/>
      </w:pPr>
      <w:r>
        <w:rPr>
          <w:color w:val="5A6473"/>
          <w:sz w:val="20"/>
          <w:szCs w:val="20"/>
        </w:rPr>
        <w:t xml:space="preserve">Learning Bridge+ (Cox's Bazar)  ·  Facilitator — make one copy per learner</w:t>
      </w:r>
    </w:p>
    <w:p>
      <w:pPr>
        <w:spacing w:after="120" w:before="0"/>
      </w:pPr>
      <w:r>
        <w:rPr>
          <w:sz w:val="22"/>
          <w:szCs w:val="22"/>
        </w:rPr>
        <w:t xml:space="preserve">Judge each learner by your professional judgement against Amala’s proficiency scale, from evidence gathered across the whole research book — not from the final output alone. Full guidance is in the facilitator guide ("Assessing the investigation"). Tick the level and write one or two lines of evidence for why.</w:t>
      </w:r>
    </w:p>
    <w:p>
      <w:pPr>
        <w:spacing w:after="160" w:before="0"/>
      </w:pPr>
      <w:r>
        <w:rPr>
          <w:color w:val="5A6473"/>
          <w:sz w:val="20"/>
          <w:szCs w:val="20"/>
        </w:rPr>
        <w:t xml:space="preserve">The scale is generic: one ladder, read against the goal FSI1 names —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pPr>
      <w:r>
        <w:rPr>
          <w:sz w:val="22"/>
          <w:szCs w:val="22"/>
        </w:rPr>
        <w:t xml:space="preserve">Learner: ______________________________</w:t>
      </w:r>
    </w:p>
    <w:p>
      <w:pPr>
        <w:pStyle w:val="Heading2"/>
        <w:spacing w:after="80" w:before="200"/>
      </w:pPr>
      <w:r>
        <w:rPr>
          <w:b/>
          <w:bCs/>
          <w:color w:val="7A3B69"/>
          <w:sz w:val="26"/>
          <w:szCs w:val="26"/>
        </w:rPr>
        <w:t xml:space="preserve">Midway (formative) —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200" w:hRule="atLeast"/>
        </w:trPr>
        <w:tc>
          <w:tcPr>
            <w:tcW w:type="dxa" w:w="10800"/>
          </w:tcPr>
          <w:p>
            <w:r>
              <w:t xml:space="preserve"/>
            </w:r>
          </w:p>
        </w:tc>
      </w:tr>
    </w:tbl>
    <w:p>
      <w:pPr>
        <w:spacing w:after="120" w:before="80"/>
      </w:pPr>
      <w:r>
        <w:rPr>
          <w:i/>
          <w:iCs/>
          <w:color w:val="5A6473"/>
          <w:sz w:val="18"/>
          <w:szCs w:val="18"/>
        </w:rPr>
        <w:t xml:space="preserve">Provisional, made with Amala’s support and calibration: a checkpoint that tells you where to put your support next, not the final grade.</w:t>
      </w:r>
    </w:p>
    <w:p>
      <w:r>
        <w:br w:type="page"/>
      </w:r>
    </w:p>
    <w:p>
      <w:pPr>
        <w:pStyle w:val="Heading2"/>
        <w:spacing w:after="80" w:before="200"/>
      </w:pPr>
      <w:r>
        <w:rPr>
          <w:b/>
          <w:bCs/>
          <w:color w:val="7A3B69"/>
          <w:sz w:val="26"/>
          <w:szCs w:val="26"/>
        </w:rPr>
        <w:t xml:space="preserve">End (summative) —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200" w:hRule="atLeast"/>
        </w:trPr>
        <w:tc>
          <w:tcPr>
            <w:tcW w:type="dxa" w:w="10800"/>
          </w:tcPr>
          <w:p>
            <w:r>
              <w:t xml:space="preserve"/>
            </w:r>
          </w:p>
        </w:tc>
      </w:tr>
    </w:tbl>
    <w:p>
      <w:pPr>
        <w:spacing w:after="120" w:before="80"/>
      </w:pPr>
      <w:r>
        <w:rPr>
          <w:i/>
          <w:iCs/>
          <w:color w:val="5A6473"/>
          <w:sz w:val="18"/>
          <w:szCs w:val="18"/>
        </w:rPr>
        <w:t xml:space="preserve">This is the judgement that counts towards the certificated competency and the readiness decision.</w:t>
      </w:r>
    </w:p>
    <w:p>
      <w:pPr>
        <w:spacing w:after="120" w:before="200"/>
      </w:pPr>
      <w:r>
        <w:rPr>
          <w:color w:val="5A6473"/>
          <w:sz w:val="16"/>
          <w:szCs w:val="16"/>
        </w:rPr>
        <w:t xml:space="preserve">Levels, GPA values and generic descriptors are Amala’s official Competency Framework and Proficiency Scale (cohorts starting 2025).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2026-08-17T06:51:55.714Z</dcterms:created>
  <dcterms:modified xsi:type="dcterms:W3CDTF">2026-08-17T06:51:55.714Z</dcterms:modified>
</cp:coreProperties>
</file>

<file path=docProps/custom.xml><?xml version="1.0" encoding="utf-8"?>
<Properties xmlns="http://schemas.openxmlformats.org/officeDocument/2006/custom-properties" xmlns:vt="http://schemas.openxmlformats.org/officeDocument/2006/docPropsVTypes"/>
</file>