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You should not need any other document to deliver Learning Bridge+ (Cox’s Bazar): the full plan for all three components, the learner books to print, the cards to cut out, and the assessment records are all inside it, in the order you will need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how the 1:1 conversations run, and the safeguarding you must know before you take a caseload.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The three learner books, ready to print — one per learner, per component.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and the optional slides, which stay on the USB. Where there is no printer: show one copy on a screen, or hold up a printed sheet, and learners use their own notebooks — every activity is written to work that way.</w:t>
      </w:r>
    </w:p>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It holds all three learner books below,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7A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7B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Part 7C here.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Session slides (Agency in Learning, My Voice)</w:t>
            </w:r>
          </w:p>
        </w:tc>
        <w:tc>
          <w:tcPr>
            <w:tcW w:type="dxa" w:w="1511"/>
            <w:tcMar>
              <w:top w:type="dxa" w:w="70"/>
              <w:left w:type="dxa" w:w="130"/>
              <w:bottom w:type="dxa" w:w="70"/>
              <w:right w:type="dxa" w:w="130"/>
            </w:tcMar>
          </w:tcPr>
          <w:p>
            <w:pPr>
              <w:spacing w:line="260"/>
            </w:pPr>
            <w:r>
              <w:rPr>
                <w:b w:val="false"/>
                <w:bCs w:val="false"/>
                <w:sz w:val="19"/>
                <w:szCs w:val="19"/>
              </w:rPr>
              <w:t xml:space="preserve">Optional</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Only for the minority of sites with a screen. On the USB only.</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print one per learner</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Assessment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 Before the Research Project’s shared challenge is agreed, run Agency in Learning and English only — two hours a day with you instead of three.</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one per learner per component (Part 7), or a plan for how you will work without a printer.</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w:t>
      </w:r>
    </w:p>
    <w:p>
      <w:r>
        <w:br w:type="page"/>
      </w:r>
    </w:p>
    <w:p>
      <w:pPr>
        <w:pStyle w:val="Heading2"/>
        <w:keepNext/>
        <w:spacing w:after="100" w:before="280"/>
      </w:pPr>
      <w:r>
        <w:rPr>
          <w:b/>
          <w:bCs/>
          <w:color w:val="7A3B69"/>
          <w:sz w:val="28"/>
          <w:szCs w:val="28"/>
        </w:rPr>
        <w:t xml:space="preserve">2.1  What mentoring is here</w:t>
      </w:r>
    </w:p>
    <w:p>
      <w:pPr>
        <w:spacing w:after="140" w:before="0" w:line="300"/>
      </w:pPr>
      <w:r>
        <w:rPr>
          <w:sz w:val="22"/>
          <w:szCs w:val="22"/>
        </w:rPr>
        <w:t xml:space="preserve">1:1 mentoring is the spine of wellbeing support: it is where a learner is known as a person, where distress is noticed early, and where the learning goals set in Agency in Learning are kept alive. You are not a counsellor — you build the relationship, notice concerns, and refer along NRC’s pathways.</w:t>
      </w:r>
    </w:p>
    <w:p>
      <w:pPr>
        <w:keepNext/>
        <w:spacing w:after="60" w:before="180"/>
      </w:pPr>
      <w:r>
        <w:rPr>
          <w:b/>
          <w:bCs/>
          <w:color w:val="6E7A2E"/>
          <w:spacing w:val="24"/>
          <w:sz w:val="17"/>
          <w:szCs w:val="17"/>
        </w:rPr>
        <w:t xml:space="preserve">HOW IT RUNS</w:t>
      </w:r>
    </w:p>
    <w:p>
      <w:pPr>
        <w:pStyle w:val="ListParagraph"/>
        <w:numPr>
          <w:ilvl w:val="0"/>
          <w:numId w:val="1"/>
        </w:numPr>
        <w:spacing w:after="80" w:line="300"/>
      </w:pPr>
      <w:r>
        <w:rPr>
          <w:sz w:val="22"/>
          <w:szCs w:val="22"/>
        </w:rPr>
        <w:t xml:space="preserve">Fold mentoring into the weekly in-person time as short 1:1 or very small-group conversations. No devices, no internet.</w:t>
      </w:r>
    </w:p>
    <w:p>
      <w:pPr>
        <w:pStyle w:val="ListParagraph"/>
        <w:numPr>
          <w:ilvl w:val="0"/>
          <w:numId w:val="1"/>
        </w:numPr>
        <w:spacing w:after="80" w:line="300"/>
      </w:pPr>
      <w:r>
        <w:rPr>
          <w:sz w:val="22"/>
          <w:szCs w:val="22"/>
        </w:rPr>
        <w:t xml:space="preserve">Start every meeting with a genuine check-in, spoken in the learner’s own language rather than as a written survey. Watch for withdrawal, or a change in how "fine" sounds over the weeks.</w:t>
      </w:r>
    </w:p>
    <w:p>
      <w:pPr>
        <w:pStyle w:val="ListParagraph"/>
        <w:numPr>
          <w:ilvl w:val="0"/>
          <w:numId w:val="1"/>
        </w:numPr>
        <w:spacing w:after="80" w:line="300"/>
      </w:pPr>
      <w:r>
        <w:rPr>
          <w:sz w:val="22"/>
          <w:szCs w:val="22"/>
        </w:rPr>
        <w:t xml:space="preserve">Keep a light paper record of what you notice, so each conversation builds on the last and survives stop-start attendance.</w:t>
      </w:r>
    </w:p>
    <w:p>
      <w:pPr>
        <w:pStyle w:val="ListParagraph"/>
        <w:numPr>
          <w:ilvl w:val="0"/>
          <w:numId w:val="1"/>
        </w:numPr>
        <w:spacing w:after="80" w:line="300"/>
      </w:pPr>
      <w:r>
        <w:rPr>
          <w:sz w:val="22"/>
          <w:szCs w:val="22"/>
        </w:rPr>
        <w:t xml:space="preserve">Surface the skills learners already use in camp life — caring for siblings, translating, running a stall, resolving disputes. Capture that growth orally and visually; it becomes evidence for the Set and Pursue Goals assessment.</w:t>
      </w:r>
    </w:p>
    <w:p>
      <w:pPr>
        <w:spacing w:after="140" w:before="0" w:line="300"/>
      </w:pPr>
      <w:r>
        <w:rPr>
          <w:b/>
          <w:bCs/>
          <w:color w:val="5A6473"/>
          <w:sz w:val="21"/>
          <w:szCs w:val="21"/>
        </w:rPr>
        <w:t xml:space="preserve">The shared practice is the mentor moves on the Educators pages. Use them; this guide says how they are held in the Cox’s Bazar context.</w:t>
      </w:r>
    </w:p>
    <w:p>
      <w:pPr>
        <w:pStyle w:val="Heading2"/>
        <w:keepNext/>
        <w:spacing w:after="100" w:before="280"/>
      </w:pPr>
      <w:r>
        <w:rPr>
          <w:b/>
          <w:bCs/>
          <w:color w:val="7A3B69"/>
          <w:sz w:val="28"/>
          <w:szCs w:val="28"/>
        </w:rPr>
        <w:t xml:space="preserve">2.2  Safeguarding</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CASELOAD</w:t>
            </w:r>
          </w:p>
          <w:p>
            <w:pPr>
              <w:spacing w:after="90" w:before="0" w:line="300"/>
            </w:pPr>
            <w:r>
              <w:rPr>
                <w:sz w:val="21"/>
                <w:szCs w:val="21"/>
              </w:rPr>
              <w:t xml:space="preserve">Know NRC’s safeguarding policy and the camp referral pathway before you mentor anyone.</w:t>
            </w:r>
          </w:p>
          <w:p>
            <w:pPr>
              <w:spacing w:after="90" w:before="0" w:line="300"/>
            </w:pPr>
            <w:r>
              <w:rPr>
                <w:sz w:val="21"/>
                <w:szCs w:val="21"/>
              </w:rPr>
              <w:t xml:space="preserve">No learner ever has to share. For sensitive ground — loss, family, marriage, displacement — step back; the materials give you clear step-back prompts.</w:t>
            </w:r>
          </w:p>
          <w:p>
            <w:pPr>
              <w:spacing w:after="0" w:before="0" w:line="300"/>
            </w:pPr>
            <w:r>
              <w:rPr>
                <w:sz w:val="21"/>
                <w:szCs w:val="21"/>
              </w:rPr>
              <w:t xml:space="preserve">Disclosures may involve protection risks common in displacement — child marriage, family separation, gender-based violence. Respond calmly, never promise secrecy, and refer. Your job is to notice, steady, and refer — not to counsel.</w:t>
            </w:r>
          </w:p>
        </w:tc>
      </w:tr>
    </w:tbl>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spacing w:after="140" w:before="0" w:line="300"/>
      </w:pPr>
      <w:r>
        <w:rPr>
          <w:b/>
          <w:bCs/>
          <w:color w:val="5A6473"/>
          <w:sz w:val="21"/>
          <w:szCs w:val="21"/>
        </w:rPr>
        <w:t xml:space="preserve">Note: the Research Project’s shared challenge is being finalised with NRC and the community. Confirm with your coordinator which competencies your cohort is assessed in and when.</w:t>
      </w:r>
    </w:p>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No printer? Show one copy on a screen, or hold up a printed sheet, and learners use their own notebooks.</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3h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3h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 a small group or the class, with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ACTIVITY IN THE MATERIAL BANK: SET UP YOUR RESEARCH BOOK</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ACTIVITY IN THE MATERIAL BANK: MEET OUR CHALLENGE</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ACTIVITY IN THE MATERIAL BANK: WHAT GOOD RESEARCH LOOKS LIKE</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ACTIVITY IN THE MATERIAL BANK: WHAT WE ALREADY KNOW</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ACTIVITY IN THE MATERIAL BANK: WHO AND WHAT IS CONNECTED TO OUR CHALLENGE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ACTIVITY IN THE MATERIAL BANK: MAKE OUR RESEARCH QUESTION OUR OWN</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ACTIVITY IN THE MATERIAL BANK: TWO WAYS TO FIND OUT, AND BEING A FAIR AND SAFE RESEARCHER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ACTIVITY IN THE MATERIAL BANK: DESIGN OUR INTERVIEW AND SURVEY QUESTIONS</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ACTIVITY IN THE MATERIAL BANK: PRACTISE BEING AN INTERVIEWER, AND GET READY TO GO</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ACTIVITY IN THE MATERIAL BANK: WORKING WITH OUR SOURCES</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ACTIVITY IN THE MATERIAL BANK: GO AND GATHER</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ACTIVITY IN THE MATERIAL BANK: CAN WE TRUST IT? WEIGHING OUR SOURCES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ACTIVITY IN THE MATERIAL BANK: SORT AND THEME WHAT WE FOUND</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ACTIVITY IN THE MATERIAL BANK: DIG FOR THE ROOT CAUSE</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ACTIVITY IN THE MATERIAL BANK: WHO, WHAT, AND WHY — LOOKING DEEPER</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ACTIVITY IN THE MATERIAL BANK: FROM FINDINGS TO INSIGHTS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ACTIVITY IN THE MATERIAL BANK: CHOOSE OUR FORMAT AND OUR AUDIENCE</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ACTIVITY IN THE MATERIAL BANK: BUILD OUR RESEARCH OUTPUT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ACTIVITY IN THE MATERIAL BANK: SHARE OUR FINDINGS, AND LOOK BACK</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80" w:line="300"/>
      </w:pPr>
      <w:r>
        <w:rPr>
          <w:sz w:val="22"/>
          <w:szCs w:val="22"/>
        </w:rPr>
        <w:t xml:space="preserve">H. UNHCR. "Rohingya refugees restore depleted forest in Bangladesh." Around 2021 (CONFIRM date).</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Still to add</w:t>
      </w:r>
    </w:p>
    <w:p>
      <w:pPr>
        <w:spacing w:after="140" w:before="0" w:line="300"/>
      </w:pPr>
      <w:r>
        <w:rPr>
          <w:sz w:val="22"/>
          <w:szCs w:val="22"/>
        </w:rPr>
        <w:t xml:space="preserve">The set now spans the credibility range AND the arc of the challenge — the problem (deforestation → landslides, heat), what people are doing about it (planting, and gas instead of firewood: Sources B, C, H, I), and whether it is working (Sources G and J, weighed critically). A named-expert op-ed could still be added for a higher-profile "strong opinion" example. NOTE: two provenance details are flagged for confirmation — Source G's author list and Source H's exact date (both hosts blocked automated checking).</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(CONFIRM date).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print one per learner</w:t>
      </w:r>
    </w:p>
    <w:p>
      <w:pPr>
        <w:spacing w:after="140" w:before="0" w:line="300"/>
      </w:pPr>
      <w:r>
        <w:rPr>
          <w:color w:val="5A6473"/>
          <w:sz w:val="23"/>
          <w:szCs w:val="23"/>
        </w:rPr>
        <w:t xml:space="preserve">Three books, one per component. Print each learner a copy before Week 1, or work from one held-up copy and learners’ own notebooks.</w:t>
      </w:r>
    </w:p>
    <w:p>
      <w:r>
        <w:br w:type="page"/>
      </w:r>
    </w:p>
    <w:p>
      <w:pPr>
        <w:pStyle w:val="Heading2"/>
        <w:keepNext/>
        <w:spacing w:after="100" w:before="280"/>
      </w:pPr>
      <w:r>
        <w:rPr>
          <w:b/>
          <w:bCs/>
          <w:color w:val="7A3B69"/>
          <w:sz w:val="28"/>
          <w:szCs w:val="28"/>
        </w:rPr>
        <w:t xml:space="preserve">7A  Agency in Learning — “My Learning Book”</w:t>
      </w:r>
    </w:p>
    <w:p>
      <w:pPr>
        <w:spacing w:after="140" w:before="0" w:line="300"/>
      </w:pPr>
      <w:r>
        <w:rPr>
          <w:color w:val="5A6473"/>
          <w:sz w:val="22"/>
          <w:szCs w:val="22"/>
        </w:rPr>
        <w:t xml:space="preserve">One visual-first page per activity: the Learner Profile pages, the goal, the plan, and the growth pages. It is the learner’s record of the whole component, and it is where most of your Set and Pursue Goals evidence comes from.</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4"/>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4"/>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4"/>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4"/>
        <w:keepNext/>
        <w:spacing w:after="180" w:before="160"/>
      </w:pPr>
      <w:r>
        <w:rPr>
          <w:b/>
          <w:bCs/>
          <w:color w:val="1F3A5F"/>
          <w:sz w:val="38"/>
          <w:szCs w:val="38"/>
        </w:rPr>
        <w:t xml:space="preserve">What I am good at</w:t>
      </w:r>
    </w:p>
    <w:p>
      <w:pPr>
        <w:spacing w:after="180" w:before="0" w:line="300"/>
      </w:pPr>
      <w:r>
        <w:rPr>
          <w:color w:val="5A6473"/>
          <w:sz w:val="24"/>
          <w:szCs w:val="24"/>
        </w:rPr>
        <w:t xml:space="preserve">Draw or mark what you are good at as a learner.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Good at: remembering stories · helping younger children · fixing things with my hands.</w:t>
            </w:r>
          </w:p>
          <w:p>
            <w:pPr>
              <w:spacing w:after="0" w:before="0" w:line="300"/>
            </w:pPr>
            <w:r>
              <w:rPr>
                <w:sz w:val="21"/>
                <w:szCs w:val="21"/>
              </w:rPr>
              <w:t xml:space="preserve">Want to grow: speaking in front of others · writing my letters.</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4"/>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4"/>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4"/>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STEPS</w:t>
      </w:r>
    </w:p>
    <w:p>
      <w:pPr>
        <w:pStyle w:val="Heading4"/>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4"/>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4"/>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4"/>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4"/>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4"/>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4"/>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4"/>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r>
        <w:br w:type="page"/>
      </w:r>
    </w:p>
    <w:p>
      <w:pPr>
        <w:pStyle w:val="Heading2"/>
        <w:keepNext/>
        <w:spacing w:after="100" w:before="280"/>
      </w:pPr>
      <w:r>
        <w:rPr>
          <w:b/>
          <w:bCs/>
          <w:color w:val="7A3B69"/>
          <w:sz w:val="28"/>
          <w:szCs w:val="28"/>
        </w:rPr>
        <w:t xml:space="preserve">7B  English — the “My Voice book”</w:t>
      </w:r>
    </w:p>
    <w:p>
      <w:pPr>
        <w:spacing w:after="140" w:before="0" w:line="300"/>
      </w:pPr>
      <w:r>
        <w:rPr>
          <w:color w:val="5A6473"/>
          <w:sz w:val="22"/>
          <w:szCs w:val="22"/>
        </w:rPr>
        <w:t xml:space="preserve">One sheet per activity, in unit order: the name pages, the sound and word pages, the sentence frames, the My Name My Voice card, and the "I can…" sheet you mark at the start and again at the end.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4"/>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5"/>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4"/>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00" w:before="280"/>
      </w:pPr>
      <w:r>
        <w:rPr>
          <w:b/>
          <w:bCs/>
          <w:color w:val="7A3B69"/>
          <w:sz w:val="28"/>
          <w:szCs w:val="28"/>
        </w:rPr>
        <w:t xml:space="preserve">7C  Research Project — “Our Research Book”</w:t>
      </w:r>
    </w:p>
    <w:p>
      <w:pPr>
        <w:spacing w:after="140" w:before="0" w:line="300"/>
      </w:pPr>
      <w:r>
        <w:rPr>
          <w:color w:val="5A6473"/>
          <w:sz w:val="22"/>
          <w:szCs w:val="22"/>
        </w:rPr>
        <w:t xml:space="preserve">The source cards learners read (graded B1 and A1/A2 versions), the research word bank, and a page for each step of the investigation.</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3"/>
        <w:keepNext/>
        <w:spacing w:after="140" w:before="320"/>
      </w:pPr>
      <w:r>
        <w:rPr>
          <w:b/>
          <w:bCs/>
          <w:color w:val="1F3A5F"/>
          <w:sz w:val="36"/>
          <w:szCs w:val="36"/>
        </w:rPr>
        <w:t xml:space="preserve">Our sources</w:t>
      </w:r>
    </w:p>
    <w:p>
      <w:pPr>
        <w:pStyle w:val="Heading4"/>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4"/>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4"/>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4"/>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4"/>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4"/>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4"/>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4"/>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4"/>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4"/>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4"/>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4"/>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4"/>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5"/>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5"/>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5"/>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5"/>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5"/>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4"/>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3"/>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3"/>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4"/>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5"/>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5"/>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5"/>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5"/>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4"/>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5"/>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5"/>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5"/>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5"/>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5"/>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5"/>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5"/>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5"/>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4"/>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5"/>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5"/>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5"/>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5"/>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5"/>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3"/>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4"/>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4"/>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4"/>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Assessment records</w:t>
      </w:r>
    </w:p>
    <w:p>
      <w:pPr>
        <w:spacing w:after="140" w:before="0" w:line="300"/>
      </w:pPr>
      <w:r>
        <w:rPr>
          <w:color w:val="5A6473"/>
          <w:sz w:val="23"/>
          <w:szCs w:val="23"/>
        </w:rPr>
        <w:t xml:space="preserve">Two records, one per assessed competency. Make one copy of each per learner, put their name on it, and fill it at Week 6 and again at Week 12.</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0c5c2271445abbbb41422a0b62c67465b85d32b4.png"/><Relationship Id="rId10" Type="http://schemas.openxmlformats.org/officeDocument/2006/relationships/image" Target="media/69324f43ccecd888ad93839b2b426b99a25e05c6.png"/><Relationship Id="rId11" Type="http://schemas.openxmlformats.org/officeDocument/2006/relationships/image" Target="media/60c6178dd0234d9e55be7204ca332e1773219440.png"/><Relationship Id="rId12" Type="http://schemas.openxmlformats.org/officeDocument/2006/relationships/image" Target="media/5722e02942db2cdeb973eb08c910414774804eda.png"/><Relationship Id="rId13" Type="http://schemas.openxmlformats.org/officeDocument/2006/relationships/image" Target="media/ca4503fb9ef8fee1ea36ceb8598d55b59f498801.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2026-08-21T08:53:42.861Z</dcterms:created>
  <dcterms:modified xsi:type="dcterms:W3CDTF">2026-08-21T08:53:42.861Z</dcterms:modified>
</cp:coreProperties>
</file>

<file path=docProps/custom.xml><?xml version="1.0" encoding="utf-8"?>
<Properties xmlns="http://schemas.openxmlformats.org/officeDocument/2006/custom-properties" xmlns:vt="http://schemas.openxmlformats.org/officeDocument/2006/docPropsVTypes"/>
</file>