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6B7280"/>
          <w:sz w:val="16"/>
          <w:szCs w:val="16"/>
        </w:rPr>
        <w:t xml:space="preserve">EDUCATOR MOVE · COURSE FACILITATOR</w:t>
      </w:r>
    </w:p>
    <w:p>
      <w:pPr>
        <w:pStyle w:val="Title"/>
        <w:spacing w:after="80"/>
      </w:pPr>
      <w:r>
        <w:rPr>
          <w:color w:val="1F3A5F"/>
        </w:rPr>
        <w:t xml:space="preserve">Question planner</w:t>
      </w:r>
    </w:p>
    <w:p>
      <w:pPr>
        <w:spacing w:after="110"/>
      </w:pPr>
      <w:r>
        <w:rPr>
          <w:i/>
          <w:iCs/>
          <w:color w:val="6B7280"/>
          <w:sz w:val="21"/>
          <w:szCs w:val="21"/>
        </w:rPr>
        <w:t xml:space="preserve">Plan your key questions in advance — aimed at the learning, short and clear — instead of inventing them on the spot. Plan a few good ones, not a long list.</w:t>
      </w:r>
    </w:p>
    <w:p>
      <w:pPr>
        <w:pStyle w:val="Heading2"/>
        <w:spacing w:after="100" w:before="240"/>
      </w:pPr>
      <w:r>
        <w:rPr>
          <w:color w:val="1F3A5F"/>
        </w:rPr>
        <w:t xml:space="preserve">How to use it</w:t>
      </w:r>
    </w:p>
    <w:p>
      <w:pPr>
        <w:spacing w:after="110"/>
      </w:pPr>
      <w:r>
        <w:rPr>
          <w:sz w:val="21"/>
          <w:szCs w:val="21"/>
        </w:rPr>
        <w:t xml:space="preserve">•  Tie each question to the learning intention, not just the activity.</w:t>
      </w:r>
    </w:p>
    <w:p>
      <w:pPr>
        <w:spacing w:after="110"/>
      </w:pPr>
      <w:r>
        <w:rPr>
          <w:sz w:val="21"/>
          <w:szCs w:val="21"/>
        </w:rPr>
        <w:t xml:space="preserve">•  Keep them short and clear enough to understand at once.</w:t>
      </w:r>
    </w:p>
    <w:p>
      <w:pPr>
        <w:spacing w:after="110"/>
      </w:pPr>
      <w:r>
        <w:rPr>
          <w:sz w:val="21"/>
          <w:szCs w:val="21"/>
        </w:rPr>
        <w:t xml:space="preserve">•  Plan how you'll follow up — and how you'll bring in more than the confident few.</w:t>
      </w:r>
    </w:p>
    <w:p>
      <w:pPr>
        <w:spacing w:after="110"/>
      </w:pPr>
      <w:r>
        <w:rPr>
          <w:sz w:val="21"/>
          <w:szCs w:val="21"/>
        </w:rPr>
        <w:t xml:space="preserve">•  Interpret answers: a wrong one shows you where to teach next.</w:t>
      </w:r>
    </w:p>
    <w:p>
      <w:pPr>
        <w:pStyle w:val="Heading2"/>
        <w:spacing w:after="100" w:before="240"/>
      </w:pPr>
      <w:r>
        <w:rPr>
          <w:color w:val="1F3A5F"/>
        </w:rPr>
        <w:t xml:space="preserve">My questions for this session</w:t>
      </w:r>
    </w:p>
    <w:tbl>
      <w:tblPr>
        <w:tblW w:type="dxa" w:w="9360"/>
        <w:tblBorders>
          <w:top w:val="single" w:color="C7CED6" w:sz="4"/>
          <w:left w:val="single" w:color="C7CED6" w:sz="4"/>
          <w:bottom w:val="single" w:color="C7CED6" w:sz="4"/>
          <w:right w:val="single" w:color="C7CED6" w:sz="4"/>
          <w:insideH w:val="single" w:color="C7CED6" w:sz="4"/>
          <w:insideV w:val="single" w:color="C7CED6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Key question</w:t>
            </w:r>
          </w:p>
        </w:tc>
        <w:tc>
          <w:tcPr>
            <w:tcW w:type="dxa" w:w="312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What a good answer reveals</w:t>
            </w:r>
          </w:p>
        </w:tc>
        <w:tc>
          <w:tcPr>
            <w:tcW w:type="dxa" w:w="3120"/>
            <w:shd w:fill="EEF2F7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/>
                <w:bCs/>
                <w:i w:val="false"/>
                <w:iCs w:val="false"/>
                <w:color w:val="1F3A5F"/>
                <w:sz w:val="20"/>
                <w:szCs w:val="20"/>
              </w:rPr>
              <w:t xml:space="preserve">Follow-up / who I'll ask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Why might this source not be reliable?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They can weigh evidence, not just accept it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'What would make it more reliable?'; no-hands-up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  <w:tc>
          <w:tcPr>
            <w:tcW w:type="dxa" w:w="3120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r>
              <w:rPr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</w:t>
            </w:r>
          </w:p>
        </w:tc>
      </w:tr>
    </w:tbl>
    <w:p>
      <w:pPr>
        <w:spacing w:after="110"/>
      </w:pPr>
      <w:r>
        <w:rPr>
          <w:color w:val="6B7280"/>
          <w:sz w:val="16"/>
          <w:szCs w:val="16"/>
        </w:rPr>
        <w:t xml:space="preserve">Amala Education — CC BY-NC-SA 4.0. Reusable across any subject or programme.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Question planner</dc:title>
  <dc:creator>Amala Curriculum</dc:creator>
  <cp:lastModifiedBy>Un-named</cp:lastModifiedBy>
  <cp:revision>1</cp:revision>
  <dcterms:created xsi:type="dcterms:W3CDTF">2026-08-04T09:44:39.167Z</dcterms:created>
  <dcterms:modified xsi:type="dcterms:W3CDTF">2026-08-04T09:44:39.167Z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