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B7280"/>
          <w:sz w:val="16"/>
          <w:szCs w:val="16"/>
        </w:rPr>
        <w:t xml:space="preserve">EDUCATOR MOVE · MENTOR</w:t>
      </w:r>
    </w:p>
    <w:p>
      <w:pPr>
        <w:pStyle w:val="Title"/>
        <w:spacing w:after="80"/>
      </w:pPr>
      <w:r>
        <w:rPr>
          <w:color w:val="1F3A5F"/>
        </w:rPr>
        <w:t xml:space="preserve">Anecdote log</w:t>
      </w:r>
    </w:p>
    <w:p>
      <w:pPr>
        <w:spacing w:after="110"/>
      </w:pPr>
      <w:r>
        <w:rPr>
          <w:i/>
          <w:iCs/>
          <w:color w:val="6B7280"/>
          <w:sz w:val="21"/>
          <w:szCs w:val="21"/>
        </w:rPr>
        <w:t xml:space="preserve">A running record of the small, telling moments that show who a mentee is — so references and evidence write themselves later. Add a line whenever you notice something; be specific.</w:t>
      </w:r>
    </w:p>
    <w:p>
      <w:pPr>
        <w:pStyle w:val="Heading2"/>
        <w:spacing w:after="100" w:before="240"/>
      </w:pPr>
      <w:r>
        <w:rPr>
          <w:color w:val="1F3A5F"/>
        </w:rPr>
        <w:t xml:space="preserve">How to use it</w:t>
      </w:r>
    </w:p>
    <w:p>
      <w:pPr>
        <w:spacing w:after="110"/>
      </w:pPr>
      <w:r>
        <w:rPr>
          <w:sz w:val="21"/>
          <w:szCs w:val="21"/>
        </w:rPr>
        <w:t xml:space="preserve">•  Capture in the moment, not from memory weeks later.</w:t>
      </w:r>
    </w:p>
    <w:p>
      <w:pPr>
        <w:spacing w:after="110"/>
      </w:pPr>
      <w:r>
        <w:rPr>
          <w:sz w:val="21"/>
          <w:szCs w:val="21"/>
        </w:rPr>
        <w:t xml:space="preserve">•  Be specific and factual: what actually happened, in enough detail to use.</w:t>
      </w:r>
    </w:p>
    <w:p>
      <w:pPr>
        <w:spacing w:after="110"/>
      </w:pPr>
      <w:r>
        <w:rPr>
          <w:sz w:val="21"/>
          <w:szCs w:val="21"/>
        </w:rPr>
        <w:t xml:space="preserve">•  Note what it shows — a competency, a strength, a piece of growth.</w:t>
      </w:r>
    </w:p>
    <w:p>
      <w:pPr>
        <w:spacing w:after="110"/>
      </w:pPr>
      <w:r>
        <w:rPr>
          <w:sz w:val="21"/>
          <w:szCs w:val="21"/>
        </w:rPr>
        <w:t xml:space="preserve">•  Draw on it for references, recommendations and competency evidence.</w:t>
      </w:r>
    </w:p>
    <w:p>
      <w:pPr>
        <w:pStyle w:val="Heading2"/>
        <w:spacing w:after="100" w:before="240"/>
      </w:pPr>
      <w:r>
        <w:rPr>
          <w:color w:val="1F3A5F"/>
        </w:rPr>
        <w:t xml:space="preserve">The log</w:t>
      </w:r>
    </w:p>
    <w:tbl>
      <w:tblPr>
        <w:tblW w:type="dxa" w:w="936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C7CED6" w:sz="4"/>
          <w:insideV w:val="single" w:color="C7CED6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What happened (specific)</w:t>
            </w:r>
          </w:p>
        </w:tc>
        <w:tc>
          <w:tcPr>
            <w:tcW w:type="dxa" w:w="234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34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12 Mar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When the group stalled on the survey, she reorganised the tasks and got everyone moving again.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Leadership; empowering others to lead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Reference; ALC evidence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23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10"/>
      </w:pPr>
      <w:r>
        <w:rPr>
          <w:color w:val="6B7280"/>
          <w:sz w:val="16"/>
          <w:szCs w:val="16"/>
        </w:rPr>
        <w:t xml:space="preserve">Amala Education — CC BY-NC-SA 4.0. Reusable across any subject or programme.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Anecdote log</dc:title>
  <dc:creator>Amala Curriculum</dc:creator>
  <cp:lastModifiedBy>Un-named</cp:lastModifiedBy>
  <cp:revision>1</cp:revision>
  <dcterms:created xsi:type="dcterms:W3CDTF">2026-08-04T09:44:39.151Z</dcterms:created>
  <dcterms:modified xsi:type="dcterms:W3CDTF">2026-08-04T09:44:39.151Z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