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The two assessment records - one copy per learner, per assessed competency.</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Copy before Week 1; fill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assessment record (FSL2)</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assessment record (FSI1)</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9C here.</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with Amala  →  Weeks 7–11 learn  →  Week 12 final judgement, then Amala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Weighing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Weighing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A shape that works, if you want one</w:t>
      </w:r>
    </w:p>
    <w:p>
      <w:pPr>
        <w:spacing w:after="140" w:before="0" w:line="300"/>
      </w:pPr>
      <w:r>
        <w:rPr>
          <w:sz w:val="22"/>
          <w:szCs w:val="22"/>
        </w:rPr>
        <w:t xml:space="preserve">This is a suggestion, not a timetable. You know your group, your space and how long your learners can sit, so change it freely.</w:t>
      </w:r>
    </w:p>
    <w:p>
      <w:pPr>
        <w:pStyle w:val="ListParagraph"/>
        <w:numPr>
          <w:ilvl w:val="0"/>
          <w:numId w:val="1"/>
        </w:numPr>
        <w:spacing w:after="80" w:line="300"/>
      </w:pPr>
      <w:r>
        <w:rPr>
          <w:sz w:val="22"/>
          <w:szCs w:val="22"/>
        </w:rPr>
        <w:t xml:space="preserve">Group research presentations, about 10 minutes each. Each group shows what they found about</w:t>
      </w:r>
    </w:p>
    <w:p>
      <w:pPr>
        <w:spacing w:after="140" w:before="0" w:line="300"/>
      </w:pPr>
      <w:r>
        <w:rPr>
          <w:sz w:val="22"/>
          <w:szCs w:val="22"/>
        </w:rPr>
        <w:t xml:space="preserve">the hills and what they think it means, and takes a question or two.</w:t>
      </w:r>
    </w:p>
    <w:p>
      <w:pPr>
        <w:pStyle w:val="ListParagraph"/>
        <w:numPr>
          <w:ilvl w:val="0"/>
          <w:numId w:val="1"/>
        </w:numPr>
        <w:spacing w:after="80" w:line="300"/>
      </w:pPr>
      <w:r>
        <w:rPr>
          <w:sz w:val="22"/>
          <w:szCs w:val="22"/>
        </w:rPr>
        <w:t xml:space="preserve">Individual presentations, about 5 minutes each. The learner opens with their "My Name, My</w:t>
      </w:r>
    </w:p>
    <w:p>
      <w:pPr>
        <w:spacing w:after="140" w:before="0" w:line="300"/>
      </w:pPr>
      <w:r>
        <w:rPr>
          <w:sz w:val="22"/>
          <w:szCs w:val="22"/>
        </w:rPr>
        <w:t xml:space="preserve">Voice" card, which is how they introduce themselves, then says one way they have grown.</w:t>
      </w:r>
    </w:p>
    <w:p>
      <w:pPr>
        <w:spacing w:after="140" w:before="0" w:line="300"/>
      </w:pPr>
      <w:r>
        <w:rPr>
          <w:sz w:val="22"/>
          <w:szCs w:val="22"/>
        </w:rPr>
        <w:t xml:space="preserve">Two practical notes. With a large cohort, five minutes each adds up fast: twenty learners is over an hour and a half of individual turns on top of the group ones. Split into parallel groups in different corners, or let some learners show their card to their own guest rather than to the whole room. Both count fully.</w:t>
      </w:r>
    </w:p>
    <w:p>
      <w:pPr>
        <w:spacing w:after="140" w:before="0" w:line="300"/>
      </w:pPr>
      <w:r>
        <w:rPr>
          <w:sz w:val="22"/>
          <w:szCs w:val="22"/>
        </w:rPr>
        <w:t xml:space="preserve">And keep the individual slot genuinely optional in shape: presenting to a small group, or to a partner and the person they invited, is a full success. Nobody is required to stand in front of everyone.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Invite community figures as well, and do this yourself. The learners' own guests are the part</w:t>
      </w:r>
    </w:p>
    <w:p>
      <w:pPr>
        <w:spacing w:after="140" w:before="0" w:line="300"/>
      </w:pPr>
      <w:r>
        <w:rPr>
          <w:sz w:val="22"/>
          <w:szCs w:val="22"/>
        </w:rPr>
        <w:t xml:space="preserve">that matters most to them, but the audience should not be only families. Ask your coordinator about inviting camp committee members, majhis, imams, teachers from the learning facilities, NRC staff, and anyone working on the hills the research is about. Two reasons: the research is about a shared problem and the people who could act on it should hear it, and a young person presenting to someone who matters in the community is recognised in a way a family audience alone cannot manage. Clear the guest list with your coordinator against NRC's Code of Conduct before anyone is invited.</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marked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Assessment records copied, one per learner (Part 9), with learners’ names on them.</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the mentor moves on the Educators pages;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You are judging the COMPETENCY, not the component: has this learner demonstrated it, and at what proficiency? That judgement is yours, made across varied evidence gathered as you teach, and never from a single test.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Which component is built to develop it</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 Record in Part 9A.</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 Record in Part 9B.</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EVIDENCE CAN COME FROM ANYWHERE</w:t>
            </w:r>
          </w:p>
          <w:p>
            <w:pPr>
              <w:spacing w:after="90" w:before="0" w:line="300"/>
            </w:pPr>
            <w:r>
              <w:rPr>
                <w:sz w:val="21"/>
                <w:szCs w:val="21"/>
              </w:rPr>
              <w:t xml:space="preserve">Each component is built to develop one of the two competencies, but the evidence for a judgement is not confined to it. A learner may show Set and Pursue Goals in how they organised their part of the research, or in a mentoring conversation, or in something they did at home. A learner may show Investigate Real World Issues in a question they asked in an English session.</w:t>
            </w:r>
          </w:p>
          <w:p>
            <w:pPr>
              <w:spacing w:after="90" w:before="0" w:line="300"/>
            </w:pPr>
            <w:r>
              <w:rPr>
                <w:sz w:val="21"/>
                <w:szCs w:val="21"/>
              </w:rPr>
              <w:t xml:space="preserve">So collect it wherever you see it. If you only look inside the matching component, you will miss evidence, and you will most often miss it for the learners whose strongest work is spoken.</w:t>
            </w:r>
          </w:p>
          <w:p>
            <w:pPr>
              <w:spacing w:after="0" w:before="0" w:line="300"/>
            </w:pPr>
            <w:r>
              <w:rPr>
                <w:sz w:val="21"/>
                <w:szCs w:val="21"/>
              </w:rPr>
              <w:t xml:space="preserve">The two judgement points are Week 6 and Week 12. That is when you sit with the proficiency scale for that competency and decide where the learner sits on it. Everything before that is collecting.</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You do this with Amala’s support and calibration - it is a checkpoint and a rehearsal, not the final grade. Use what it surfaces: which learners you have thin evidence on, where your judgement felt uncertain,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weighing,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Amala then moderates a sample - reviewing judgements against the evidence - to confirm they are consistent and fair before the readiness decision is confirmed.</w:t>
      </w:r>
    </w:p>
    <w:p>
      <w:pPr>
        <w:spacing w:after="140" w:before="0" w:line="300"/>
      </w:pPr>
      <w:r>
        <w:rPr>
          <w:sz w:val="22"/>
          <w:szCs w:val="22"/>
        </w:rPr>
        <w:t xml:space="preserve">Fill the record in Part 9 at both points. 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The scale, and the grade it produces</w:t>
      </w:r>
    </w:p>
    <w:p>
      <w:pPr>
        <w:spacing w:after="140" w:before="0" w:line="300"/>
      </w:pPr>
      <w:r>
        <w:rPr>
          <w:sz w:val="22"/>
          <w:szCs w:val="22"/>
        </w:rPr>
        <w:t xml:space="preserve">One ladder, read against the goal each competency names. Credit begins at Practitioner, which is also the readiness bar for the accredited secondary pathway. Expert needs two or more genuinely different scenarios, so it rarely comes from one component alone.</w:t>
      </w:r>
    </w:p>
    <w:p>
      <w:pPr>
        <w:spacing w:after="140" w:before="0" w:line="300"/>
      </w:pPr>
      <w:r>
        <w:rPr>
          <w:color w:val="5A6473"/>
          <w:sz w:val="21"/>
          <w:szCs w:val="21"/>
        </w:rPr>
        <w:t xml:space="preserve">Below is the ladder with its right-hand column read for Set and Pursue Goals. The same ladder, read for Investigate Real World Issues, is on the Research Project record in Part 9B.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pStyle w:val="Heading3"/>
        <w:keepNext/>
        <w:spacing w:after="80" w:before="220"/>
      </w:pPr>
      <w:r>
        <w:rPr>
          <w:b/>
          <w:bCs/>
          <w:color w:val="1F3A5F"/>
          <w:sz w:val="24"/>
          <w:szCs w:val="24"/>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pPr>
        <w:pStyle w:val="Heading2"/>
        <w:keepNext/>
        <w:spacing w:after="100" w:before="280"/>
      </w:pPr>
      <w:r>
        <w:rPr>
          <w:b/>
          <w:bCs/>
          <w:color w:val="7A3B69"/>
          <w:sz w:val="28"/>
          <w:szCs w:val="28"/>
        </w:rPr>
        <w:t xml:space="preserve">3.5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marks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the top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and record both on the FSL2 assessment record:</w:t>
      </w:r>
    </w:p>
    <w:p>
      <w:pPr>
        <w:pStyle w:val="ListParagraph"/>
        <w:numPr>
          <w:ilvl w:val="0"/>
          <w:numId w:val="1"/>
        </w:numPr>
        <w:spacing w:after="80" w:line="300"/>
      </w:pPr>
      <w:r>
        <w:rPr>
          <w:sz w:val="22"/>
          <w:szCs w:val="22"/>
        </w:rPr>
        <w:t xml:space="preserve">Week 6, supported (formative) - a first, provisional judgement, made with Amala's support and</w:t>
      </w:r>
    </w:p>
    <w:p>
      <w:pPr>
        <w:spacing w:after="140" w:before="0" w:line="300"/>
      </w:pPr>
      <w:r>
        <w:rPr>
          <w:sz w:val="22"/>
          <w:szCs w:val="22"/>
        </w:rPr>
        <w:t xml:space="preserve">calibration. A checkpoint and a rehearsal.</w:t>
      </w:r>
    </w:p>
    <w:p>
      <w:pPr>
        <w:pStyle w:val="ListParagraph"/>
        <w:numPr>
          <w:ilvl w:val="0"/>
          <w:numId w:val="1"/>
        </w:numPr>
        <w:spacing w:after="80" w:line="300"/>
      </w:pPr>
      <w:r>
        <w:rPr>
          <w:sz w:val="22"/>
          <w:szCs w:val="22"/>
        </w:rPr>
        <w:t xml:space="preserve">Week 12, final (summative) - the judgement that informs the readiness decision, and that Amala</w:t>
      </w:r>
    </w:p>
    <w:p>
      <w:pPr>
        <w:spacing w:after="140" w:before="0" w:line="300"/>
      </w:pPr>
      <w:r>
        <w:rPr>
          <w:sz w:val="22"/>
          <w:szCs w:val="22"/>
        </w:rPr>
        <w:t xml:space="preserve">moderates a sample of.</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"can say what goal they would set and what steps they would take, and why, but has not acted on it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"attempted, with a clear rationale". A learner</w:t>
      </w:r>
    </w:p>
    <w:p>
      <w:pPr>
        <w:spacing w:after="140" w:before="0" w:line="300"/>
      </w:pPr>
      <w:r>
        <w:rPr>
          <w:sz w:val="22"/>
          <w:szCs w:val="22"/>
        </w:rPr>
        <w:t xml:space="preserve">who set a real goal, took real steps, and did not get there is a Practitioner.</w:t>
      </w:r>
    </w:p>
    <w:p>
      <w:pPr>
        <w:pStyle w:val="ListParagraph"/>
        <w:numPr>
          <w:ilvl w:val="0"/>
          <w:numId w:val="1"/>
        </w:numPr>
        <w:spacing w:after="80" w:line="300"/>
      </w:pPr>
      <w:r>
        <w:rPr>
          <w:sz w:val="22"/>
          <w:szCs w:val="22"/>
        </w:rPr>
        <w:t xml:space="preserve">Expert rarely comes from this component alone - it needs two genuinely different scenarios. A</w:t>
      </w:r>
    </w:p>
    <w:p>
      <w:pPr>
        <w:spacing w:after="140" w:before="0" w:line="300"/>
      </w:pPr>
      <w:r>
        <w:rPr>
          <w:sz w:val="22"/>
          <w:szCs w:val="22"/>
        </w:rPr>
        <w:t xml:space="preserve">learner who set a second goal and carried through an improvement from the first can reach it.</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printable record, with the scale and the "in this component" reading of each level, is in Part 9A.</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may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may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may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"may I…", "how do you say…?", each with a gesture (a circling hand for again, open hands for I don't understand, a raised hand for may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7,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8,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9,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10,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weigh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weighing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(a real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marks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the bottom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weighing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only THINK"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weigh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weigh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weighing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real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real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weighs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weigh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Weighing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weight each piece can bear.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weight can this piece bear?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grandmother every time. Sometimes right, often not. The grandmother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weighing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weighed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Weigh the sources in the pack - some strong, one weak - and say which can carry more weight.</w:t>
      </w:r>
    </w:p>
    <w:p>
      <w:pPr>
        <w:pStyle w:val="ListParagraph"/>
        <w:numPr>
          <w:ilvl w:val="0"/>
          <w:numId w:val="1"/>
        </w:numPr>
        <w:spacing w:after="80" w:line="300"/>
      </w:pPr>
      <w:r>
        <w:rPr>
          <w:sz w:val="22"/>
          <w:szCs w:val="22"/>
        </w:rPr>
        <w:t xml:space="preserve">Weigh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weight each piece of evidence can bear.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WEIGHED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much weight a piece of evidence can carry,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weigh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weigh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Weigh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Weigh our own evidence too  (30 min)</w:t>
      </w:r>
    </w:p>
    <w:p>
      <w:pPr>
        <w:spacing w:after="140" w:before="0" w:line="300"/>
      </w:pPr>
      <w:r>
        <w:rPr>
          <w:sz w:val="22"/>
          <w:szCs w:val="22"/>
        </w:rPr>
        <w:t xml:space="preserve">Turn to the primary evidence the group gathered. Weigh it the same way, using general examples: one person's strong opinion is not the same as a pattern many people described; something we saw with our own eyes on the hills carries real weight. Keep it general and warm - we are weighing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weight each piece can bear  (15 min)</w:t>
      </w:r>
    </w:p>
    <w:p>
      <w:pPr>
        <w:spacing w:after="140" w:before="0" w:line="300"/>
      </w:pPr>
      <w:r>
        <w:rPr>
          <w:sz w:val="22"/>
          <w:szCs w:val="22"/>
        </w:rPr>
        <w:t xml:space="preserve">Learners go back to their evidence log and, on the "can we trust it?" sheet, mark for each piece how much weight it can bear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weighed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mark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mark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Weighs the evidence - checks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proficiency scale</w:t>
      </w:r>
    </w:p>
    <w:p>
      <w:pPr>
        <w:spacing w:after="140" w:before="0" w:line="300"/>
      </w:pPr>
      <w:r>
        <w:rPr>
          <w:sz w:val="22"/>
          <w:szCs w:val="22"/>
        </w:rPr>
        <w:t xml:space="preserve">Use Amala's official proficiency scale (the Competency Framework and Proficiency Scale for the cohort year). It is one generic five-level ladder, applied to any competency by reading each level against the goal that competency names - here, conducting primary and secondary research into challenges affecting people and the planet to develop actionable insights. Credit begins at Practitioner.</w:t>
      </w:r>
    </w:p>
    <w:p>
      <w:pPr>
        <w:pStyle w:val="ListParagraph"/>
        <w:numPr>
          <w:ilvl w:val="0"/>
          <w:numId w:val="1"/>
        </w:numPr>
        <w:spacing w:after="80" w:line="300"/>
      </w:pPr>
      <w:r>
        <w:rPr>
          <w:sz w:val="22"/>
          <w:szCs w:val="22"/>
        </w:rPr>
        <w:t xml:space="preserve">No Level Awarded (GPA 0.0, no credit). Does not have a rationale for what they would do to achieve</w:t>
      </w:r>
    </w:p>
    <w:p>
      <w:pPr>
        <w:spacing w:after="140" w:before="0" w:line="300"/>
      </w:pPr>
      <w:r>
        <w:rPr>
          <w:sz w:val="22"/>
          <w:szCs w:val="22"/>
        </w:rPr>
        <w:t xml:space="preserve">the goal in at least one scenario. Here: cannot say what they would try to find out about the issue, or how they would find it out, and why.</w:t>
      </w:r>
    </w:p>
    <w:p>
      <w:pPr>
        <w:pStyle w:val="ListParagraph"/>
        <w:numPr>
          <w:ilvl w:val="0"/>
          <w:numId w:val="1"/>
        </w:numPr>
        <w:spacing w:after="80" w:line="300"/>
      </w:pPr>
      <w:r>
        <w:rPr>
          <w:sz w:val="22"/>
          <w:szCs w:val="22"/>
        </w:rPr>
        <w:t xml:space="preserve">Theorist (GPA 2.0, no credit). Has a rationale for what they would do to achieve the goal in at</w:t>
      </w:r>
    </w:p>
    <w:p>
      <w:pPr>
        <w:spacing w:after="140" w:before="0" w:line="300"/>
      </w:pPr>
      <w:r>
        <w:rPr>
          <w:sz w:val="22"/>
          <w:szCs w:val="22"/>
        </w:rPr>
        <w:t xml:space="preserve">least one scenario. Here: can say what they want to find out, who they would ask and what they would read to find it out, and why that would tell them something - but has not acted on it.</w:t>
      </w:r>
    </w:p>
    <w:p>
      <w:pPr>
        <w:pStyle w:val="ListParagraph"/>
        <w:numPr>
          <w:ilvl w:val="0"/>
          <w:numId w:val="1"/>
        </w:numPr>
        <w:spacing w:after="80" w:line="300"/>
      </w:pPr>
      <w:r>
        <w:rPr>
          <w:sz w:val="22"/>
          <w:szCs w:val="22"/>
        </w:rPr>
        <w:t xml:space="preserve">Practitioner (GPA 3.0, credit awarded). Has attempted to achieve the goal in at least one scenario</w:t>
      </w:r>
    </w:p>
    <w:p>
      <w:pPr>
        <w:spacing w:after="140" w:before="0" w:line="300"/>
      </w:pPr>
      <w:r>
        <w:rPr>
          <w:sz w:val="22"/>
          <w:szCs w:val="22"/>
        </w:rPr>
        <w:t xml:space="preserve">and has a clear rationale for their actions. Here: actually investigated - asked and looked (primary) and used the source pack (secondary) - with reasons for how they went about it, even if the research has not yet developed into an actionable insight.</w:t>
      </w:r>
    </w:p>
    <w:p>
      <w:pPr>
        <w:pStyle w:val="ListParagraph"/>
        <w:numPr>
          <w:ilvl w:val="0"/>
          <w:numId w:val="1"/>
        </w:numPr>
        <w:spacing w:after="80" w:line="300"/>
      </w:pPr>
      <w:r>
        <w:rPr>
          <w:sz w:val="22"/>
          <w:szCs w:val="22"/>
        </w:rPr>
        <w:t xml:space="preserve">Reflective Practitioner (GPA 3.5). Has achieved the goal in at least one scenario with a clear</w:t>
      </w:r>
    </w:p>
    <w:p>
      <w:pPr>
        <w:spacing w:after="140" w:before="0" w:line="300"/>
      </w:pPr>
      <w:r>
        <w:rPr>
          <w:sz w:val="22"/>
          <w:szCs w:val="22"/>
        </w:rPr>
        <w:t xml:space="preserve">rationale, and has identified strengths, weaknesses and improvements they would make in their approach in that scenario, supporting their claims with evidence. Here: the research reached an insight they can point to the evidence for and communicate, and they can say what worked in how they investigated, what did not, and what they would do differently, with evidence for those claims.</w:t>
      </w:r>
    </w:p>
    <w:p>
      <w:pPr>
        <w:pStyle w:val="ListParagraph"/>
        <w:numPr>
          <w:ilvl w:val="0"/>
          <w:numId w:val="1"/>
        </w:numPr>
        <w:spacing w:after="80" w:line="300"/>
      </w:pPr>
      <w:r>
        <w:rPr>
          <w:sz w:val="22"/>
          <w:szCs w:val="22"/>
        </w:rPr>
        <w:t xml:space="preserve">Expert Practitioner (GPA 4.0). Has achieved the goal in two or more scenarios with a clear</w:t>
      </w:r>
    </w:p>
    <w:p>
      <w:pPr>
        <w:spacing w:after="140" w:before="0" w:line="300"/>
      </w:pPr>
      <w:r>
        <w:rPr>
          <w:sz w:val="22"/>
          <w:szCs w:val="22"/>
        </w:rPr>
        <w:t xml:space="preserve">rationale, has identified strengths, weaknesses and improvements across those scenarios with evidence, and has implemented improvements, demonstrating growth over time. Here: a second, distinct investigation in which they carried through an improvement identified in the first.</w:t>
      </w:r>
    </w:p>
    <w:p>
      <w:pPr>
        <w:spacing w:after="140" w:before="0" w:line="300"/>
      </w:pPr>
      <w:r>
        <w:rPr>
          <w:sz w:val="22"/>
          <w:szCs w:val="22"/>
        </w:rPr>
        <w:t xml:space="preserve">Two things to hold on to. Credit turns on an attempt, not on a polished plan: a learner who talks fluently about how they would research but never gathers anything is a Theorist, however good the plan. And Expert requires two or more genuinely different scenarios - this component runs one shared challenge, so a second scenario normally comes from elsewhere in the learner's work, not from repeating the same investigation. Expect most learners to sit at Practitioner or Reflective Practitioner at the end of this component.</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printable assessment record (a copy per learner) to record, at each point, the level the learner sits at and one or two lines of evidence for why. At the midway point this is developmental - a provisional judgement, made with Amala's support and calibration,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 or higher.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weighing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weighing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weigh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weighed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much weight it can bear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weighed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1F3A5F"/>
                <w:sz w:val="56"/>
                <w:szCs w:val="56"/>
              </w:rPr>
              <w:t xml:space="preserve">A a</w:t>
            </w:r>
          </w:p>
        </w:tc>
        <w:tc>
          <w:tcPr>
            <w:tcW w:type="dxa" w:w="2267"/>
            <w:vAlign w:val="center"/>
          </w:tcPr>
          <w:p>
            <w:pPr>
              <w:jc w:val="center"/>
            </w:pPr>
            <w:r>
              <w:rPr>
                <w:b/>
                <w:bCs/>
                <w:color w:val="1F3A5F"/>
                <w:sz w:val="56"/>
                <w:szCs w:val="56"/>
              </w:rPr>
              <w:t xml:space="preserve">B b</w:t>
            </w:r>
          </w:p>
        </w:tc>
        <w:tc>
          <w:tcPr>
            <w:tcW w:type="dxa" w:w="2267"/>
            <w:vAlign w:val="center"/>
          </w:tcPr>
          <w:p>
            <w:pPr>
              <w:jc w:val="center"/>
            </w:pPr>
            <w:r>
              <w:rPr>
                <w:b/>
                <w:bCs/>
                <w:color w:val="1F3A5F"/>
                <w:sz w:val="56"/>
                <w:szCs w:val="56"/>
              </w:rPr>
              <w:t xml:space="preserve">C c</w:t>
            </w:r>
          </w:p>
        </w:tc>
        <w:tc>
          <w:tcPr>
            <w:tcW w:type="dxa" w:w="2267"/>
            <w:vAlign w:val="center"/>
          </w:tcPr>
          <w:p>
            <w:pPr>
              <w:jc w:val="center"/>
            </w:pPr>
            <w:r>
              <w:rPr>
                <w:b/>
                <w:bCs/>
                <w:color w:val="1F3A5F"/>
                <w:sz w:val="56"/>
                <w:szCs w:val="56"/>
              </w:rPr>
              <w:t xml:space="preserve">D d</w:t>
            </w:r>
          </w:p>
        </w:tc>
      </w:tr>
      <w:tr>
        <w:trPr>
          <w:trHeight w:val="1500" w:hRule="atLeast"/>
        </w:trPr>
        <w:tc>
          <w:tcPr>
            <w:tcW w:type="dxa" w:w="2267"/>
            <w:vAlign w:val="center"/>
          </w:tcPr>
          <w:p>
            <w:pPr>
              <w:jc w:val="center"/>
            </w:pPr>
            <w:r>
              <w:rPr>
                <w:b/>
                <w:bCs/>
                <w:color w:val="1F3A5F"/>
                <w:sz w:val="56"/>
                <w:szCs w:val="56"/>
              </w:rPr>
              <w:t xml:space="preserve">E e</w:t>
            </w:r>
          </w:p>
        </w:tc>
        <w:tc>
          <w:tcPr>
            <w:tcW w:type="dxa" w:w="2267"/>
            <w:vAlign w:val="center"/>
          </w:tcPr>
          <w:p>
            <w:pPr>
              <w:jc w:val="center"/>
            </w:pPr>
            <w:r>
              <w:rPr>
                <w:b/>
                <w:bCs/>
                <w:color w:val="1F3A5F"/>
                <w:sz w:val="56"/>
                <w:szCs w:val="56"/>
              </w:rPr>
              <w:t xml:space="preserve">F f</w:t>
            </w:r>
          </w:p>
        </w:tc>
        <w:tc>
          <w:tcPr>
            <w:tcW w:type="dxa" w:w="2267"/>
            <w:vAlign w:val="center"/>
          </w:tcPr>
          <w:p>
            <w:pPr>
              <w:jc w:val="center"/>
            </w:pPr>
            <w:r>
              <w:rPr>
                <w:b/>
                <w:bCs/>
                <w:color w:val="1F3A5F"/>
                <w:sz w:val="56"/>
                <w:szCs w:val="56"/>
              </w:rPr>
              <w:t xml:space="preserve">G g</w:t>
            </w:r>
          </w:p>
        </w:tc>
        <w:tc>
          <w:tcPr>
            <w:tcW w:type="dxa" w:w="2267"/>
            <w:vAlign w:val="center"/>
          </w:tcPr>
          <w:p>
            <w:pPr>
              <w:jc w:val="center"/>
            </w:pPr>
            <w:r>
              <w:rPr>
                <w:b/>
                <w:bCs/>
                <w:color w:val="1F3A5F"/>
                <w:sz w:val="56"/>
                <w:szCs w:val="56"/>
              </w:rPr>
              <w:t xml:space="preserve">H h</w:t>
            </w:r>
          </w:p>
        </w:tc>
      </w:tr>
      <w:tr>
        <w:trPr>
          <w:trHeight w:val="1500" w:hRule="atLeast"/>
        </w:trPr>
        <w:tc>
          <w:tcPr>
            <w:tcW w:type="dxa" w:w="2267"/>
            <w:vAlign w:val="center"/>
          </w:tcPr>
          <w:p>
            <w:pPr>
              <w:jc w:val="center"/>
            </w:pPr>
            <w:r>
              <w:rPr>
                <w:b/>
                <w:bCs/>
                <w:color w:val="1F3A5F"/>
                <w:sz w:val="56"/>
                <w:szCs w:val="56"/>
              </w:rPr>
              <w:t xml:space="preserve">I i</w:t>
            </w:r>
          </w:p>
        </w:tc>
        <w:tc>
          <w:tcPr>
            <w:tcW w:type="dxa" w:w="2267"/>
            <w:vAlign w:val="center"/>
          </w:tcPr>
          <w:p>
            <w:pPr>
              <w:jc w:val="center"/>
            </w:pPr>
            <w:r>
              <w:rPr>
                <w:b/>
                <w:bCs/>
                <w:color w:val="1F3A5F"/>
                <w:sz w:val="56"/>
                <w:szCs w:val="56"/>
              </w:rPr>
              <w:t xml:space="preserve">J j</w:t>
            </w:r>
          </w:p>
        </w:tc>
        <w:tc>
          <w:tcPr>
            <w:tcW w:type="dxa" w:w="2267"/>
            <w:vAlign w:val="center"/>
          </w:tcPr>
          <w:p>
            <w:pPr>
              <w:jc w:val="center"/>
            </w:pPr>
            <w:r>
              <w:rPr>
                <w:b/>
                <w:bCs/>
                <w:color w:val="1F3A5F"/>
                <w:sz w:val="56"/>
                <w:szCs w:val="56"/>
              </w:rPr>
              <w:t xml:space="preserve">K k</w:t>
            </w:r>
          </w:p>
        </w:tc>
        <w:tc>
          <w:tcPr>
            <w:tcW w:type="dxa" w:w="2267"/>
            <w:vAlign w:val="center"/>
          </w:tcPr>
          <w:p>
            <w:pPr>
              <w:jc w:val="center"/>
            </w:pPr>
            <w:r>
              <w:rPr>
                <w:b/>
                <w:bCs/>
                <w:color w:val="1F3A5F"/>
                <w:sz w:val="56"/>
                <w:szCs w:val="56"/>
              </w:rPr>
              <w:t xml:space="preserve">L l</w:t>
            </w:r>
          </w:p>
        </w:tc>
      </w:tr>
      <w:tr>
        <w:trPr>
          <w:trHeight w:val="1500" w:hRule="atLeast"/>
        </w:trPr>
        <w:tc>
          <w:tcPr>
            <w:tcW w:type="dxa" w:w="2267"/>
            <w:vAlign w:val="center"/>
          </w:tcPr>
          <w:p>
            <w:pPr>
              <w:jc w:val="center"/>
            </w:pPr>
            <w:r>
              <w:rPr>
                <w:b/>
                <w:bCs/>
                <w:color w:val="1F3A5F"/>
                <w:sz w:val="56"/>
                <w:szCs w:val="56"/>
              </w:rPr>
              <w:t xml:space="preserve">M m</w:t>
            </w:r>
          </w:p>
        </w:tc>
        <w:tc>
          <w:tcPr>
            <w:tcW w:type="dxa" w:w="2267"/>
            <w:vAlign w:val="center"/>
          </w:tcPr>
          <w:p>
            <w:pPr>
              <w:jc w:val="center"/>
            </w:pPr>
            <w:r>
              <w:rPr>
                <w:b/>
                <w:bCs/>
                <w:color w:val="1F3A5F"/>
                <w:sz w:val="56"/>
                <w:szCs w:val="56"/>
              </w:rPr>
              <w:t xml:space="preserve">N n</w:t>
            </w:r>
          </w:p>
        </w:tc>
        <w:tc>
          <w:tcPr>
            <w:tcW w:type="dxa" w:w="2267"/>
            <w:vAlign w:val="center"/>
          </w:tcPr>
          <w:p>
            <w:pPr>
              <w:jc w:val="center"/>
            </w:pPr>
            <w:r>
              <w:rPr>
                <w:b/>
                <w:bCs/>
                <w:color w:val="1F3A5F"/>
                <w:sz w:val="56"/>
                <w:szCs w:val="56"/>
              </w:rPr>
              <w:t xml:space="preserve">O o</w:t>
            </w:r>
          </w:p>
        </w:tc>
        <w:tc>
          <w:tcPr>
            <w:tcW w:type="dxa" w:w="2267"/>
            <w:vAlign w:val="center"/>
          </w:tcPr>
          <w:p>
            <w:pPr>
              <w:jc w:val="center"/>
            </w:pPr>
            <w:r>
              <w:rPr>
                <w:b/>
                <w:bCs/>
                <w:color w:val="1F3A5F"/>
                <w:sz w:val="56"/>
                <w:szCs w:val="56"/>
              </w:rPr>
              <w:t xml:space="preserve">P p</w:t>
            </w:r>
          </w:p>
        </w:tc>
      </w:tr>
      <w:tr>
        <w:trPr>
          <w:trHeight w:val="1500" w:hRule="atLeast"/>
        </w:trPr>
        <w:tc>
          <w:tcPr>
            <w:tcW w:type="dxa" w:w="2267"/>
            <w:vAlign w:val="center"/>
          </w:tcPr>
          <w:p>
            <w:pPr>
              <w:jc w:val="center"/>
            </w:pPr>
            <w:r>
              <w:rPr>
                <w:b/>
                <w:bCs/>
                <w:color w:val="1F3A5F"/>
                <w:sz w:val="56"/>
                <w:szCs w:val="56"/>
              </w:rPr>
              <w:t xml:space="preserve">Q q</w:t>
            </w:r>
          </w:p>
        </w:tc>
        <w:tc>
          <w:tcPr>
            <w:tcW w:type="dxa" w:w="2267"/>
            <w:vAlign w:val="center"/>
          </w:tcPr>
          <w:p>
            <w:pPr>
              <w:jc w:val="center"/>
            </w:pPr>
            <w:r>
              <w:rPr>
                <w:b/>
                <w:bCs/>
                <w:color w:val="1F3A5F"/>
                <w:sz w:val="56"/>
                <w:szCs w:val="56"/>
              </w:rPr>
              <w:t xml:space="preserve">R r</w:t>
            </w:r>
          </w:p>
        </w:tc>
        <w:tc>
          <w:tcPr>
            <w:tcW w:type="dxa" w:w="2267"/>
            <w:vAlign w:val="center"/>
          </w:tcPr>
          <w:p>
            <w:pPr>
              <w:jc w:val="center"/>
            </w:pPr>
            <w:r>
              <w:rPr>
                <w:b/>
                <w:bCs/>
                <w:color w:val="1F3A5F"/>
                <w:sz w:val="56"/>
                <w:szCs w:val="56"/>
              </w:rPr>
              <w:t xml:space="preserve">S s</w:t>
            </w:r>
          </w:p>
        </w:tc>
        <w:tc>
          <w:tcPr>
            <w:tcW w:type="dxa" w:w="2267"/>
            <w:vAlign w:val="center"/>
          </w:tcPr>
          <w:p>
            <w:pPr>
              <w:jc w:val="center"/>
            </w:pPr>
            <w:r>
              <w:rPr>
                <w:b/>
                <w:bCs/>
                <w:color w:val="1F3A5F"/>
                <w:sz w:val="56"/>
                <w:szCs w:val="56"/>
              </w:rPr>
              <w:t xml:space="preserve">T t</w:t>
            </w:r>
          </w:p>
        </w:tc>
      </w:tr>
      <w:tr>
        <w:trPr>
          <w:trHeight w:val="1500" w:hRule="atLeast"/>
        </w:trPr>
        <w:tc>
          <w:tcPr>
            <w:tcW w:type="dxa" w:w="2267"/>
            <w:vAlign w:val="center"/>
          </w:tcPr>
          <w:p>
            <w:pPr>
              <w:jc w:val="center"/>
            </w:pPr>
            <w:r>
              <w:rPr>
                <w:b/>
                <w:bCs/>
                <w:color w:val="1F3A5F"/>
                <w:sz w:val="56"/>
                <w:szCs w:val="56"/>
              </w:rPr>
              <w:t xml:space="preserve">U u</w:t>
            </w:r>
          </w:p>
        </w:tc>
        <w:tc>
          <w:tcPr>
            <w:tcW w:type="dxa" w:w="2267"/>
            <w:vAlign w:val="center"/>
          </w:tcPr>
          <w:p>
            <w:pPr>
              <w:jc w:val="center"/>
            </w:pPr>
            <w:r>
              <w:rPr>
                <w:b/>
                <w:bCs/>
                <w:color w:val="1F3A5F"/>
                <w:sz w:val="56"/>
                <w:szCs w:val="56"/>
              </w:rPr>
              <w:t xml:space="preserve">V v</w:t>
            </w:r>
          </w:p>
        </w:tc>
        <w:tc>
          <w:tcPr>
            <w:tcW w:type="dxa" w:w="2267"/>
            <w:vAlign w:val="center"/>
          </w:tcPr>
          <w:p>
            <w:pPr>
              <w:jc w:val="center"/>
            </w:pPr>
            <w:r>
              <w:rPr>
                <w:b/>
                <w:bCs/>
                <w:color w:val="1F3A5F"/>
                <w:sz w:val="56"/>
                <w:szCs w:val="56"/>
              </w:rPr>
              <w:t xml:space="preserve">W w</w:t>
            </w:r>
          </w:p>
        </w:tc>
        <w:tc>
          <w:tcPr>
            <w:tcW w:type="dxa" w:w="2267"/>
            <w:vAlign w:val="center"/>
          </w:tcPr>
          <w:p>
            <w:pPr>
              <w:jc w:val="center"/>
            </w:pPr>
            <w:r>
              <w:rPr>
                <w:b/>
                <w:bCs/>
                <w:color w:val="1F3A5F"/>
                <w:sz w:val="56"/>
                <w:szCs w:val="56"/>
              </w:rPr>
              <w:t xml:space="preserve">X x</w:t>
            </w:r>
          </w:p>
        </w:tc>
      </w:tr>
      <w:tr>
        <w:trPr>
          <w:trHeight w:val="1500" w:hRule="atLeast"/>
        </w:trPr>
        <w:tc>
          <w:tcPr>
            <w:tcW w:type="dxa" w:w="2267"/>
            <w:vAlign w:val="center"/>
          </w:tcPr>
          <w:p>
            <w:pPr>
              <w:jc w:val="center"/>
            </w:pPr>
            <w:r>
              <w:rPr>
                <w:b/>
                <w:bCs/>
                <w:color w:val="1F3A5F"/>
                <w:sz w:val="56"/>
                <w:szCs w:val="56"/>
              </w:rPr>
              <w:t xml:space="preserve">Y y</w:t>
            </w:r>
          </w:p>
        </w:tc>
        <w:tc>
          <w:tcPr>
            <w:tcW w:type="dxa" w:w="2267"/>
            <w:vAlign w:val="center"/>
          </w:tcPr>
          <w:p>
            <w:pPr>
              <w:jc w:val="center"/>
            </w:pPr>
            <w:r>
              <w:rPr>
                <w:b/>
                <w:bCs/>
                <w:color w:val="1F3A5F"/>
                <w:sz w:val="56"/>
                <w:szCs w:val="56"/>
              </w:rPr>
              <w:t xml:space="preserve">Z z</w:t>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7A3B69"/>
                <w:sz w:val="60"/>
                <w:szCs w:val="60"/>
              </w:rPr>
              <w:t xml:space="preserve">a</w:t>
            </w:r>
          </w:p>
        </w:tc>
        <w:tc>
          <w:tcPr>
            <w:tcW w:type="dxa" w:w="2267"/>
            <w:vAlign w:val="center"/>
          </w:tcPr>
          <w:p>
            <w:pPr>
              <w:jc w:val="center"/>
            </w:pPr>
            <w:r>
              <w:rPr>
                <w:b/>
                <w:bCs/>
                <w:color w:val="7A3B69"/>
                <w:sz w:val="60"/>
                <w:szCs w:val="60"/>
              </w:rPr>
              <w:t xml:space="preserve">o</w:t>
            </w:r>
          </w:p>
        </w:tc>
        <w:tc>
          <w:tcPr>
            <w:tcW w:type="dxa" w:w="2267"/>
            <w:vAlign w:val="center"/>
          </w:tcPr>
          <w:p>
            <w:pPr>
              <w:jc w:val="center"/>
            </w:pPr>
            <w:r>
              <w:rPr>
                <w:b/>
                <w:bCs/>
                <w:color w:val="7A3B69"/>
                <w:sz w:val="60"/>
                <w:szCs w:val="60"/>
              </w:rPr>
              <w:t xml:space="preserve">u</w:t>
            </w:r>
          </w:p>
        </w:tc>
        <w:tc>
          <w:tcPr>
            <w:tcW w:type="dxa" w:w="2267"/>
            <w:vAlign w:val="center"/>
          </w:tcPr>
          <w:p>
            <w:pPr>
              <w:jc w:val="center"/>
            </w:pPr>
            <w:r>
              <w:rPr>
                <w:b/>
                <w:bCs/>
                <w:color w:val="7A3B69"/>
                <w:sz w:val="60"/>
                <w:szCs w:val="60"/>
              </w:rPr>
              <w:t xml:space="preserve">s</w:t>
            </w:r>
          </w:p>
        </w:tc>
      </w:tr>
      <w:tr>
        <w:trPr>
          <w:trHeight w:val="1500" w:hRule="atLeast"/>
        </w:trPr>
        <w:tc>
          <w:tcPr>
            <w:tcW w:type="dxa" w:w="2267"/>
            <w:vAlign w:val="center"/>
          </w:tcPr>
          <w:p>
            <w:pPr>
              <w:jc w:val="center"/>
            </w:pPr>
            <w:r>
              <w:rPr>
                <w:b/>
                <w:bCs/>
                <w:color w:val="7A3B69"/>
                <w:sz w:val="60"/>
                <w:szCs w:val="60"/>
              </w:rPr>
              <w:t xml:space="preserve">t</w:t>
            </w:r>
          </w:p>
        </w:tc>
        <w:tc>
          <w:tcPr>
            <w:tcW w:type="dxa" w:w="2267"/>
            <w:vAlign w:val="center"/>
          </w:tcPr>
          <w:p>
            <w:pPr>
              <w:jc w:val="center"/>
            </w:pPr>
            <w:r>
              <w:rPr>
                <w:b/>
                <w:bCs/>
                <w:color w:val="7A3B69"/>
                <w:sz w:val="60"/>
                <w:szCs w:val="60"/>
              </w:rPr>
              <w:t xml:space="preserve">l</w:t>
            </w:r>
          </w:p>
        </w:tc>
        <w:tc>
          <w:tcPr>
            <w:tcW w:type="dxa" w:w="2267"/>
            <w:vAlign w:val="center"/>
          </w:tcPr>
          <w:p>
            <w:pPr>
              <w:jc w:val="center"/>
            </w:pPr>
            <w:r>
              <w:rPr>
                <w:b/>
                <w:bCs/>
                <w:color w:val="7A3B69"/>
                <w:sz w:val="60"/>
                <w:szCs w:val="60"/>
              </w:rPr>
              <w:t xml:space="preserve">m</w:t>
            </w:r>
          </w:p>
        </w:tc>
        <w:tc>
          <w:tcPr>
            <w:tcW w:type="dxa" w:w="2267"/>
            <w:vAlign w:val="center"/>
          </w:tcPr>
          <w:p>
            <w:pPr>
              <w:jc w:val="center"/>
            </w:pPr>
            <w:r>
              <w:rPr>
                <w:b/>
                <w:bCs/>
                <w:color w:val="7A3B69"/>
                <w:sz w:val="60"/>
                <w:szCs w:val="60"/>
              </w:rPr>
              <w:t xml:space="preserve">n</w:t>
            </w:r>
          </w:p>
        </w:tc>
      </w:tr>
      <w:tr>
        <w:trPr>
          <w:trHeight w:val="1500" w:hRule="atLeast"/>
        </w:trPr>
        <w:tc>
          <w:tcPr>
            <w:tcW w:type="dxa" w:w="2267"/>
            <w:vAlign w:val="center"/>
          </w:tcPr>
          <w:p>
            <w:pPr>
              <w:jc w:val="center"/>
            </w:pPr>
            <w:r>
              <w:rPr>
                <w:b/>
                <w:bCs/>
                <w:color w:val="7A3B69"/>
                <w:sz w:val="60"/>
                <w:szCs w:val="60"/>
              </w:rPr>
              <w:t xml:space="preserve">k</w:t>
            </w:r>
          </w:p>
        </w:tc>
        <w:tc>
          <w:tcPr>
            <w:tcW w:type="dxa" w:w="2267"/>
            <w:vAlign w:val="center"/>
          </w:tcPr>
          <w:p>
            <w:pPr>
              <w:jc w:val="center"/>
            </w:pPr>
            <w:r>
              <w:rPr>
                <w:b/>
                <w:bCs/>
                <w:color w:val="7A3B69"/>
                <w:sz w:val="60"/>
                <w:szCs w:val="60"/>
              </w:rPr>
              <w:t xml:space="preserve">p</w:t>
            </w:r>
          </w:p>
        </w:tc>
        <w:tc>
          <w:tcPr>
            <w:tcW w:type="dxa" w:w="2267"/>
            <w:vAlign w:val="center"/>
          </w:tcPr>
          <w:p>
            <w:pPr>
              <w:jc w:val="center"/>
            </w:pPr>
            <w:r>
              <w:rPr>
                <w:b/>
                <w:bCs/>
                <w:color w:val="7A3B69"/>
                <w:sz w:val="60"/>
                <w:szCs w:val="60"/>
              </w:rPr>
              <w:t xml:space="preserve">b</w:t>
            </w:r>
          </w:p>
        </w:tc>
        <w:tc>
          <w:tcPr>
            <w:tcW w:type="dxa" w:w="2267"/>
            <w:vAlign w:val="center"/>
          </w:tcPr>
          <w:p>
            <w:pPr>
              <w:jc w:val="center"/>
            </w:pPr>
            <w:r>
              <w:rPr>
                <w:b/>
                <w:bCs/>
                <w:color w:val="7A3B69"/>
                <w:sz w:val="60"/>
                <w:szCs w:val="60"/>
              </w:rPr>
              <w:t xml:space="preserve">d</w:t>
            </w:r>
          </w:p>
        </w:tc>
      </w:tr>
      <w:tr>
        <w:trPr>
          <w:trHeight w:val="1500" w:hRule="atLeast"/>
        </w:trPr>
        <w:tc>
          <w:tcPr>
            <w:tcW w:type="dxa" w:w="2267"/>
            <w:vAlign w:val="center"/>
          </w:tcPr>
          <w:p>
            <w:pPr>
              <w:jc w:val="center"/>
            </w:pPr>
            <w:r>
              <w:rPr>
                <w:b/>
                <w:bCs/>
                <w:color w:val="7A3B69"/>
                <w:sz w:val="60"/>
                <w:szCs w:val="60"/>
              </w:rPr>
              <w:t xml:space="preserve">g</w:t>
            </w:r>
          </w:p>
        </w:tc>
        <w:tc>
          <w:tcPr>
            <w:tcW w:type="dxa" w:w="2267"/>
            <w:vAlign w:val="center"/>
          </w:tcPr>
          <w:p>
            <w:r>
              <w:t xml:space="preserve"/>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weigh</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go and find out whether something is really true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Two assessment records, one per assessed competency, filled at Week 6 and again at Week 12 - plus the mentor’s record, one page per learner for the whole twelve weeks. Make one copy of each per learner and put their name on it.</w:t>
      </w:r>
    </w:p>
    <w:p>
      <w:pPr>
        <w:pStyle w:val="Heading2"/>
        <w:keepNext/>
        <w:spacing w:after="100" w:before="280"/>
      </w:pPr>
      <w:r>
        <w:rPr>
          <w:b/>
          <w:bCs/>
          <w:color w:val="7A3B69"/>
          <w:sz w:val="28"/>
          <w:szCs w:val="28"/>
        </w:rPr>
        <w:t xml:space="preserve">9A  Agency in Learning - Set and pursue goals (FSL2)</w:t>
      </w:r>
    </w:p>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(FSL2)</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9B  Research Project - Investigate real-world issues (FSI1)</w:t>
      </w:r>
    </w:p>
    <w:p>
      <w:pPr>
        <w:spacing w:after="40"/>
      </w:pPr>
      <w:r>
        <w:rPr>
          <w:b/>
          <w:bCs/>
          <w:color w:val="1F3A5F"/>
          <w:sz w:val="44"/>
          <w:szCs w:val="44"/>
        </w:rPr>
        <w:t xml:space="preserve">Research Project</w:t>
      </w:r>
    </w:p>
    <w:p>
      <w:pPr>
        <w:spacing w:after="40" w:before="0" w:line="300"/>
      </w:pPr>
      <w:r>
        <w:rPr>
          <w:b/>
          <w:bCs/>
          <w:color w:val="7A3B69"/>
          <w:sz w:val="24"/>
          <w:szCs w:val="24"/>
        </w:rPr>
        <w:t xml:space="preserve">Assessment record - Investigate real-world issues (FSI1)</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wherever you saw it, not from the final output alone and not only from this component. Full guidance is in the facilitator guide ("Assessing the investigation"). Tick the level and write one or two lines of evidence for why.</w:t>
      </w:r>
    </w:p>
    <w:p>
      <w:pPr>
        <w:spacing w:after="160" w:before="0" w:line="30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3"/>
        <w:keepNext/>
        <w:spacing w:after="100" w:before="280"/>
      </w:pPr>
      <w:r>
        <w:rPr>
          <w:b/>
          <w:bCs/>
          <w:color w:val="7A3B69"/>
          <w:sz w:val="28"/>
          <w:szCs w:val="28"/>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3"/>
        <w:keepNext/>
        <w:spacing w:after="100" w:before="280"/>
      </w:pPr>
      <w:r>
        <w:rPr>
          <w:b/>
          <w:bCs/>
          <w:color w:val="7A3B69"/>
          <w:sz w:val="28"/>
          <w:szCs w:val="28"/>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1"/>
        <w:gridCol w:w="2099"/>
        <w:gridCol w:w="4367"/>
        <w:gridCol w:w="2351"/>
      </w:tblGrid>
      <w:tr>
        <w:trPr>
          <w:tblHeader/>
        </w:trPr>
        <w:tc>
          <w:tcPr>
            <w:tcW w:type="dxa" w:w="251"/>
          </w:tcPr>
          <w:p>
            <w:r>
              <w:rPr>
                <w:b/>
                <w:bCs/>
                <w:color w:val="1F3A5F"/>
                <w:sz w:val="18"/>
                <w:szCs w:val="18"/>
              </w:rPr>
              <w:t xml:space="preserve"/>
            </w:r>
          </w:p>
        </w:tc>
        <w:tc>
          <w:tcPr>
            <w:tcW w:type="dxa" w:w="2099"/>
          </w:tcPr>
          <w:p>
            <w:r>
              <w:rPr>
                <w:b/>
                <w:bCs/>
                <w:color w:val="1F3A5F"/>
                <w:sz w:val="18"/>
                <w:szCs w:val="18"/>
              </w:rPr>
              <w:t xml:space="preserve">Level</w:t>
            </w:r>
          </w:p>
        </w:tc>
        <w:tc>
          <w:tcPr>
            <w:tcW w:type="dxa" w:w="4367"/>
          </w:tcPr>
          <w:p>
            <w:r>
              <w:rPr>
                <w:b/>
                <w:bCs/>
                <w:color w:val="1F3A5F"/>
                <w:sz w:val="18"/>
                <w:szCs w:val="18"/>
              </w:rPr>
              <w:t xml:space="preserve">The learner (Amala’s scale)</w:t>
            </w:r>
          </w:p>
        </w:tc>
        <w:tc>
          <w:tcPr>
            <w:tcW w:type="dxa" w:w="2351"/>
          </w:tcPr>
          <w:p>
            <w:r>
              <w:rPr>
                <w:b/>
                <w:bCs/>
                <w:color w:val="1F3A5F"/>
                <w:sz w:val="18"/>
                <w:szCs w:val="18"/>
              </w:rPr>
              <w:t xml:space="preserve">In this component (FSI1)</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No Level Awarded  (no credit)</w:t>
            </w:r>
          </w:p>
          <w:p>
            <w:r>
              <w:rPr>
                <w:b w:val="false"/>
                <w:bCs w:val="false"/>
                <w:color w:val="1F3A5F"/>
                <w:sz w:val="17"/>
                <w:szCs w:val="17"/>
              </w:rPr>
              <w:t xml:space="preserve">GPA 0.0</w:t>
            </w:r>
          </w:p>
        </w:tc>
        <w:tc>
          <w:tcPr>
            <w:tcW w:type="dxa" w:w="4367"/>
          </w:tcPr>
          <w:p>
            <w:r>
              <w:rPr>
                <w:b w:val="false"/>
                <w:bCs w:val="false"/>
                <w:sz w:val="17"/>
                <w:szCs w:val="17"/>
              </w:rPr>
              <w:t xml:space="preserve">Does not have a rationale for what they would do to achieve the goal described by the competency in at least one scenario.</w:t>
            </w:r>
          </w:p>
        </w:tc>
        <w:tc>
          <w:tcPr>
            <w:tcW w:type="dxa" w:w="2351"/>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Theorist  (no credit)</w:t>
            </w:r>
          </w:p>
          <w:p>
            <w:r>
              <w:rPr>
                <w:b w:val="false"/>
                <w:bCs w:val="false"/>
                <w:color w:val="1F3A5F"/>
                <w:sz w:val="17"/>
                <w:szCs w:val="17"/>
              </w:rPr>
              <w:t xml:space="preserve">GPA 2.0</w:t>
            </w:r>
          </w:p>
        </w:tc>
        <w:tc>
          <w:tcPr>
            <w:tcW w:type="dxa" w:w="4367"/>
          </w:tcPr>
          <w:p>
            <w:r>
              <w:rPr>
                <w:b w:val="false"/>
                <w:bCs w:val="false"/>
                <w:sz w:val="17"/>
                <w:szCs w:val="17"/>
              </w:rPr>
              <w:t xml:space="preserve">Has a rationale for what they would do to achieve the goal described by the competency in at least one scenario.</w:t>
            </w:r>
          </w:p>
        </w:tc>
        <w:tc>
          <w:tcPr>
            <w:tcW w:type="dxa" w:w="2351"/>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Practitioner</w:t>
            </w:r>
          </w:p>
          <w:p>
            <w:r>
              <w:rPr>
                <w:b w:val="false"/>
                <w:bCs w:val="false"/>
                <w:color w:val="1F3A5F"/>
                <w:sz w:val="17"/>
                <w:szCs w:val="17"/>
              </w:rPr>
              <w:t xml:space="preserve">GPA 3.0</w:t>
            </w:r>
          </w:p>
        </w:tc>
        <w:tc>
          <w:tcPr>
            <w:tcW w:type="dxa" w:w="4367"/>
          </w:tcPr>
          <w:p>
            <w:r>
              <w:rPr>
                <w:b w:val="false"/>
                <w:bCs w:val="false"/>
                <w:sz w:val="17"/>
                <w:szCs w:val="17"/>
              </w:rPr>
              <w:t xml:space="preserve">Has attempted to achieve the goal described by the competency in at least one scenario and has a clear rationale for their actions.</w:t>
            </w:r>
          </w:p>
        </w:tc>
        <w:tc>
          <w:tcPr>
            <w:tcW w:type="dxa" w:w="2351"/>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Reflective Practitioner</w:t>
            </w:r>
          </w:p>
          <w:p>
            <w:r>
              <w:rPr>
                <w:b w:val="false"/>
                <w:bCs w:val="false"/>
                <w:color w:val="1F3A5F"/>
                <w:sz w:val="17"/>
                <w:szCs w:val="17"/>
              </w:rPr>
              <w:t xml:space="preserve">GPA 3.5</w:t>
            </w:r>
          </w:p>
        </w:tc>
        <w:tc>
          <w:tcPr>
            <w:tcW w:type="dxa" w:w="4367"/>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351"/>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251"/>
          </w:tcPr>
          <w:p>
            <w:r>
              <w:rPr>
                <w:b w:val="false"/>
                <w:bCs w:val="false"/>
                <w:sz w:val="26"/>
                <w:szCs w:val="26"/>
              </w:rPr>
              <w:t xml:space="preserve">☐</w:t>
            </w:r>
          </w:p>
        </w:tc>
        <w:tc>
          <w:tcPr>
            <w:tcW w:type="dxa" w:w="2099"/>
          </w:tcPr>
          <w:p>
            <w:r>
              <w:rPr>
                <w:b/>
                <w:bCs/>
                <w:color w:val="1F3A5F"/>
                <w:sz w:val="17"/>
                <w:szCs w:val="17"/>
              </w:rPr>
              <w:t xml:space="preserve">Expert Practitioner</w:t>
            </w:r>
          </w:p>
          <w:p>
            <w:r>
              <w:rPr>
                <w:b w:val="false"/>
                <w:bCs w:val="false"/>
                <w:color w:val="1F3A5F"/>
                <w:sz w:val="17"/>
                <w:szCs w:val="17"/>
              </w:rPr>
              <w:t xml:space="preserve">GPA 4.0</w:t>
            </w:r>
          </w:p>
        </w:tc>
        <w:tc>
          <w:tcPr>
            <w:tcW w:type="dxa" w:w="4367"/>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351"/>
          </w:tcPr>
          <w:p>
            <w:r>
              <w:rPr>
                <w:b w:val="false"/>
                <w:bCs w:val="false"/>
                <w:color w:val="5A6473"/>
                <w:sz w:val="17"/>
                <w:szCs w:val="17"/>
              </w:rPr>
              <w:t xml:space="preserve">A second, distinct investigation in which they carried through an improvement identified in the first.</w:t>
            </w:r>
          </w:p>
        </w:tc>
      </w:tr>
    </w:tbl>
    <w:p>
      <w:pPr>
        <w:spacing w:after="40" w:before="160" w:line="30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w:t>
      </w:r>
    </w:p>
    <w:p>
      <w:pPr>
        <w:spacing w:after="140" w:before="200" w:line="300"/>
      </w:pPr>
      <w:r>
        <w:rPr>
          <w:color w:val="5A6473"/>
          <w:sz w:val="16"/>
          <w:szCs w:val="16"/>
        </w:rPr>
        <w:t xml:space="preserve">Levels, GPA values and generic descriptors are Amala’s official Competency Framework and Proficiency Scale (cohorts starting 2025).</w:t>
      </w:r>
    </w:p>
    <w:p>
      <w:r>
        <w:br w:type="page"/>
      </w:r>
    </w:p>
    <w:p>
      <w:pPr>
        <w:pStyle w:val="Heading2"/>
        <w:keepNext/>
        <w:spacing w:after="100" w:before="280"/>
      </w:pPr>
      <w:r>
        <w:rPr>
          <w:b/>
          <w:bCs/>
          <w:color w:val="7A3B69"/>
          <w:sz w:val="28"/>
          <w:szCs w:val="28"/>
        </w:rPr>
        <w:t xml:space="preserve">9C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023"/>
        <w:gridCol w:w="2855"/>
        <w:gridCol w:w="1763"/>
        <w:gridCol w:w="671"/>
      </w:tblGrid>
      <w:tr>
        <w:trPr>
          <w:tblHeader/>
        </w:trPr>
        <w:tc>
          <w:tcPr>
            <w:tcW w:type="dxa" w:w="755"/>
            <w:tcMar>
              <w:top w:type="dxa" w:w="90"/>
              <w:left w:type="dxa" w:w="120"/>
              <w:bottom w:type="dxa" w:w="90"/>
              <w:right w:type="dxa" w:w="120"/>
            </w:tcMar>
          </w:tcPr>
          <w:p>
            <w:r>
              <w:rPr>
                <w:b/>
                <w:bCs/>
                <w:color w:val="1F3A5F"/>
                <w:sz w:val="17"/>
                <w:szCs w:val="17"/>
              </w:rPr>
              <w:t xml:space="preserve">Week</w:t>
            </w:r>
          </w:p>
        </w:tc>
        <w:tc>
          <w:tcPr>
            <w:tcW w:type="dxa" w:w="3023"/>
            <w:tcMar>
              <w:top w:type="dxa" w:w="90"/>
              <w:left w:type="dxa" w:w="120"/>
              <w:bottom w:type="dxa" w:w="90"/>
              <w:right w:type="dxa" w:w="120"/>
            </w:tcMar>
          </w:tcPr>
          <w:p>
            <w:r>
              <w:rPr>
                <w:b/>
                <w:bCs/>
                <w:color w:val="1F3A5F"/>
                <w:sz w:val="17"/>
                <w:szCs w:val="17"/>
              </w:rPr>
              <w:t xml:space="preserve">Step we agreed</w:t>
            </w:r>
          </w:p>
        </w:tc>
        <w:tc>
          <w:tcPr>
            <w:tcW w:type="dxa" w:w="2855"/>
            <w:tcMar>
              <w:top w:type="dxa" w:w="90"/>
              <w:left w:type="dxa" w:w="120"/>
              <w:bottom w:type="dxa" w:w="90"/>
              <w:right w:type="dxa" w:w="120"/>
            </w:tcMar>
          </w:tcPr>
          <w:p>
            <w:r>
              <w:rPr>
                <w:b/>
                <w:bCs/>
                <w:color w:val="1F3A5F"/>
                <w:sz w:val="17"/>
                <w:szCs w:val="17"/>
              </w:rPr>
              <w:t xml:space="preserve">What I noticed (facts, not diagnosis)</w:t>
            </w:r>
          </w:p>
        </w:tc>
        <w:tc>
          <w:tcPr>
            <w:tcW w:type="dxa" w:w="1763"/>
            <w:tcMar>
              <w:top w:type="dxa" w:w="90"/>
              <w:left w:type="dxa" w:w="120"/>
              <w:bottom w:type="dxa" w:w="90"/>
              <w:right w:type="dxa" w:w="120"/>
            </w:tcMar>
          </w:tcPr>
          <w:p>
            <w:r>
              <w:rPr>
                <w:b/>
                <w:bCs/>
                <w:color w:val="1F3A5F"/>
                <w:sz w:val="17"/>
                <w:szCs w:val="17"/>
              </w:rPr>
              <w:t xml:space="preserve">Last step happened?</w:t>
            </w:r>
          </w:p>
        </w:tc>
        <w:tc>
          <w:tcPr>
            <w:tcW w:type="dxa" w:w="671"/>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3</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4</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5</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6</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7</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8</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9</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10</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Levels, GPA values and generic descriptors are Amala’s official Competency Framework and Proficiency Scale (cohorts starting 2025).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2026-08-25T08:14:20.639Z</dcterms:created>
  <dcterms:modified xsi:type="dcterms:W3CDTF">2026-08-25T08:14:20.639Z</dcterms:modified>
</cp:coreProperties>
</file>

<file path=docProps/custom.xml><?xml version="1.0" encoding="utf-8"?>
<Properties xmlns="http://schemas.openxmlformats.org/officeDocument/2006/custom-properties" xmlns:vt="http://schemas.openxmlformats.org/officeDocument/2006/docPropsVTypes"/>
</file>