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b/>
          <w:bCs/>
          <w:color w:val="1F3A5F"/>
          <w:sz w:val="30"/>
          <w:szCs w:val="30"/>
        </w:rPr>
        <w:t xml:space="preserve">PIP presentation assessment rubric</w:t>
      </w:r>
    </w:p>
    <w:p>
      <w:pPr>
        <w:spacing w:after="100" w:before="0"/>
      </w:pPr>
      <w:r>
        <w:rPr>
          <w:color w:val="5A6473"/>
          <w:sz w:val="22"/>
          <w:szCs w:val="22"/>
        </w:rPr>
        <w:t xml:space="preserve">Make a copy for each student. The PIP is not graded: use this to give developmental feedback and to notice which competencies the presentation may evidence, not to pass or fail.</w:t>
      </w:r>
    </w:p>
    <w:p>
      <w:pPr>
        <w:spacing w:after="140" w:before="0"/>
      </w:pPr>
      <w:r>
        <w:rPr>
          <w:i/>
          <w:iCs/>
          <w:color w:val="5A6473"/>
          <w:sz w:val="22"/>
          <w:szCs w:val="22"/>
        </w:rPr>
        <w:t xml:space="preserve">For each criterion, comment on: in what ways did the student meet the passing criteria? In what ways did they exceed them? In what ways could they improve the presentation, and the project itself? Which competency success indicators might they have evidenced?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3968"/>
        <w:gridCol w:w="2834"/>
      </w:tblGrid>
      <w:tr>
        <w:trPr>
          <w:tblHeader/>
        </w:trPr>
        <w:tc>
          <w:tcPr>
            <w:tcW w:type="dxa" w:w="2267"/>
            <w:shd w:fill="1F3A5F" w:color="auto" w:val="clear"/>
            <w:tcMar>
              <w:top w:type="dxa" w:w="80"/>
              <w:left w:type="dxa" w:w="120"/>
              <w:bottom w:type="dxa" w:w="80"/>
              <w:right w:type="dxa" w:w="120"/>
            </w:tcMar>
          </w:tcPr>
          <w:p>
            <w:r>
              <w:rPr>
                <w:b/>
                <w:bCs/>
                <w:color w:val="FFFFFF"/>
                <w:sz w:val="22"/>
                <w:szCs w:val="22"/>
              </w:rPr>
              <w:t xml:space="preserve">Criterion</w:t>
            </w:r>
          </w:p>
        </w:tc>
        <w:tc>
          <w:tcPr>
            <w:tcW w:type="dxa" w:w="3968"/>
            <w:shd w:fill="1F3A5F" w:color="auto" w:val="clear"/>
            <w:tcMar>
              <w:top w:type="dxa" w:w="80"/>
              <w:left w:type="dxa" w:w="120"/>
              <w:bottom w:type="dxa" w:w="80"/>
              <w:right w:type="dxa" w:w="120"/>
            </w:tcMar>
          </w:tcPr>
          <w:p>
            <w:r>
              <w:rPr>
                <w:b/>
                <w:bCs/>
                <w:color w:val="FFFFFF"/>
                <w:sz w:val="22"/>
                <w:szCs w:val="22"/>
              </w:rPr>
              <w:t xml:space="preserve">Passing criteria</w:t>
            </w:r>
          </w:p>
        </w:tc>
        <w:tc>
          <w:tcPr>
            <w:tcW w:type="dxa" w:w="2834"/>
            <w:shd w:fill="1F3A5F" w:color="auto" w:val="clear"/>
            <w:tcMar>
              <w:top w:type="dxa" w:w="80"/>
              <w:left w:type="dxa" w:w="120"/>
              <w:bottom w:type="dxa" w:w="80"/>
              <w:right w:type="dxa" w:w="120"/>
            </w:tcMar>
          </w:tcPr>
          <w:p>
            <w:r>
              <w:rPr>
                <w:b/>
                <w:bCs/>
                <w:color w:val="FFFFFF"/>
                <w:sz w:val="22"/>
                <w:szCs w:val="22"/>
              </w:rPr>
              <w:t xml:space="preserve">Facilitator comments</w:t>
            </w:r>
          </w:p>
        </w:tc>
      </w:tr>
      <w:tr>
        <w:trPr>
          <w:trHeight w:val="1600" w:hRule="atLeast"/>
        </w:trPr>
        <w:tc>
          <w:tcPr>
            <w:tcW w:type="dxa" w:w="2267"/>
            <w:tcMar>
              <w:top w:type="dxa" w:w="80"/>
              <w:left w:type="dxa" w:w="120"/>
              <w:bottom w:type="dxa" w:w="80"/>
              <w:right w:type="dxa" w:w="120"/>
            </w:tcMar>
          </w:tcPr>
          <w:p>
            <w:r>
              <w:rPr>
                <w:b/>
                <w:bCs/>
                <w:color w:val="1F3A5F"/>
                <w:sz w:val="21"/>
                <w:szCs w:val="21"/>
              </w:rPr>
              <w:t xml:space="preserve">Focus</w:t>
            </w:r>
          </w:p>
        </w:tc>
        <w:tc>
          <w:tcPr>
            <w:tcW w:type="dxa" w:w="3968"/>
            <w:tcMar>
              <w:top w:type="dxa" w:w="80"/>
              <w:left w:type="dxa" w:w="120"/>
              <w:bottom w:type="dxa" w:w="80"/>
              <w:right w:type="dxa" w:w="120"/>
            </w:tcMar>
          </w:tcPr>
          <w:p>
            <w:r>
              <w:rPr>
                <w:sz w:val="19"/>
                <w:szCs w:val="19"/>
              </w:rPr>
              <w:t xml:space="preserve">A focus is established (for example, a problem the student intends to address is outlined and described). The reason for the focus is made clear (for example, the student explains why the problem is important).</w:t>
            </w:r>
          </w:p>
        </w:tc>
        <w:tc>
          <w:tcPr>
            <w:tcW w:type="dxa" w:w="2834"/>
            <w:tcMar>
              <w:top w:type="dxa" w:w="80"/>
              <w:left w:type="dxa" w:w="120"/>
              <w:bottom w:type="dxa" w:w="80"/>
              <w:right w:type="dxa" w:w="120"/>
            </w:tcMar>
          </w:tcPr>
          <w:p>
            <w:r>
              <w:rPr>
                <w:sz w:val="20"/>
                <w:szCs w:val="20"/>
              </w:rPr>
              <w:t xml:space="preserve"/>
            </w:r>
          </w:p>
        </w:tc>
      </w:tr>
      <w:tr>
        <w:trPr>
          <w:trHeight w:val="1600" w:hRule="atLeast"/>
        </w:trPr>
        <w:tc>
          <w:tcPr>
            <w:tcW w:type="dxa" w:w="2267"/>
            <w:tcMar>
              <w:top w:type="dxa" w:w="80"/>
              <w:left w:type="dxa" w:w="120"/>
              <w:bottom w:type="dxa" w:w="80"/>
              <w:right w:type="dxa" w:w="120"/>
            </w:tcMar>
          </w:tcPr>
          <w:p>
            <w:r>
              <w:rPr>
                <w:b/>
                <w:bCs/>
                <w:color w:val="1F3A5F"/>
                <w:sz w:val="21"/>
                <w:szCs w:val="21"/>
              </w:rPr>
              <w:t xml:space="preserve">Methodology</w:t>
            </w:r>
          </w:p>
        </w:tc>
        <w:tc>
          <w:tcPr>
            <w:tcW w:type="dxa" w:w="3968"/>
            <w:tcMar>
              <w:top w:type="dxa" w:w="80"/>
              <w:left w:type="dxa" w:w="120"/>
              <w:bottom w:type="dxa" w:w="80"/>
              <w:right w:type="dxa" w:w="120"/>
            </w:tcMar>
          </w:tcPr>
          <w:p>
            <w:r>
              <w:rPr>
                <w:sz w:val="19"/>
                <w:szCs w:val="19"/>
              </w:rPr>
              <w:t xml:space="preserve">The approach the student took during the PIP is outlined (for example, how they investigated a problem, analysed data, worked towards a solution, and monitored, evaluated and improved it).</w:t>
            </w:r>
          </w:p>
        </w:tc>
        <w:tc>
          <w:tcPr>
            <w:tcW w:type="dxa" w:w="2834"/>
            <w:tcMar>
              <w:top w:type="dxa" w:w="80"/>
              <w:left w:type="dxa" w:w="120"/>
              <w:bottom w:type="dxa" w:w="80"/>
              <w:right w:type="dxa" w:w="120"/>
            </w:tcMar>
          </w:tcPr>
          <w:p>
            <w:r>
              <w:rPr>
                <w:sz w:val="20"/>
                <w:szCs w:val="20"/>
              </w:rPr>
              <w:t xml:space="preserve"/>
            </w:r>
          </w:p>
        </w:tc>
      </w:tr>
      <w:tr>
        <w:trPr>
          <w:trHeight w:val="1600" w:hRule="atLeast"/>
        </w:trPr>
        <w:tc>
          <w:tcPr>
            <w:tcW w:type="dxa" w:w="2267"/>
            <w:tcMar>
              <w:top w:type="dxa" w:w="80"/>
              <w:left w:type="dxa" w:w="120"/>
              <w:bottom w:type="dxa" w:w="80"/>
              <w:right w:type="dxa" w:w="120"/>
            </w:tcMar>
          </w:tcPr>
          <w:p>
            <w:r>
              <w:rPr>
                <w:b/>
                <w:bCs/>
                <w:color w:val="1F3A5F"/>
                <w:sz w:val="21"/>
                <w:szCs w:val="21"/>
              </w:rPr>
              <w:t xml:space="preserve">Knowledge and understanding</w:t>
            </w:r>
          </w:p>
        </w:tc>
        <w:tc>
          <w:tcPr>
            <w:tcW w:type="dxa" w:w="3968"/>
            <w:tcMar>
              <w:top w:type="dxa" w:w="80"/>
              <w:left w:type="dxa" w:w="120"/>
              <w:bottom w:type="dxa" w:w="80"/>
              <w:right w:type="dxa" w:w="120"/>
            </w:tcMar>
          </w:tcPr>
          <w:p>
            <w:r>
              <w:rPr>
                <w:sz w:val="19"/>
                <w:szCs w:val="19"/>
              </w:rPr>
              <w:t xml:space="preserve">The student demonstrates an understanding of the important facts and knowledge that support success in the project, and has used a variety of sources to support their work.</w:t>
            </w:r>
          </w:p>
        </w:tc>
        <w:tc>
          <w:tcPr>
            <w:tcW w:type="dxa" w:w="2834"/>
            <w:tcMar>
              <w:top w:type="dxa" w:w="80"/>
              <w:left w:type="dxa" w:w="120"/>
              <w:bottom w:type="dxa" w:w="80"/>
              <w:right w:type="dxa" w:w="120"/>
            </w:tcMar>
          </w:tcPr>
          <w:p>
            <w:r>
              <w:rPr>
                <w:sz w:val="20"/>
                <w:szCs w:val="20"/>
              </w:rPr>
              <w:t xml:space="preserve"/>
            </w:r>
          </w:p>
        </w:tc>
      </w:tr>
      <w:tr>
        <w:trPr>
          <w:trHeight w:val="1600" w:hRule="atLeast"/>
        </w:trPr>
        <w:tc>
          <w:tcPr>
            <w:tcW w:type="dxa" w:w="2267"/>
            <w:tcMar>
              <w:top w:type="dxa" w:w="80"/>
              <w:left w:type="dxa" w:w="120"/>
              <w:bottom w:type="dxa" w:w="80"/>
              <w:right w:type="dxa" w:w="120"/>
            </w:tcMar>
          </w:tcPr>
          <w:p>
            <w:r>
              <w:rPr>
                <w:b/>
                <w:bCs/>
                <w:color w:val="1F3A5F"/>
                <w:sz w:val="21"/>
                <w:szCs w:val="21"/>
              </w:rPr>
              <w:t xml:space="preserve">Critical thinking</w:t>
            </w:r>
          </w:p>
        </w:tc>
        <w:tc>
          <w:tcPr>
            <w:tcW w:type="dxa" w:w="3968"/>
            <w:tcMar>
              <w:top w:type="dxa" w:w="80"/>
              <w:left w:type="dxa" w:w="120"/>
              <w:bottom w:type="dxa" w:w="80"/>
              <w:right w:type="dxa" w:w="120"/>
            </w:tcMar>
          </w:tcPr>
          <w:p>
            <w:r>
              <w:rPr>
                <w:sz w:val="19"/>
                <w:szCs w:val="19"/>
              </w:rPr>
              <w:t xml:space="preserve">The student evaluates the trustworthiness of the sources they used, and outlines findings and recommendations supported by evidence (from their investigation and/or the literature).</w:t>
            </w:r>
          </w:p>
        </w:tc>
        <w:tc>
          <w:tcPr>
            <w:tcW w:type="dxa" w:w="2834"/>
            <w:tcMar>
              <w:top w:type="dxa" w:w="80"/>
              <w:left w:type="dxa" w:w="120"/>
              <w:bottom w:type="dxa" w:w="80"/>
              <w:right w:type="dxa" w:w="120"/>
            </w:tcMar>
          </w:tcPr>
          <w:p>
            <w:r>
              <w:rPr>
                <w:sz w:val="20"/>
                <w:szCs w:val="20"/>
              </w:rPr>
              <w:t xml:space="preserve"/>
            </w:r>
          </w:p>
        </w:tc>
      </w:tr>
    </w:tbl>
    <w:p>
      <w:pPr>
        <w:spacing w:after="120" w:before="200"/>
      </w:pPr>
      <w:r>
        <w:rPr>
          <w:i/>
          <w:iCs/>
          <w:color w:val="6E7A2E"/>
          <w:sz w:val="19"/>
          <w:szCs w:val="19"/>
        </w:rPr>
        <w:t xml:space="preserve">Note: these criteria lean towards investigative PIPs. For a personal or creative project, read them generously. Focus and methodology still apply; knowledge and critical thinking may show up as reflection on practice and honest self-evaluation rather than source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2026-08-25T08:12:52.748Z</dcterms:created>
  <dcterms:modified xsi:type="dcterms:W3CDTF">2026-08-25T08:12:52.748Z</dcterms:modified>
</cp:coreProperties>
</file>

<file path=docProps/custom.xml><?xml version="1.0" encoding="utf-8"?>
<Properties xmlns="http://schemas.openxmlformats.org/officeDocument/2006/custom-properties" xmlns:vt="http://schemas.openxmlformats.org/officeDocument/2006/docPropsVTypes"/>
</file>