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pPr>
      <w:r>
        <w:rPr>
          <w:b/>
          <w:bCs/>
          <w:color w:val="7A3B69"/>
          <w:sz w:val="28"/>
          <w:szCs w:val="28"/>
        </w:rPr>
        <w:t xml:space="preserve">Facilitate, mentor, assess</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spacing w:after="120" w:before="0"/>
      </w:pPr>
      <w:r>
        <w:rPr>
          <w:sz w:val="22"/>
          <w:szCs w:val="22"/>
        </w:rPr>
        <w:t xml:space="preserve">This guide is for you, the educator. In this programme one person holds three functions: you facilitate the learning, you mentor learners one-to-one, and you assess the two competencies. This guide is the shared thread across all three — how to deliver in this context, and how the two assessments work. Your day-to-day session guidance lives in the Facilitator Unit Plan for each component; keep that beside you.</w:t>
      </w:r>
    </w:p>
    <w:p>
      <w:pPr>
        <w:pBdr>
          <w:bottom w:val="single" w:color="B9B3A6" w:sz="6"/>
        </w:pBdr>
        <w:spacing w:after="120"/>
      </w:pPr>
    </w:p>
    <w:p>
      <w:pPr>
        <w:pStyle w:val="Heading1"/>
        <w:spacing w:after="100" w:before="260"/>
      </w:pPr>
      <w:r>
        <w:rPr>
          <w:b/>
          <w:bCs/>
          <w:color w:val="1F3A5F"/>
          <w:sz w:val="30"/>
          <w:szCs w:val="30"/>
        </w:rPr>
        <w:t xml:space="preserve">1. Your three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What it means here</w:t>
            </w:r>
          </w:p>
        </w:tc>
      </w:tr>
      <w:tr>
        <w:tc>
          <w:tcPr>
            <w:tcW w:type="dxa" w:w="3200"/>
            <w:tcMar>
              <w:top w:type="dxa" w:w="60"/>
              <w:left w:type="dxa" w:w="120"/>
              <w:bottom w:type="dxa" w:w="60"/>
              <w:right w:type="dxa" w:w="120"/>
            </w:tcMar>
          </w:tcPr>
          <w:p>
            <w:r>
              <w:rPr>
                <w:b/>
                <w:bCs/>
                <w:color w:val="7A3B69"/>
                <w:sz w:val="20"/>
                <w:szCs w:val="20"/>
              </w:rPr>
              <w:t xml:space="preserve">Facilitator</w:t>
            </w:r>
          </w:p>
        </w:tc>
        <w:tc>
          <w:tcPr>
            <w:tcW w:type="dxa" w:w="7600"/>
            <w:tcMar>
              <w:top w:type="dxa" w:w="60"/>
              <w:left w:type="dxa" w:w="120"/>
              <w:bottom w:type="dxa" w:w="60"/>
              <w:right w:type="dxa" w:w="120"/>
            </w:tcMar>
          </w:tcPr>
          <w:p>
            <w:r>
              <w:rPr>
                <w:b w:val="false"/>
                <w:bCs w:val="false"/>
                <w:sz w:val="20"/>
                <w:szCs w:val="20"/>
              </w:rPr>
              <w:t xml:space="preserve">You run the sessions — 3 hours in-person and 2 hours independent per week — delivering oral and visual first, in the language you share with learners.</w:t>
            </w:r>
          </w:p>
        </w:tc>
      </w:tr>
      <w:tr>
        <w:tc>
          <w:tcPr>
            <w:tcW w:type="dxa" w:w="3200"/>
            <w:tcMar>
              <w:top w:type="dxa" w:w="60"/>
              <w:left w:type="dxa" w:w="120"/>
              <w:bottom w:type="dxa" w:w="60"/>
              <w:right w:type="dxa" w:w="120"/>
            </w:tcMar>
          </w:tcPr>
          <w:p>
            <w:r>
              <w:rPr>
                <w:b/>
                <w:bCs/>
                <w:color w:val="7A3B69"/>
                <w:sz w:val="20"/>
                <w:szCs w:val="20"/>
              </w:rPr>
              <w:t xml:space="preserve">Mentor</w:t>
            </w:r>
          </w:p>
        </w:tc>
        <w:tc>
          <w:tcPr>
            <w:tcW w:type="dxa" w:w="7600"/>
            <w:tcMar>
              <w:top w:type="dxa" w:w="60"/>
              <w:left w:type="dxa" w:w="120"/>
              <w:bottom w:type="dxa" w:w="60"/>
              <w:right w:type="dxa" w:w="120"/>
            </w:tcMar>
          </w:tcPr>
          <w:p>
            <w:r>
              <w:rPr>
                <w:b w:val="false"/>
                <w:bCs w:val="false"/>
                <w:sz w:val="20"/>
                <w:szCs w:val="20"/>
              </w:rPr>
              <w:t xml:space="preserve">You know each learner as a person through short 1:1 conversations. You keep their learning goals alive between sessions, notice when something is wrong, and refer.</w:t>
            </w:r>
          </w:p>
        </w:tc>
      </w:tr>
      <w:tr>
        <w:tc>
          <w:tcPr>
            <w:tcW w:type="dxa" w:w="3200"/>
            <w:tcMar>
              <w:top w:type="dxa" w:w="60"/>
              <w:left w:type="dxa" w:w="120"/>
              <w:bottom w:type="dxa" w:w="60"/>
              <w:right w:type="dxa" w:w="120"/>
            </w:tcMar>
          </w:tcPr>
          <w:p>
            <w:r>
              <w:rPr>
                <w:b/>
                <w:bCs/>
                <w:color w:val="7A3B69"/>
                <w:sz w:val="20"/>
                <w:szCs w:val="20"/>
              </w:rPr>
              <w:t xml:space="preserve">Assessor</w:t>
            </w:r>
          </w:p>
        </w:tc>
        <w:tc>
          <w:tcPr>
            <w:tcW w:type="dxa" w:w="7600"/>
            <w:tcMar>
              <w:top w:type="dxa" w:w="60"/>
              <w:left w:type="dxa" w:w="120"/>
              <w:bottom w:type="dxa" w:w="60"/>
              <w:right w:type="dxa" w:w="120"/>
            </w:tcMar>
          </w:tcPr>
          <w:p>
            <w:r>
              <w:rPr>
                <w:b w:val="false"/>
                <w:bCs w:val="false"/>
                <w:sz w:val="20"/>
                <w:szCs w:val="20"/>
              </w:rPr>
              <w:t xml:space="preserve">You gather evidence as you teach and make a judgement of each learner in the two competencies — a supported one at Week 6, a final one at Week 12.</w:t>
            </w:r>
          </w:p>
        </w:tc>
      </w:tr>
    </w:tbl>
    <w:p>
      <w:pPr>
        <w:pStyle w:val="Heading1"/>
        <w:spacing w:after="100" w:before="260"/>
      </w:pPr>
      <w:r>
        <w:rPr>
          <w:b/>
          <w:bCs/>
          <w:color w:val="1F3A5F"/>
          <w:sz w:val="30"/>
          <w:szCs w:val="30"/>
        </w:rPr>
        <w:t xml:space="preserve">2. How we deliver here</w:t>
      </w:r>
    </w:p>
    <w:p>
      <w:pPr>
        <w:spacing w:after="120" w:before="0"/>
      </w:pPr>
      <w:r>
        <w:rPr>
          <w:sz w:val="22"/>
          <w:szCs w:val="22"/>
        </w:rPr>
        <w:t xml:space="preserve">Three things are rebuilt for this context. Hold all three, in every session.</w:t>
      </w:r>
    </w:p>
    <w:p>
      <w:pPr>
        <w:pStyle w:val="Heading3"/>
        <w:spacing w:after="60" w:before="160"/>
      </w:pPr>
      <w:r>
        <w:rPr>
          <w:b/>
          <w:bCs/>
          <w:color w:val="1F3A5F"/>
          <w:sz w:val="23"/>
          <w:szCs w:val="23"/>
        </w:rPr>
        <w:t xml:space="preserve">Oral and visual first</w:t>
      </w:r>
    </w:p>
    <w:p>
      <w:pPr>
        <w:spacing w:after="120" w:before="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spacing w:after="60" w:before="160"/>
      </w:pPr>
      <w:r>
        <w:rPr>
          <w:b/>
          <w:bCs/>
          <w:color w:val="1F3A5F"/>
          <w:sz w:val="23"/>
          <w:szCs w:val="23"/>
        </w:rPr>
        <w:t xml:space="preserve">Learning goals within the learner’s control</w:t>
      </w:r>
    </w:p>
    <w:p>
      <w:pPr>
        <w:spacing w:after="120" w:before="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spacing w:after="60" w:before="160"/>
      </w:pPr>
      <w:r>
        <w:rPr>
          <w:b/>
          <w:bCs/>
          <w:color w:val="1F3A5F"/>
          <w:sz w:val="23"/>
          <w:szCs w:val="23"/>
        </w:rPr>
        <w:t xml:space="preserve">Modular, so stop-start attendance never breaks the sequence</w:t>
      </w:r>
    </w:p>
    <w:p>
      <w:pPr>
        <w:spacing w:after="120" w:before="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pPr>
        <w:pStyle w:val="Heading2"/>
        <w:spacing w:after="80" w:before="200"/>
      </w:pPr>
      <w:r>
        <w:rPr>
          <w:b/>
          <w:bCs/>
          <w:color w:val="7A3B69"/>
          <w:sz w:val="25"/>
          <w:szCs w:val="25"/>
        </w:rPr>
        <w:t xml:space="preserve">What a week looks like</w:t>
      </w:r>
    </w:p>
    <w:p>
      <w:pPr>
        <w:spacing w:after="120" w:before="0"/>
      </w:pPr>
      <w:r>
        <w:rPr>
          <w:sz w:val="22"/>
          <w:szCs w:val="22"/>
        </w:rPr>
        <w:t xml:space="preserve">You deliver three taught components side by side — Agency in Learning, the Research Project, and English — each 3 hours in-person and 2 hours independent per week, with your mentoring folded into the in-person time. One example week: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Day</w:t>
            </w:r>
          </w:p>
        </w:tc>
        <w:tc>
          <w:tcPr>
            <w:tcW w:type="dxa" w:w="7600"/>
            <w:shd w:fill="F0ECE3"/>
            <w:tcMar>
              <w:top w:type="dxa" w:w="60"/>
              <w:left w:type="dxa" w:w="120"/>
              <w:bottom w:type="dxa" w:w="60"/>
              <w:right w:type="dxa" w:w="120"/>
            </w:tcMar>
          </w:tcPr>
          <w:p>
            <w:r>
              <w:rPr>
                <w:b/>
                <w:bCs/>
                <w:color w:val="1F3A5F"/>
                <w:sz w:val="20"/>
                <w:szCs w:val="20"/>
              </w:rPr>
              <w:t xml:space="preserve">In-person sessions (about 1 hour each)</w:t>
            </w:r>
          </w:p>
        </w:tc>
      </w:tr>
      <w:tr>
        <w:tc>
          <w:tcPr>
            <w:tcW w:type="dxa" w:w="3200"/>
            <w:tcMar>
              <w:top w:type="dxa" w:w="60"/>
              <w:left w:type="dxa" w:w="120"/>
              <w:bottom w:type="dxa" w:w="60"/>
              <w:right w:type="dxa" w:w="120"/>
            </w:tcMar>
          </w:tcPr>
          <w:p>
            <w:r>
              <w:rPr>
                <w:b/>
                <w:bCs/>
                <w:color w:val="7A3B69"/>
                <w:sz w:val="20"/>
                <w:szCs w:val="20"/>
              </w:rPr>
              <w:t xml:space="preserve">Day 1</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2</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3</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4</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5</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6</w:t>
            </w:r>
          </w:p>
        </w:tc>
        <w:tc>
          <w:tcPr>
            <w:tcW w:type="dxa" w:w="7600"/>
            <w:tcMar>
              <w:top w:type="dxa" w:w="60"/>
              <w:left w:type="dxa" w:w="120"/>
              <w:bottom w:type="dxa" w:w="60"/>
              <w:right w:type="dxa" w:w="120"/>
            </w:tcMar>
          </w:tcPr>
          <w:p>
            <w:r>
              <w:rPr>
                <w:b w:val="false"/>
                <w:bCs w:val="false"/>
                <w:sz w:val="20"/>
                <w:szCs w:val="20"/>
              </w:rPr>
              <w:t xml:space="preserve">Research Project  ·  a short small-group wellbeing check and reflection</w:t>
            </w:r>
          </w:p>
        </w:tc>
      </w:tr>
    </w:tbl>
    <w:p>
      <w:pPr>
        <w:spacing w:after="120" w:before="0"/>
      </w:pPr>
      <w:r>
        <w:rPr>
          <w:sz w:val="22"/>
          <w:szCs w:val="22"/>
        </w:rPr>
        <w:t xml:space="preserve">Adapt it with your coordinator — the fixed points are the weekly hours per component; how you place them is yours. The 2 independent hours per component are the between-session tasks set in each activity (asking someone at home, gathering evidence, practising English), done at home. Before the Research Project’s challenge is agreed, you run Agency in Learning and English only.</w:t>
      </w:r>
    </w:p>
    <w:p>
      <w:r>
        <w:br w:type="page"/>
      </w:r>
    </w:p>
    <w:p>
      <w:pPr>
        <w:pStyle w:val="Heading1"/>
        <w:spacing w:after="100" w:before="260"/>
      </w:pPr>
      <w:r>
        <w:rPr>
          <w:b/>
          <w:bCs/>
          <w:color w:val="1F3A5F"/>
          <w:sz w:val="30"/>
          <w:szCs w:val="30"/>
        </w:rPr>
        <w:t xml:space="preserve">3. Mentoring</w:t>
      </w:r>
    </w:p>
    <w:p>
      <w:pPr>
        <w:spacing w:after="120" w:before="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spacing w:after="40" w:before="80"/>
      </w:pPr>
      <w:r>
        <w:rPr>
          <w:b/>
          <w:bCs/>
          <w:i/>
          <w:iCs/>
          <w:color w:val="6E7A2E"/>
          <w:sz w:val="21"/>
          <w:szCs w:val="21"/>
        </w:rPr>
        <w:t xml:space="preserve">How it runs</w:t>
      </w:r>
    </w:p>
    <w:p>
      <w:pPr>
        <w:pStyle w:val="ListParagraph"/>
        <w:numPr>
          <w:ilvl w:val="0"/>
          <w:numId w:val="1"/>
        </w:numPr>
        <w:spacing w:after="60"/>
      </w:pPr>
      <w:r>
        <w:rPr>
          <w:sz w:val="22"/>
          <w:szCs w:val="22"/>
        </w:rPr>
        <w:t xml:space="preserve">Fold mentoring into the weekly in-person time as short 1:1 or very small-group conversations. No devices, no internet.</w:t>
      </w:r>
    </w:p>
    <w:p>
      <w:pPr>
        <w:pStyle w:val="ListParagraph"/>
        <w:numPr>
          <w:ilvl w:val="0"/>
          <w:numId w:val="1"/>
        </w:numPr>
        <w:spacing w:after="6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60"/>
      </w:pPr>
      <w:r>
        <w:rPr>
          <w:sz w:val="22"/>
          <w:szCs w:val="22"/>
        </w:rPr>
        <w:t xml:space="preserve">Keep a light paper record of what you notice, so each conversation builds on the last and survives stop-start attendance.</w:t>
      </w:r>
    </w:p>
    <w:p>
      <w:pPr>
        <w:pStyle w:val="ListParagraph"/>
        <w:numPr>
          <w:ilvl w:val="0"/>
          <w:numId w:val="1"/>
        </w:numPr>
        <w:spacing w:after="6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20" w:before="0"/>
      </w:pPr>
      <w:r>
        <w:rPr>
          <w:i/>
          <w:iCs/>
          <w:color w:val="5A6473"/>
          <w:sz w:val="21"/>
          <w:szCs w:val="21"/>
        </w:rPr>
        <w:t xml:space="preserve">The shared practice is the mentor moves on the Educators pages. Use them; this guide says how they are held in the Cox’s Bazar context.</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Safeguarding — before you take a caseload</w:t>
            </w:r>
          </w:p>
          <w:p>
            <w:pPr>
              <w:spacing w:after="80" w:before="0"/>
            </w:pPr>
            <w:r>
              <w:rPr>
                <w:sz w:val="21"/>
                <w:szCs w:val="21"/>
              </w:rPr>
              <w:t xml:space="preserve">Know NRC’s safeguarding policy and the camp referral pathway before you mentor anyone.</w:t>
            </w:r>
          </w:p>
          <w:p>
            <w:pPr>
              <w:spacing w:after="80" w:before="0"/>
            </w:pPr>
            <w:r>
              <w:rPr>
                <w:sz w:val="21"/>
                <w:szCs w:val="21"/>
              </w:rPr>
              <w:t xml:space="preserve">No learner ever has to share. For sensitive ground — loss, family, marriage, displacement — step back; the materials give you clear step-back prompts.</w:t>
            </w:r>
          </w:p>
          <w:p>
            <w:pPr>
              <w:spacing w:after="0" w:before="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r>
        <w:br w:type="page"/>
      </w:r>
    </w:p>
    <w:p>
      <w:pPr>
        <w:pStyle w:val="Heading1"/>
        <w:spacing w:after="100" w:before="260"/>
      </w:pPr>
      <w:r>
        <w:rPr>
          <w:b/>
          <w:bCs/>
          <w:color w:val="1F3A5F"/>
          <w:sz w:val="30"/>
          <w:szCs w:val="30"/>
        </w:rPr>
        <w:t xml:space="preserve">4. Assessing the two competencies</w:t>
      </w:r>
    </w:p>
    <w:p>
      <w:pPr>
        <w:spacing w:after="120" w:before="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Where it is developed</w:t>
            </w:r>
          </w:p>
        </w:tc>
      </w:tr>
      <w:tr>
        <w:tc>
          <w:tcPr>
            <w:tcW w:type="dxa" w:w="3200"/>
            <w:tcMar>
              <w:top w:type="dxa" w:w="60"/>
              <w:left w:type="dxa" w:w="120"/>
              <w:bottom w:type="dxa" w:w="60"/>
              <w:right w:type="dxa" w:w="120"/>
            </w:tcMar>
          </w:tcPr>
          <w:p>
            <w:r>
              <w:rPr>
                <w:b/>
                <w:bCs/>
                <w:color w:val="7A3B69"/>
                <w:sz w:val="20"/>
                <w:szCs w:val="20"/>
              </w:rPr>
              <w:t xml:space="preserve">Set and Pursue Goals</w:t>
            </w:r>
          </w:p>
        </w:tc>
        <w:tc>
          <w:tcPr>
            <w:tcW w:type="dxa" w:w="7600"/>
            <w:tcMar>
              <w:top w:type="dxa" w:w="60"/>
              <w:left w:type="dxa" w:w="120"/>
              <w:bottom w:type="dxa" w:w="60"/>
              <w:right w:type="dxa" w:w="120"/>
            </w:tcMar>
          </w:tcPr>
          <w:p>
            <w:r>
              <w:rPr>
                <w:b w:val="false"/>
                <w:bCs w:val="false"/>
                <w:sz w:val="20"/>
                <w:szCs w:val="20"/>
              </w:rPr>
              <w:t xml:space="preserve">Agency in Learning — setting clear learning goals and taking deliberate steps toward them.</w:t>
            </w:r>
          </w:p>
        </w:tc>
      </w:tr>
      <w:tr>
        <w:tc>
          <w:tcPr>
            <w:tcW w:type="dxa" w:w="3200"/>
            <w:tcMar>
              <w:top w:type="dxa" w:w="60"/>
              <w:left w:type="dxa" w:w="120"/>
              <w:bottom w:type="dxa" w:w="60"/>
              <w:right w:type="dxa" w:w="120"/>
            </w:tcMar>
          </w:tcPr>
          <w:p>
            <w:r>
              <w:rPr>
                <w:b/>
                <w:bCs/>
                <w:color w:val="7A3B69"/>
                <w:sz w:val="20"/>
                <w:szCs w:val="20"/>
              </w:rPr>
              <w:t xml:space="preserve">Investigate Real World Issues</w:t>
            </w:r>
          </w:p>
        </w:tc>
        <w:tc>
          <w:tcPr>
            <w:tcW w:type="dxa" w:w="7600"/>
            <w:tcMar>
              <w:top w:type="dxa" w:w="60"/>
              <w:left w:type="dxa" w:w="120"/>
              <w:bottom w:type="dxa" w:w="60"/>
              <w:right w:type="dxa" w:w="120"/>
            </w:tcMar>
          </w:tcPr>
          <w:p>
            <w:r>
              <w:rPr>
                <w:b w:val="false"/>
                <w:bCs w:val="false"/>
                <w:sz w:val="20"/>
                <w:szCs w:val="20"/>
              </w:rPr>
              <w:t xml:space="preserve">The Research Project — researching a real challenge to develop actionable insights.</w:t>
            </w:r>
          </w:p>
        </w:tc>
      </w:tr>
    </w:tbl>
    <w:p>
      <w:pPr>
        <w:pStyle w:val="Heading2"/>
        <w:spacing w:after="80" w:before="200"/>
      </w:pPr>
      <w:r>
        <w:rPr>
          <w:b/>
          <w:bCs/>
          <w:color w:val="7A3B69"/>
          <w:sz w:val="25"/>
          <w:szCs w:val="25"/>
        </w:rPr>
        <w:t xml:space="preserve">Gather evidence as you go</w:t>
      </w:r>
    </w:p>
    <w:p>
      <w:pPr>
        <w:spacing w:after="120" w:before="0"/>
      </w:pPr>
      <w:r>
        <w:rPr>
          <w:sz w:val="22"/>
          <w:szCs w:val="22"/>
        </w:rPr>
        <w:t xml:space="preserve">Do not leave assessment to the end. Across the weeks, collect the evidence of each learner’s competency from:</w:t>
      </w:r>
    </w:p>
    <w:p>
      <w:pPr>
        <w:pStyle w:val="ListParagraph"/>
        <w:numPr>
          <w:ilvl w:val="0"/>
          <w:numId w:val="2"/>
        </w:numPr>
        <w:spacing w:after="60"/>
      </w:pPr>
      <w:r>
        <w:rPr>
          <w:sz w:val="22"/>
          <w:szCs w:val="22"/>
        </w:rPr>
        <w:t xml:space="preserve">Their workbook — the Learner Profile, goal, plan, and growth pages they build.</w:t>
      </w:r>
    </w:p>
    <w:p>
      <w:pPr>
        <w:pStyle w:val="ListParagraph"/>
        <w:numPr>
          <w:ilvl w:val="0"/>
          <w:numId w:val="2"/>
        </w:numPr>
        <w:spacing w:after="60"/>
      </w:pPr>
      <w:r>
        <w:rPr>
          <w:sz w:val="22"/>
          <w:szCs w:val="22"/>
        </w:rPr>
        <w:t xml:space="preserve">The steps they actually take toward a goal, and how they adjust when a step does not work.</w:t>
      </w:r>
    </w:p>
    <w:p>
      <w:pPr>
        <w:pStyle w:val="ListParagraph"/>
        <w:numPr>
          <w:ilvl w:val="0"/>
          <w:numId w:val="2"/>
        </w:numPr>
        <w:spacing w:after="60"/>
      </w:pPr>
      <w:r>
        <w:rPr>
          <w:sz w:val="22"/>
          <w:szCs w:val="22"/>
        </w:rPr>
        <w:t xml:space="preserve">Their growth path — where they started and how they have moved.</w:t>
      </w:r>
    </w:p>
    <w:p>
      <w:pPr>
        <w:pStyle w:val="ListParagraph"/>
        <w:numPr>
          <w:ilvl w:val="0"/>
          <w:numId w:val="2"/>
        </w:numPr>
        <w:spacing w:after="60"/>
      </w:pPr>
      <w:r>
        <w:rPr>
          <w:sz w:val="22"/>
          <w:szCs w:val="22"/>
        </w:rPr>
        <w:t xml:space="preserve">What they say and do — in sessions and in mentoring. Much of your strongest evidence is oral and visual, because many learners are not yet literate. That is expected; record it.</w:t>
      </w:r>
    </w:p>
    <w:p>
      <w:pPr>
        <w:pStyle w:val="Heading2"/>
        <w:spacing w:after="80" w:before="200"/>
      </w:pPr>
      <w:r>
        <w:rPr>
          <w:b/>
          <w:bCs/>
          <w:color w:val="7A3B69"/>
          <w:sz w:val="25"/>
          <w:szCs w:val="25"/>
        </w:rPr>
        <w:t xml:space="preserve">The two assessment points</w:t>
      </w:r>
    </w:p>
    <w:p>
      <w:pPr>
        <w:pStyle w:val="Heading3"/>
        <w:spacing w:after="60" w:before="160"/>
      </w:pPr>
      <w:r>
        <w:rPr>
          <w:b/>
          <w:bCs/>
          <w:color w:val="1F3A5F"/>
          <w:sz w:val="23"/>
          <w:szCs w:val="23"/>
        </w:rPr>
        <w:t xml:space="preserve">Week 6 — supported assessment</w:t>
      </w:r>
    </w:p>
    <w:p>
      <w:pPr>
        <w:spacing w:after="120" w:before="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spacing w:after="60" w:before="160"/>
      </w:pPr>
      <w:r>
        <w:rPr>
          <w:b/>
          <w:bCs/>
          <w:color w:val="1F3A5F"/>
          <w:sz w:val="23"/>
          <w:szCs w:val="23"/>
        </w:rPr>
        <w:t xml:space="preserve">Week 12 — final assessment</w:t>
      </w:r>
    </w:p>
    <w:p>
      <w:pPr>
        <w:spacing w:after="120" w:before="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Five weeks, check in, five weeks, decide</w:t>
            </w:r>
          </w:p>
          <w:p>
            <w:pPr>
              <w:spacing w:after="0" w:before="0"/>
            </w:pPr>
            <w:r>
              <w:rPr>
                <w:sz w:val="21"/>
                <w:szCs w:val="21"/>
              </w:rPr>
              <w:t xml:space="preserve">Weeks 1–5 learn  →  Week 6 supported (provisional) judgement, with Amala  →  Weeks 7–11 learn  →  Week 12 final judgement, then Amala moderation.</w:t>
            </w:r>
          </w:p>
        </w:tc>
      </w:tr>
    </w:tbl>
    <w:p>
      <w:pPr>
        <w:pStyle w:val="Heading2"/>
        <w:spacing w:after="80" w:before="200"/>
      </w:pPr>
      <w:r>
        <w:rPr>
          <w:b/>
          <w:bCs/>
          <w:color w:val="7A3B69"/>
          <w:sz w:val="25"/>
          <w:szCs w:val="25"/>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pPr>
        <w:spacing w:after="120" w:before="0"/>
      </w:pPr>
      <w:r>
        <w:rPr>
          <w:i/>
          <w:iCs/>
          <w:color w:val="5A6473"/>
          <w:sz w:val="21"/>
          <w:szCs w:val="21"/>
        </w:rPr>
        <w:t xml:space="preserve">Note: the Research Project’s shared challenge is being finalised with NRC and the community. Confirm with your coordinator which competencies your cohort is assessed in and when.</w:t>
      </w:r>
    </w:p>
    <w:p>
      <w:r>
        <w:br w:type="page"/>
      </w:r>
    </w:p>
    <w:p>
      <w:pPr>
        <w:pStyle w:val="Heading1"/>
        <w:spacing w:after="100" w:before="260"/>
      </w:pPr>
      <w:r>
        <w:rPr>
          <w:b/>
          <w:bCs/>
          <w:color w:val="1F3A5F"/>
          <w:sz w:val="30"/>
          <w:szCs w:val="30"/>
        </w:rPr>
        <w:t xml:space="preserve">5. A few things that make this work</w:t>
      </w:r>
    </w:p>
    <w:p>
      <w:pPr>
        <w:pStyle w:val="ListParagraph"/>
        <w:numPr>
          <w:ilvl w:val="0"/>
          <w:numId w:val="1"/>
        </w:numPr>
        <w:spacing w:after="60"/>
      </w:pPr>
      <w:r>
        <w:rPr>
          <w:sz w:val="22"/>
          <w:szCs w:val="22"/>
        </w:rPr>
        <w:t xml:space="preserve">Deliver in the language you share with learners, from the plain-English guide. Times in the plan are generous on purpose — oral work, drawing, and translation take longer than they look.</w:t>
      </w:r>
    </w:p>
    <w:p>
      <w:pPr>
        <w:pStyle w:val="ListParagraph"/>
        <w:numPr>
          <w:ilvl w:val="0"/>
          <w:numId w:val="1"/>
        </w:numPr>
        <w:spacing w:after="60"/>
      </w:pPr>
      <w:r>
        <w:rPr>
          <w:sz w:val="22"/>
          <w:szCs w:val="22"/>
        </w:rPr>
        <w:t xml:space="preserve">Let learners draw and speak. Reading and writing are not the point of most activities; showing the thinking is.</w:t>
      </w:r>
    </w:p>
    <w:p>
      <w:pPr>
        <w:pStyle w:val="ListParagraph"/>
        <w:numPr>
          <w:ilvl w:val="0"/>
          <w:numId w:val="1"/>
        </w:numPr>
        <w:spacing w:after="60"/>
      </w:pPr>
      <w:r>
        <w:rPr>
          <w:sz w:val="22"/>
          <w:szCs w:val="22"/>
        </w:rPr>
        <w:t xml:space="preserve">Coach, don’t rescue. Re-anchor the goal, break the next step down, and let the learner take it.</w:t>
      </w:r>
    </w:p>
    <w:p>
      <w:pPr>
        <w:pStyle w:val="ListParagraph"/>
        <w:numPr>
          <w:ilvl w:val="0"/>
          <w:numId w:val="1"/>
        </w:numPr>
        <w:spacing w:after="60"/>
      </w:pPr>
      <w:r>
        <w:rPr>
          <w:sz w:val="22"/>
          <w:szCs w:val="22"/>
        </w:rPr>
        <w:t xml:space="preserve">A return after absence is progress. Pick the learner up where they are.</w:t>
      </w:r>
    </w:p>
    <w:p>
      <w:pPr>
        <w:pStyle w:val="ListParagraph"/>
        <w:numPr>
          <w:ilvl w:val="0"/>
          <w:numId w:val="1"/>
        </w:numPr>
        <w:spacing w:after="60"/>
      </w:pPr>
      <w:r>
        <w:rPr>
          <w:sz w:val="22"/>
          <w:szCs w:val="22"/>
        </w:rPr>
        <w:t xml:space="preserve">No printer? Show one copy on a screen, or hold up a printed sheet, and learners use their own notebooks.</w:t>
      </w:r>
    </w:p>
    <w:p>
      <w:pPr>
        <w:pStyle w:val="ListParagraph"/>
        <w:numPr>
          <w:ilvl w:val="0"/>
          <w:numId w:val="1"/>
        </w:numPr>
        <w:spacing w:after="60"/>
      </w:pPr>
      <w:r>
        <w:rPr>
          <w:sz w:val="22"/>
          <w:szCs w:val="22"/>
        </w:rPr>
        <w:t xml:space="preserve">When something sensitive surfaces: step back, stay calm, do not promise secrecy, and refer.</w:t>
      </w:r>
    </w:p>
    <w:p>
      <w:pPr>
        <w:spacing w:after="120" w:before="240"/>
      </w:pPr>
      <w:r>
        <w:rPr>
          <w:color w:val="5A6473"/>
          <w:sz w:val="18"/>
          <w:szCs w:val="18"/>
        </w:rPr>
        <w:t xml:space="preserve">This guide is part of a fully offline, editable pack for Learning Bridge+ (Cox’s Bazar). Your session-by-session guidance is in the Facilitator Unit Plan for each component.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2026-08-08T04:39:38.442Z</dcterms:created>
  <dcterms:modified xsi:type="dcterms:W3CDTF">2026-08-08T04:39:38.442Z</dcterms:modified>
</cp:coreProperties>
</file>

<file path=docProps/custom.xml><?xml version="1.0" encoding="utf-8"?>
<Properties xmlns="http://schemas.openxmlformats.org/officeDocument/2006/custom-properties" xmlns:vt="http://schemas.openxmlformats.org/officeDocument/2006/docPropsVTypes"/>
</file>