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your master educators and you (the coordinator), supports the Week-6 assessment, and moderates the final judgements. Amala does not train facilitators directly and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Master educators</w:t>
            </w:r>
          </w:p>
        </w:tc>
        <w:tc>
          <w:tcPr>
            <w:tcW w:type="dxa" w:w="6382"/>
            <w:tcMar>
              <w:top w:type="dxa" w:w="70"/>
              <w:left w:type="dxa" w:w="130"/>
              <w:bottom w:type="dxa" w:w="70"/>
              <w:right w:type="dxa" w:w="130"/>
            </w:tcMar>
          </w:tcPr>
          <w:p>
            <w:pPr>
              <w:spacing w:line="260"/>
            </w:pPr>
            <w:r>
              <w:rPr>
                <w:b w:val="false"/>
                <w:bCs w:val="false"/>
                <w:sz w:val="19"/>
                <w:szCs w:val="19"/>
              </w:rPr>
              <w:t xml:space="preserve">Your own experienced educators, qualified by Amala to train. They induct the facilitators before a cohort starts, using the Trainer Guide. Two of them can cover a cohort.</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Induct the facilitators before Week 1. Two inductions, about 7 hours in total, delivered by your master educators from the Trainer Guide: the programme and the Educator Guide, then assessment. Facilitators hold the portable training modules BEFORE induction - induction covers only what does not transfer. Book it far enough ahead that nobody starts a cohort uninducted, and see the Trainer Guide for what to do about a facilitator who joins mid-cohort.</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agreed with NRC - what is happening to the trees on the hills where learners live. The whole cohort investigates the same question, and the unit is built around it, so both competencies are assessed in every cohort.</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Facilitators hold the required training modules, and both inductions are delivered and recorded before Week 1.</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2026-08-31T07:56:29.588Z</dcterms:created>
  <dcterms:modified xsi:type="dcterms:W3CDTF">2026-08-31T07:56:29.589Z</dcterms:modified>
</cp:coreProperties>
</file>

<file path=docProps/custom.xml><?xml version="1.0" encoding="utf-8"?>
<Properties xmlns="http://schemas.openxmlformats.org/officeDocument/2006/custom-properties" xmlns:vt="http://schemas.openxmlformats.org/officeDocument/2006/docPropsVTypes"/>
</file>