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F3A5F"/>
          <w:sz w:val="44"/>
          <w:szCs w:val="44"/>
        </w:rPr>
        <w:t xml:space="preserve">Agency in Learning</w:t>
      </w:r>
    </w:p>
    <w:p>
      <w:pPr>
        <w:spacing w:after="40" w:before="0"/>
      </w:pPr>
      <w:r>
        <w:rPr>
          <w:b/>
          <w:bCs/>
          <w:color w:val="7A3B69"/>
          <w:sz w:val="24"/>
          <w:szCs w:val="24"/>
        </w:rPr>
        <w:t xml:space="preserve">Assessment record — Set and pursue goals (FSL2)</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5"/>
          <w:szCs w:val="25"/>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5"/>
          <w:szCs w:val="25"/>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 Amala moderates a sample of these against the evidence.</w:t>
      </w:r>
    </w:p>
    <w:p>
      <w:pPr>
        <w:spacing w:after="120" w:before="200"/>
      </w:pPr>
      <w:r>
        <w:rPr>
          <w:color w:val="5A6473"/>
          <w:sz w:val="16"/>
          <w:szCs w:val="16"/>
        </w:rPr>
        <w:t xml:space="preserve">Levels, GPA values and generic descriptors are Amala’s official Competency Framework and Proficiency Scale (cohorts starting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2026-08-21T03:56:36.221Z</dcterms:created>
  <dcterms:modified xsi:type="dcterms:W3CDTF">2026-08-21T03:56:36.221Z</dcterms:modified>
</cp:coreProperties>
</file>

<file path=docProps/custom.xml><?xml version="1.0" encoding="utf-8"?>
<Properties xmlns="http://schemas.openxmlformats.org/officeDocument/2006/custom-properties" xmlns:vt="http://schemas.openxmlformats.org/officeDocument/2006/docPropsVTypes"/>
</file>