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Parse professor and student solutions.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 Collapse each and run both uncollapsed and collapsed trees through the algorithm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 Output higher grade (in case somehow collapsing yields the student a lower grade)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 So far thinking of 3 categories to consist of total grade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 1. At least having required nodes and edges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 2. Similarity %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 3. Same outcomes with same inputs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Tree canonicalSolution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Tree studentSolution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Tree canonicalSolutionCollapsed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Tree studentSolutionCollapsed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Procedure Preprocessing: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 validity of canonical XML solution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Parse canonical solution from XML into object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 validity of student XML solution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Parse student solution from XML into object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Run collapsing algorithm on canonical solution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Save collapsed professor tree in new object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Run collapsing algorithm on student solution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Save collapsed student tree in new object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// Run the grading procedure on both the uncollapsed and collapsed versions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// Return the higher grade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Procedure Grading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// Baseline grading, ensure at least relevant nodes are present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Map correctNodes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Map correctEdges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Map studentNodes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Map studentEdges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FillNodes(correctNodes)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FillEdges(correctEdges) 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FillNodes(studentNodes)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FillEdges(correctEdges)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Check to see if student has at least all nodes and edges present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If so assign a baseline grade like 50% of the credit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Check(correctNodes, studentNodes)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Check(correctEdges, studentEdges)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Add some portion of total grade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 Some portion of the credit is how similar the trees are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CheckSimilarity(canonicalSolution, studentSolution)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some portion of total grade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// Run sample cases to see if they arrive at the same result of close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// Som portion of the credit given here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RunSampleTests()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some portion of the total grade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grade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Procedure FillNodes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If current node is not null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correctNodes.add(current.name, current.type)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all children of current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FillNodes(children)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Procedure FillEdges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If current node is not null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correctEdges.add(edge, weight)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all children of current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FillEdges(children)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