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Noto Sans KR" w:cs="Noto Sans KR" w:eastAsia="Noto Sans KR" w:hAnsi="Noto Sans KR"/>
          <w:b/>
          <w:bCs/>
          <w:color w:val="003366"/>
          <w:sz w:val="96"/>
          <w:szCs w:val="96"/>
        </w:rPr>
        <w:t xml:space="preserve">G0</w:t>
      </w:r>
    </w:p>
    <w:p>
      <w:pPr>
        <w:spacing w:after="100" w:before="200"/>
        <w:jc w:val="center"/>
      </w:pPr>
      <w:r>
        <w:rPr>
          <w:rFonts w:ascii="Noto Sans KR" w:cs="Noto Sans KR" w:eastAsia="Noto Sans KR" w:hAnsi="Noto Sans KR"/>
          <w:b/>
          <w:bCs/>
          <w:color w:val="333333"/>
          <w:sz w:val="40"/>
          <w:szCs w:val="40"/>
        </w:rPr>
        <w:t xml:space="preserve">GloBE Solution Landscape &amp; Product Strategy</w:t>
      </w:r>
    </w:p>
    <w:p>
      <w:pPr>
        <w:spacing w:after="2000"/>
        <w:jc w:val="center"/>
      </w:pPr>
      <w:r>
        <w:rPr>
          <w:rFonts w:ascii="Noto Sans KR" w:cs="Noto Sans KR" w:eastAsia="Noto Sans KR" w:hAnsi="Noto Sans KR"/>
          <w:color w:val="333333"/>
          <w:sz w:val="22"/>
          <w:szCs w:val="22"/>
        </w:rPr>
        <w:t xml:space="preserve">ASPN BAC사업부 내부 전략 문서 — GB 시리즈 및 GloBE Add-on 제품 전략의 기준 문서</w:t>
      </w:r>
    </w:p>
    <w:p>
      <w:pPr>
        <w:pBdr>
          <w:top w:val="single" w:color="003366" w:sz="6" w:space="8"/>
        </w:pBdr>
        <w:spacing w:before="200"/>
        <w:jc w:val="center"/>
      </w:pPr>
      <w:r>
        <w:rPr>
          <w:rFonts w:ascii="Noto Sans KR" w:cs="Noto Sans KR" w:eastAsia="Noto Sans KR" w:hAnsi="Noto Sans KR"/>
          <w:b/>
          <w:bCs/>
          <w:color w:val="003366"/>
          <w:sz w:val="18"/>
          <w:szCs w:val="18"/>
        </w:rPr>
        <w:t xml:space="preserve">CONFIDENTIAL — INTERNAL USE ONLY</w:t>
      </w:r>
    </w:p>
    <w:p>
      <w:pPr>
        <w:spacing w:before="100"/>
        <w:jc w:val="center"/>
      </w:pPr>
      <w:r>
        <w:rPr>
          <w:rFonts w:ascii="Noto Sans KR" w:cs="Noto Sans KR" w:eastAsia="Noto Sans KR" w:hAnsi="Noto Sans KR"/>
          <w:color w:val="333333"/>
          <w:sz w:val="18"/>
          <w:szCs w:val="18"/>
        </w:rPr>
        <w:t xml:space="preserve">Version 1.0  |  ASPN Business Advisory Consulting (BAC)</w:t>
      </w:r>
    </w:p>
    <w:p>
      <w:r>
        <w:br w:type="page"/>
      </w:r>
    </w:p>
    <w:p>
      <w:pPr>
        <w:pStyle w:val="Heading1"/>
        <w:spacing w:after="240" w:before="480"/>
      </w:pPr>
      <w:r>
        <w:rPr>
          <w:rFonts w:ascii="Noto Sans KR" w:cs="Noto Sans KR" w:eastAsia="Noto Sans KR" w:hAnsi="Noto Sans KR"/>
          <w:b/>
          <w:bCs/>
          <w:color w:val="003366"/>
          <w:sz w:val="32"/>
          <w:szCs w:val="32"/>
        </w:rP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rPr>
          <w:rFonts w:ascii="Noto Sans KR" w:cs="Noto Sans KR" w:eastAsia="Noto Sans KR" w:hAnsi="Noto Sans KR"/>
          <w:b/>
          <w:bCs/>
          <w:color w:val="003366"/>
          <w:sz w:val="32"/>
          <w:szCs w:val="32"/>
        </w:rPr>
        <w:t xml:space="preserve">Executive Summary</w:t>
      </w:r>
    </w:p>
    <w:p>
      <w:pPr>
        <w:spacing w:after="160" w:line="300"/>
      </w:pPr>
      <w:r>
        <w:rPr>
          <w:rFonts w:ascii="Noto Sans KR" w:cs="Noto Sans KR" w:eastAsia="Noto Sans KR" w:hAnsi="Noto Sans KR"/>
          <w:color w:val="333333"/>
          <w:sz w:val="21"/>
          <w:szCs w:val="21"/>
        </w:rPr>
        <w:t xml:space="preserve">본 문서는 ASPN이 SAP Group Reporting(GR) 고객을 대상으로 GloBE(OECD Pillar Two, 글로벌 최저한세) 대응 제품을 기획하기 위한 선행 전략 문서이다. GB 교육 시리즈 제작에 앞서, 시장 동향·경쟁 솔루션·SAP 표준 기능의 범위를 조사하고, 이를 기반으로 ASPN이 채워야 할 제품 기회를 정의한다.</w:t>
      </w:r>
    </w:p>
    <w:p>
      <w:pPr>
        <w:spacing w:after="160" w:line="300"/>
      </w:pPr>
      <w:r>
        <w:rPr>
          <w:rFonts w:ascii="Noto Sans KR" w:cs="Noto Sans KR" w:eastAsia="Noto Sans KR" w:hAnsi="Noto Sans KR"/>
          <w:color w:val="333333"/>
          <w:sz w:val="21"/>
          <w:szCs w:val="21"/>
        </w:rPr>
        <w:t xml:space="preserve">핵심 결론은 다음과 같다.</w:t>
      </w:r>
    </w:p>
    <w:p>
      <w:pPr>
        <w:pStyle w:val="ListParagraph"/>
        <w:numPr>
          <w:ilvl w:val="0"/>
          <w:numId w:val="2"/>
        </w:numPr>
        <w:spacing w:after="100" w:line="280"/>
      </w:pPr>
      <w:r>
        <w:rPr>
          <w:rFonts w:ascii="Noto Sans KR" w:cs="Noto Sans KR" w:eastAsia="Noto Sans KR" w:hAnsi="Noto Sans KR"/>
          <w:color w:val="333333"/>
          <w:sz w:val="21"/>
          <w:szCs w:val="21"/>
        </w:rPr>
        <w:t xml:space="preserve">GloBE 대응 시장은 세 가지 접근으로 분화되어 있다: ① Tax Platform(CCH Tagetik, Thomson Reuters 등 GloBE 전용 완제품), ② Calculation Platform(SAP PaPM 등 범용 계산 엔진), ③ Managed Platform(Big4의 플랫폼+서비스 결합형).</w:t>
      </w:r>
    </w:p>
    <w:p>
      <w:pPr>
        <w:pStyle w:val="ListParagraph"/>
        <w:numPr>
          <w:ilvl w:val="0"/>
          <w:numId w:val="2"/>
        </w:numPr>
        <w:spacing w:after="100" w:line="280"/>
      </w:pPr>
      <w:r>
        <w:rPr>
          <w:rFonts w:ascii="Noto Sans KR" w:cs="Noto Sans KR" w:eastAsia="Noto Sans KR" w:hAnsi="Noto Sans KR"/>
          <w:color w:val="333333"/>
          <w:sz w:val="21"/>
          <w:szCs w:val="21"/>
        </w:rPr>
        <w:t xml:space="preserve">SAP는 계산 엔진(PaPM)과 신고 컴포넌트(DRC)를 제공하지만, GloBE 전용 완제품은 보유하지 않는다. 이는 과거 Group Reporting 표준 도입 초기의 패턴과 동일하다 — 표준이 계산·플랫폼을 제공하고, 실무 워크플로우·검토·예외 처리는 추가 개발 영역으로 남는다.</w:t>
      </w:r>
    </w:p>
    <w:p>
      <w:pPr>
        <w:pStyle w:val="ListParagraph"/>
        <w:numPr>
          <w:ilvl w:val="0"/>
          <w:numId w:val="2"/>
        </w:numPr>
        <w:spacing w:after="100" w:line="280"/>
      </w:pPr>
      <w:r>
        <w:rPr>
          <w:rFonts w:ascii="Noto Sans KR" w:cs="Noto Sans KR" w:eastAsia="Noto Sans KR" w:hAnsi="Noto Sans KR"/>
          <w:color w:val="333333"/>
          <w:sz w:val="21"/>
          <w:szCs w:val="21"/>
        </w:rPr>
        <w:t xml:space="preserve">ASPN의 차별화 지점은 'SAP Native Data Model(ACDOCA/ACDOCU/Consolidation Unit 등)을 직접 활용'하면서 'Data/Rule Ownership을 고객사가 보유'하는 구조에 있다. 이는 Tax Platform(벤더 종속)이나 Big4 Managed Service(서비스 종속)와는 다른 세 번째 포지셔닝, 즉 'SAP Native GloBE Platform'이다.</w:t>
      </w:r>
    </w:p>
    <w:p>
      <w:pPr>
        <w:pStyle w:val="ListParagraph"/>
        <w:numPr>
          <w:ilvl w:val="0"/>
          <w:numId w:val="2"/>
        </w:numPr>
        <w:spacing w:after="100" w:line="280"/>
      </w:pPr>
      <w:r>
        <w:rPr>
          <w:rFonts w:ascii="Noto Sans KR" w:cs="Noto Sans KR" w:eastAsia="Noto Sans KR" w:hAnsi="Noto Sans KR"/>
          <w:color w:val="333333"/>
          <w:sz w:val="21"/>
          <w:szCs w:val="21"/>
        </w:rPr>
        <w:t xml:space="preserve">본 문서는 이 포지셔닝을 근거로 4개 제품군(GloBE Data Hub / Calculation Accelerator / Review &amp; Audit Workspace / GIR Package)과 단계별 Release 로드맵을 제시한다.</w:t>
      </w:r>
    </w:p>
    <w:p>
      <w:pPr>
        <w:spacing w:after="160"/>
      </w:pPr>
    </w:p>
    <w:p>
      <w:r>
        <w:br w:type="page"/>
      </w:r>
    </w:p>
    <w:p>
      <w:pPr>
        <w:pStyle w:val="Heading1"/>
        <w:spacing w:after="240" w:before="480"/>
      </w:pPr>
      <w:r>
        <w:rPr>
          <w:rFonts w:ascii="Noto Sans KR" w:cs="Noto Sans KR" w:eastAsia="Noto Sans KR" w:hAnsi="Noto Sans KR"/>
          <w:b/>
          <w:bCs/>
          <w:color w:val="003366"/>
          <w:sz w:val="32"/>
          <w:szCs w:val="32"/>
        </w:rPr>
        <w:t xml:space="preserve">1. OECD GloBE 시장 및 규제 동향</w:t>
      </w:r>
    </w:p>
    <w:p>
      <w:pPr>
        <w:spacing w:after="160" w:line="300"/>
      </w:pPr>
      <w:r>
        <w:rPr>
          <w:rFonts w:ascii="Noto Sans KR" w:cs="Noto Sans KR" w:eastAsia="Noto Sans KR" w:hAnsi="Noto Sans KR"/>
          <w:color w:val="333333"/>
          <w:sz w:val="21"/>
          <w:szCs w:val="21"/>
        </w:rPr>
        <w:t xml:space="preserve">2021년 10월, 135개 이상의 국가·관할지역이 OECD/G20 Inclusive Framework를 통해 BEPS(Base Erosion and Profit Shifting) 대응에 합의하면서 Pillar Two(GloBE, Global Anti-Base Erosion Rules)가 출범했다. 2026년 현재 약 140개 국가가 이를 채택했으며, 연결 매출 7억 5천만 유로 이상의 대규모 다국적기업(MNE) 그룹을 적용 대상으로 한다.</w:t>
      </w:r>
    </w:p>
    <w:p>
      <w:pPr>
        <w:pStyle w:val="Heading2"/>
        <w:spacing w:after="180" w:before="360"/>
      </w:pPr>
      <w:r>
        <w:rPr>
          <w:rFonts w:ascii="Noto Sans KR" w:cs="Noto Sans KR" w:eastAsia="Noto Sans KR" w:hAnsi="Noto Sans KR"/>
          <w:b/>
          <w:bCs/>
          <w:color w:val="003366"/>
          <w:sz w:val="26"/>
          <w:szCs w:val="26"/>
        </w:rPr>
        <w:t xml:space="preserve">1.1 제도의 기본 구조</w:t>
      </w:r>
    </w:p>
    <w:p>
      <w:pPr>
        <w:spacing w:after="160" w:line="300"/>
      </w:pPr>
      <w:r>
        <w:rPr>
          <w:rFonts w:ascii="Noto Sans KR" w:cs="Noto Sans KR" w:eastAsia="Noto Sans KR" w:hAnsi="Noto Sans KR"/>
          <w:color w:val="333333"/>
          <w:sz w:val="21"/>
          <w:szCs w:val="21"/>
        </w:rPr>
        <w:t xml:space="preserve">GloBE는 관할지역별 실효세율(ETR)이 15%에 미달할 경우 Top-up Tax를 부과하는 구조이며, 세 가지 실행 규칙으로 구성된다.</w:t>
      </w:r>
    </w:p>
    <w:p>
      <w:pPr>
        <w:pStyle w:val="ListParagraph"/>
        <w:numPr>
          <w:ilvl w:val="0"/>
          <w:numId w:val="2"/>
        </w:numPr>
        <w:spacing w:after="100" w:line="280"/>
      </w:pPr>
      <w:r>
        <w:rPr>
          <w:rFonts w:ascii="Noto Sans KR" w:cs="Noto Sans KR" w:eastAsia="Noto Sans KR" w:hAnsi="Noto Sans KR"/>
          <w:color w:val="333333"/>
          <w:sz w:val="21"/>
          <w:szCs w:val="21"/>
        </w:rPr>
        <w:t xml:space="preserve">IIR(Income Inclusion Rule): 최종 모회사(UPE) 소재국이 부과하는 주된 규칙</w:t>
      </w:r>
    </w:p>
    <w:p>
      <w:pPr>
        <w:pStyle w:val="ListParagraph"/>
        <w:numPr>
          <w:ilvl w:val="0"/>
          <w:numId w:val="2"/>
        </w:numPr>
        <w:spacing w:after="100" w:line="280"/>
      </w:pPr>
      <w:r>
        <w:rPr>
          <w:rFonts w:ascii="Noto Sans KR" w:cs="Noto Sans KR" w:eastAsia="Noto Sans KR" w:hAnsi="Noto Sans KR"/>
          <w:color w:val="333333"/>
          <w:sz w:val="21"/>
          <w:szCs w:val="21"/>
        </w:rPr>
        <w:t xml:space="preserve">UTPR(Undertaxed Profits Rule): IIR이 적용되지 않을 경우의 백스톱 규칙</w:t>
      </w:r>
    </w:p>
    <w:p>
      <w:pPr>
        <w:pStyle w:val="ListParagraph"/>
        <w:numPr>
          <w:ilvl w:val="0"/>
          <w:numId w:val="2"/>
        </w:numPr>
        <w:spacing w:after="100" w:line="280"/>
      </w:pPr>
      <w:r>
        <w:rPr>
          <w:rFonts w:ascii="Noto Sans KR" w:cs="Noto Sans KR" w:eastAsia="Noto Sans KR" w:hAnsi="Noto Sans KR"/>
          <w:color w:val="333333"/>
          <w:sz w:val="21"/>
          <w:szCs w:val="21"/>
        </w:rPr>
        <w:t xml:space="preserve">QDMTT(Qualified Domestic Minimum Top-up Tax): 저율과세 관할지역 스스로 부과하는 국내 최저한세</w:t>
      </w:r>
    </w:p>
    <w:p>
      <w:pPr>
        <w:pStyle w:val="Heading2"/>
        <w:spacing w:after="180" w:before="360"/>
      </w:pPr>
      <w:r>
        <w:rPr>
          <w:rFonts w:ascii="Noto Sans KR" w:cs="Noto Sans KR" w:eastAsia="Noto Sans KR" w:hAnsi="Noto Sans KR"/>
          <w:b/>
          <w:bCs/>
          <w:color w:val="003366"/>
          <w:sz w:val="26"/>
          <w:szCs w:val="26"/>
        </w:rPr>
        <w:t xml:space="preserve">1.2 2026년 규제 환경의 핵심 변화</w:t>
      </w:r>
    </w:p>
    <w:p>
      <w:pPr>
        <w:spacing w:after="160" w:line="300"/>
      </w:pPr>
      <w:r>
        <w:rPr>
          <w:rFonts w:ascii="Noto Sans KR" w:cs="Noto Sans KR" w:eastAsia="Noto Sans KR" w:hAnsi="Noto Sans KR"/>
          <w:color w:val="333333"/>
          <w:sz w:val="21"/>
          <w:szCs w:val="21"/>
        </w:rPr>
        <w:t xml:space="preserve">2026년 1월 5일, OECD는 미국 관련 이슈를 다루는 'Side-by-Side' 패키지를 발표했다. 미국 재무부는 2026년 1월 미국 본사 다국적기업을 Pillar Two 주요 과세 조항에서 면제한다고 발표했으며, 이에 따라 미국은 Pillar Two를 자체적으로 이행하지 않는 방향으로 정리되었다. 이 패키지는 4개의 신규 Safe Harbour 도입과 기존 Transitional CbCR Safe Harbour의 1년 연장을 포함한다.</w:t>
      </w:r>
    </w:p>
    <w:p>
      <w:pPr>
        <w:spacing w:after="160" w:line="300"/>
      </w:pPr>
      <w:r>
        <w:rPr>
          <w:rFonts w:ascii="Noto Sans KR" w:cs="Noto Sans KR" w:eastAsia="Noto Sans KR" w:hAnsi="Noto Sans KR"/>
          <w:color w:val="333333"/>
          <w:sz w:val="21"/>
          <w:szCs w:val="21"/>
        </w:rPr>
        <w:t xml:space="preserve">신규 Simplified ETR Safe Harbour는 2026년 12월 31일 이후 개시하는 회계연도부터 적용되며, 일부 국가는 2025년 12월 31일부터 조기 적용을 허용한다. 다만 이 규칙은 여전히 관할지역별 국내법 반영 시점에 따라 적용 시기가 달라질 수 있어, 2027년까지도 일부 기업은 간소화 혜택을 받지 못할 수 있다.</w:t>
      </w:r>
    </w:p>
    <w:p>
      <w:pPr>
        <w:spacing w:after="160" w:line="300"/>
      </w:pPr>
      <w:r>
        <w:rPr>
          <w:rFonts w:ascii="Noto Sans KR" w:cs="Noto Sans KR" w:eastAsia="Noto Sans KR" w:hAnsi="Noto Sans KR"/>
          <w:color w:val="333333"/>
          <w:sz w:val="21"/>
          <w:szCs w:val="21"/>
        </w:rPr>
        <w:t xml:space="preserve">실무 측면에서는 이미 신고 의무가 발생하고 있다. 역년 기준 납세자의 첫 GIR(GloBE Information Return) 신고 기한은 2026년 6월 30일이었으며, 네덜란드는 2026년 6월부터 Pillar Two 신고 접수를 시작했다. 벨기에는 GIR 통지서 신고 기한을 2026년 9월 30일로 연장했고, 독일은 2026년 5월 Draft Annual Tax Act 2026을 통해 Side-by-Side Safe Harbour 등 국내 이행 규정을 발표했다.</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일반화 주의</w:t>
            </w:r>
          </w:p>
          <w:p>
            <w:pPr>
              <w:spacing w:after="0" w:line="280"/>
            </w:pPr>
            <w:r>
              <w:rPr>
                <w:rFonts w:ascii="Noto Sans KR" w:cs="Noto Sans KR" w:eastAsia="Noto Sans KR" w:hAnsi="Noto Sans KR"/>
                <w:color w:val="333333"/>
                <w:sz w:val="20"/>
                <w:szCs w:val="20"/>
              </w:rPr>
              <w:t xml:space="preserve">국가별 시행 시기·Safe Harbour 적용 범위·QDMTT 요건은 계속 변경되고 있다. 본 문서의 규제 현황은 2026년 7월 시점의 스냅샷이며, GB 시리즈 및 Add-on 설계 시 지속적인 모니터링 체계가 별도로 필요하다.</w:t>
            </w:r>
          </w:p>
        </w:tc>
      </w:tr>
    </w:tbl>
    <w:p>
      <w:pPr>
        <w:pStyle w:val="Heading2"/>
        <w:spacing w:after="180" w:before="360"/>
      </w:pPr>
      <w:r>
        <w:rPr>
          <w:rFonts w:ascii="Noto Sans KR" w:cs="Noto Sans KR" w:eastAsia="Noto Sans KR" w:hAnsi="Noto Sans KR"/>
          <w:b/>
          <w:bCs/>
          <w:color w:val="003366"/>
          <w:sz w:val="26"/>
          <w:szCs w:val="26"/>
        </w:rPr>
        <w:t xml:space="preserve">1.3 데이터 요구사항의 규모</w:t>
      </w:r>
    </w:p>
    <w:p>
      <w:pPr>
        <w:spacing w:after="160" w:line="300"/>
      </w:pPr>
      <w:r>
        <w:rPr>
          <w:rFonts w:ascii="Noto Sans KR" w:cs="Noto Sans KR" w:eastAsia="Noto Sans KR" w:hAnsi="Noto Sans KR"/>
          <w:color w:val="333333"/>
          <w:sz w:val="21"/>
          <w:szCs w:val="21"/>
        </w:rPr>
        <w:t xml:space="preserve">GIR은 100개 이상의 복잡한 데이터 포인트를 요구하며, 이 중 상당수는 기존 시스템이 포착하지 못하는 항목이다. ETR 계산은 회계 데이터와 세무 데이터를 함께 다뤄야 하는 복합 계산이며, 재무보고 시스템과 Pillar Two 컴플라이언스 요건 간의 정합성 확보가 관건이다.</w:t>
      </w:r>
    </w:p>
    <w:p>
      <w:pPr>
        <w:spacing w:after="160" w:line="300"/>
      </w:pPr>
      <w:r>
        <w:rPr>
          <w:rFonts w:ascii="Noto Sans KR" w:cs="Noto Sans KR" w:eastAsia="Noto Sans KR" w:hAnsi="Noto Sans KR"/>
          <w:color w:val="333333"/>
          <w:sz w:val="21"/>
          <w:szCs w:val="21"/>
        </w:rPr>
        <w:t xml:space="preserve">실제 기업 사례에서도 이 점이 재확인된다. BASF와 EY의 협업 사례에서는 Pillar 2 대응 시 250개 이상의 데이터 포인트를 정형·비정형의 다양한 출처에서 수집·검증해야 하는 것이 가장 큰 난관으로 지목되었다.</w:t>
      </w:r>
    </w:p>
    <w:p>
      <w:pPr>
        <w:pStyle w:val="Heading2"/>
        <w:spacing w:after="180" w:before="360"/>
      </w:pPr>
      <w:r>
        <w:rPr>
          <w:rFonts w:ascii="Noto Sans KR" w:cs="Noto Sans KR" w:eastAsia="Noto Sans KR" w:hAnsi="Noto Sans KR"/>
          <w:b/>
          <w:bCs/>
          <w:color w:val="003366"/>
          <w:sz w:val="26"/>
          <w:szCs w:val="26"/>
        </w:rPr>
        <w:t xml:space="preserve">1.4 왜 연결결산 데이터가 출발점이 되는가</w:t>
      </w:r>
    </w:p>
    <w:p>
      <w:pPr>
        <w:spacing w:after="160" w:line="300"/>
      </w:pPr>
      <w:r>
        <w:rPr>
          <w:rFonts w:ascii="Noto Sans KR" w:cs="Noto Sans KR" w:eastAsia="Noto Sans KR" w:hAnsi="Noto Sans KR"/>
          <w:color w:val="333333"/>
          <w:sz w:val="21"/>
          <w:szCs w:val="21"/>
        </w:rPr>
        <w:t xml:space="preserve">GloBE 계산은 개별 법인의 법인세 신고서를 단순 집계해서는 완결되지 않는다. ETR은 관할지역 단위로 여러 법인의 소득을 합산(Jurisdictional Blending)해 계산되며, GloBE Income은 연결회계기준(IFRS 등)으로 산출된 재무제표를 출발점으로 조정된다. 즉 GloBE 계산의 최초 입력값은 개별 법인의 세무신고 데이터가 아니라, 연결 관점에서 이미 정합성이 검증된 재무 데이터이다.</w:t>
      </w:r>
    </w:p>
    <w:p>
      <w:pPr>
        <w:spacing w:after="160" w:line="300"/>
      </w:pPr>
      <w:r>
        <w:rPr>
          <w:rFonts w:ascii="Noto Sans KR" w:cs="Noto Sans KR" w:eastAsia="Noto Sans KR" w:hAnsi="Noto Sans KR"/>
          <w:color w:val="333333"/>
          <w:sz w:val="21"/>
          <w:szCs w:val="21"/>
        </w:rPr>
        <w:t xml:space="preserve">이 지점에서 SAP Group Reporting이 자연스럽게 연결된다. GR03~09에서 다룬 Reported Financial Data(ACDOCA)와 Release Universal Journal을 통해 이관되는 ACDOCU 데이터는, GloBE 계산이 요구하는 '이미 연결 관점에서 정리된 재무 데이터'라는 요건에 구조적으로 부합한다.</w:t>
      </w:r>
    </w:p>
    <w:p>
      <w:r>
        <w:br w:type="page"/>
      </w:r>
    </w:p>
    <w:p>
      <w:pPr>
        <w:pStyle w:val="Heading1"/>
        <w:spacing w:after="240" w:before="480"/>
      </w:pPr>
      <w:r>
        <w:rPr>
          <w:rFonts w:ascii="Noto Sans KR" w:cs="Noto Sans KR" w:eastAsia="Noto Sans KR" w:hAnsi="Noto Sans KR"/>
          <w:b/>
          <w:bCs/>
          <w:color w:val="003366"/>
          <w:sz w:val="32"/>
          <w:szCs w:val="32"/>
        </w:rPr>
        <w:t xml:space="preserve">2. 글로벌 경쟁 솔루션 분석</w:t>
      </w:r>
    </w:p>
    <w:p>
      <w:pPr>
        <w:spacing w:after="160" w:line="300"/>
      </w:pPr>
      <w:r>
        <w:rPr>
          <w:rFonts w:ascii="Noto Sans KR" w:cs="Noto Sans KR" w:eastAsia="Noto Sans KR" w:hAnsi="Noto Sans KR"/>
          <w:color w:val="333333"/>
          <w:sz w:val="21"/>
          <w:szCs w:val="21"/>
        </w:rPr>
        <w:t xml:space="preserve">GloBE 대응을 검토하는 SAP 고객은 'SAP 표준+추가개발' 하나만 놓고 판단하지 않는다. 실제 의사결정은 'SAP 표준+개발' vs 'Tax Platform 도입' vs 'Big4 Managed Service 위탁' 중 하나를 선택하는 구도로 이루어진다. 본 장에서는 SAP, Tax Platform(CCH Tagetik, Thomson Reuters), Big4 Platform 세 축을 중심으로 조사하고, OneStream은 참고 수준으로 다룬다. Oracle EPM은 ASPN의 주력 시장(SAP S/4HANA + Group Reporting 고객)과 겹치지 않아 본 문서의 조사 범위에서 제외한다.</w:t>
      </w:r>
    </w:p>
    <w:p>
      <w:pPr>
        <w:pStyle w:val="Heading2"/>
        <w:spacing w:after="180" w:before="360"/>
      </w:pPr>
      <w:r>
        <w:rPr>
          <w:rFonts w:ascii="Noto Sans KR" w:cs="Noto Sans KR" w:eastAsia="Noto Sans KR" w:hAnsi="Noto Sans KR"/>
          <w:b/>
          <w:bCs/>
          <w:color w:val="003366"/>
          <w:sz w:val="26"/>
          <w:szCs w:val="26"/>
        </w:rPr>
        <w:t xml:space="preserve">2.1 Tax Platform — CCH Tagetik (Wolters Kluwer)</w:t>
      </w:r>
    </w:p>
    <w:p>
      <w:pPr>
        <w:spacing w:after="160" w:line="300"/>
      </w:pPr>
      <w:r>
        <w:rPr>
          <w:rFonts w:ascii="Noto Sans KR" w:cs="Noto Sans KR" w:eastAsia="Noto Sans KR" w:hAnsi="Noto Sans KR"/>
          <w:color w:val="333333"/>
          <w:sz w:val="21"/>
          <w:szCs w:val="21"/>
        </w:rPr>
        <w:t xml:space="preserve">CCH Tagetik Global Minimum Tax는 데이터 수집·계산·리포팅·CbCR·플래닝까지 아우르는, GloBE 대응을 위해 처음부터 설계된 사전 구축(pre-built) 솔루션이다. 재무-세무 정렬을 위한 워크플로우가 내장되어 있으며, 로컬 조정을 유연하게 구성할 수 있는 저코드 방식을 취한다.</w:t>
      </w:r>
    </w:p>
    <w:p>
      <w:pPr>
        <w:spacing w:after="160" w:line="300"/>
      </w:pPr>
      <w:r>
        <w:rPr>
          <w:rFonts w:ascii="Noto Sans KR" w:cs="Noto Sans KR" w:eastAsia="Noto Sans KR" w:hAnsi="Noto Sans KR"/>
          <w:color w:val="333333"/>
          <w:sz w:val="21"/>
          <w:szCs w:val="21"/>
        </w:rPr>
        <w:t xml:space="preserve">별도 제품군인 CCH Integrator BEPS Pillar Two는 GIR을 국가별 XML 형식으로 생성하고, 호주·영국·캐나다 등 주요국의 QDMTT 신고까지 직접 지원한다. 120개국 이상에서 15,000명 이상의 사용자가 이 솔루션을 사용 중이며, Big4를 포함한 대형 고객 기반을 확보하고 있다.</w:t>
      </w:r>
    </w:p>
    <w:p>
      <w:pPr>
        <w:pStyle w:val="Heading2"/>
        <w:spacing w:after="180" w:before="360"/>
      </w:pPr>
      <w:r>
        <w:rPr>
          <w:rFonts w:ascii="Noto Sans KR" w:cs="Noto Sans KR" w:eastAsia="Noto Sans KR" w:hAnsi="Noto Sans KR"/>
          <w:b/>
          <w:bCs/>
          <w:color w:val="003366"/>
          <w:sz w:val="26"/>
          <w:szCs w:val="26"/>
        </w:rPr>
        <w:t xml:space="preserve">2.2 Tax Platform — Thomson Reuters (Orbitax GMT + ONESOURCE)</w:t>
      </w:r>
    </w:p>
    <w:p>
      <w:pPr>
        <w:spacing w:after="160" w:line="300"/>
      </w:pPr>
      <w:r>
        <w:rPr>
          <w:rFonts w:ascii="Noto Sans KR" w:cs="Noto Sans KR" w:eastAsia="Noto Sans KR" w:hAnsi="Noto Sans KR"/>
          <w:color w:val="333333"/>
          <w:sz w:val="21"/>
          <w:szCs w:val="21"/>
        </w:rPr>
        <w:t xml:space="preserve">Orbitax Global Minimum Tax는 ONESOURCE Tax Provision과 통합되어 190개국 이상의 세법을 반영한 계산을 자동화하며, GIR 생성·전송·플래닝까지 End-to-End로 지원한다. ONESOURCE Data Hub를 통해 여러 시스템에 흩어진 데이터를 하나의 재사용 가능한 데이터셋으로 표준화하는 데이터 거버넌스가 핵심 강점으로 제시된다.</w:t>
      </w:r>
    </w:p>
    <w:p>
      <w:pPr>
        <w:pStyle w:val="Heading2"/>
        <w:spacing w:after="180" w:before="360"/>
      </w:pPr>
      <w:r>
        <w:rPr>
          <w:rFonts w:ascii="Noto Sans KR" w:cs="Noto Sans KR" w:eastAsia="Noto Sans KR" w:hAnsi="Noto Sans KR"/>
          <w:b/>
          <w:bCs/>
          <w:color w:val="003366"/>
          <w:sz w:val="26"/>
          <w:szCs w:val="26"/>
        </w:rPr>
        <w:t xml:space="preserve">2.3 CPM/EPM 플랫폼 — OneStream (참고)</w:t>
      </w:r>
    </w:p>
    <w:p>
      <w:pPr>
        <w:spacing w:after="160" w:line="300"/>
      </w:pPr>
      <w:r>
        <w:rPr>
          <w:rFonts w:ascii="Noto Sans KR" w:cs="Noto Sans KR" w:eastAsia="Noto Sans KR" w:hAnsi="Noto Sans KR"/>
          <w:color w:val="333333"/>
          <w:sz w:val="21"/>
          <w:szCs w:val="21"/>
        </w:rPr>
        <w:t xml:space="preserve">OneStream은 GloBE 전용 브랜드 제품보다는 범용 CPM(Corporate Performance Management) 플랫폼으로서의 구성 유연성과 관리자 친화적 사용성이 강점으로 언급된다. CCH Tagetik과 비교 시 사용자 만족도에서 우위를 보이나, Pillar Two 특화 마케팅·기능은 상대적으로 약하다. 본 문서에서는 향후 참고 벤치마크로만 관리한다.</w:t>
      </w:r>
    </w:p>
    <w:p>
      <w:pPr>
        <w:pStyle w:val="Heading2"/>
        <w:spacing w:after="180" w:before="360"/>
      </w:pPr>
      <w:r>
        <w:rPr>
          <w:rFonts w:ascii="Noto Sans KR" w:cs="Noto Sans KR" w:eastAsia="Noto Sans KR" w:hAnsi="Noto Sans KR"/>
          <w:b/>
          <w:bCs/>
          <w:color w:val="003366"/>
          <w:sz w:val="26"/>
          <w:szCs w:val="26"/>
        </w:rPr>
        <w:t xml:space="preserve">2.4 SAP</w:t>
      </w:r>
    </w:p>
    <w:p>
      <w:pPr>
        <w:spacing w:after="160" w:line="300"/>
      </w:pPr>
      <w:r>
        <w:rPr>
          <w:rFonts w:ascii="Noto Sans KR" w:cs="Noto Sans KR" w:eastAsia="Noto Sans KR" w:hAnsi="Noto Sans KR"/>
          <w:color w:val="333333"/>
          <w:sz w:val="21"/>
          <w:szCs w:val="21"/>
        </w:rPr>
        <w:t xml:space="preserve">SAP는 GloBE 전용 단일 제품을 보유하지 않으며, 여러 컴포넌트의 조합으로 대응한다. SAP Profitability and Performance Management(PaPM)가 원가·수익 배분, 이전가격 계산, 당기/이연법인세 계산 등 범용 계산 엔진 역할을 하며 그 안에 BEPS 2.0 Pillar 2 계산 로직이 포함된다. 신고서 처리는 SAP Document and Reporting Compliance(DRC)가, 통제 레이어는 SAP Financial Compliance Management가 담당하는 구조다. 상세 분석은 3장에서 다룬다.</w:t>
      </w:r>
    </w:p>
    <w:p>
      <w:pPr>
        <w:pStyle w:val="Heading2"/>
        <w:spacing w:after="180" w:before="360"/>
      </w:pPr>
      <w:r>
        <w:rPr>
          <w:rFonts w:ascii="Noto Sans KR" w:cs="Noto Sans KR" w:eastAsia="Noto Sans KR" w:hAnsi="Noto Sans KR"/>
          <w:b/>
          <w:bCs/>
          <w:color w:val="003366"/>
          <w:sz w:val="26"/>
          <w:szCs w:val="26"/>
        </w:rPr>
        <w:t xml:space="preserve">2.5 Big4 Managed Platform</w:t>
      </w:r>
    </w:p>
    <w:p>
      <w:pPr>
        <w:spacing w:after="160" w:line="300"/>
      </w:pPr>
      <w:r>
        <w:rPr>
          <w:rFonts w:ascii="Noto Sans KR" w:cs="Noto Sans KR" w:eastAsia="Noto Sans KR" w:hAnsi="Noto Sans KR"/>
          <w:color w:val="333333"/>
          <w:sz w:val="21"/>
          <w:szCs w:val="21"/>
        </w:rPr>
        <w:t xml:space="preserve">Big4는 더 이상 순수 자문에 머물지 않고, 자체 플랫폼을 갖춘 Managed Service로 전환하고 있다. 이는 ASPN의 경쟁 구도를 재정의하는 중요한 신호다.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500"/>
        <w:gridCol w:w="3000"/>
        <w:gridCol w:w="4860"/>
      </w:tblGrid>
      <w:tr>
        <w:trPr>
          <w:tblHeader/>
        </w:trPr>
        <w:tc>
          <w:tcPr>
            <w:tcW w:type="dxa" w:w="15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Firm</w:t>
            </w:r>
          </w:p>
        </w:tc>
        <w:tc>
          <w:tcPr>
            <w:tcW w:type="dxa" w:w="30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플랫폼/자산</w:t>
            </w:r>
          </w:p>
        </w:tc>
        <w:tc>
          <w:tcPr>
            <w:tcW w:type="dxa" w:w="48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특징</w:t>
            </w:r>
          </w:p>
        </w:tc>
      </w:tr>
      <w:tr>
        <w:tc>
          <w:tcPr>
            <w:tcW w:type="dxa" w:w="15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Deloitte</w:t>
            </w:r>
          </w:p>
        </w:tc>
        <w:tc>
          <w:tcPr>
            <w:tcW w:type="dxa" w:w="30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Pillar Two Agent</w:t>
            </w:r>
          </w:p>
        </w:tc>
        <w:tc>
          <w:tcPr>
            <w:tcW w:type="dxa" w:w="4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데이터 수집·검증·계산·신고를 하나의 클라우드 환경에서 처리하는 End-to-End 플랫폼. 클로징·컴플라이언스 사이클의 투명성 확보에 초점.</w:t>
            </w:r>
          </w:p>
        </w:tc>
      </w:tr>
      <w:tr>
        <w:tc>
          <w:tcPr>
            <w:tcW w:type="dxa" w:w="15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KPMG</w:t>
            </w:r>
          </w:p>
        </w:tc>
        <w:tc>
          <w:tcPr>
            <w:tcW w:type="dxa" w:w="30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Digital Gateway for Tax</w:t>
            </w:r>
          </w:p>
        </w:tc>
        <w:tc>
          <w:tcPr>
            <w:tcW w:type="dxa" w:w="48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세무 기술·서비스·인사이트를 중앙화한 클라우드 허브. 데이터 통합과 계산/신고 워크플로우를 Managed Service와 결합해 파일럿부터 정상운영까지 확장 지원.</w:t>
            </w:r>
          </w:p>
        </w:tc>
      </w:tr>
      <w:tr>
        <w:tc>
          <w:tcPr>
            <w:tcW w:type="dxa" w:w="15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PwC</w:t>
            </w:r>
          </w:p>
        </w:tc>
        <w:tc>
          <w:tcPr>
            <w:tcW w:type="dxa" w:w="30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Pillar Two Country Tracker + Pillar Two Engine + Sightline</w:t>
            </w:r>
          </w:p>
        </w:tc>
        <w:tc>
          <w:tcPr>
            <w:tcW w:type="dxa" w:w="4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국가별 시행 현황 모니터링(Tracker), 익스포저 모델링·Top-up 계산(Engine), 신고·문서 협업 워크스페이스(Sightline)의 3종 조합.</w:t>
            </w:r>
          </w:p>
        </w:tc>
      </w:tr>
      <w:tr>
        <w:tc>
          <w:tcPr>
            <w:tcW w:type="dxa" w:w="15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EY</w:t>
            </w:r>
          </w:p>
        </w:tc>
        <w:tc>
          <w:tcPr>
            <w:tcW w:type="dxa" w:w="30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EY.ai (IBM watsonx 기반)</w:t>
            </w:r>
          </w:p>
        </w:tc>
        <w:tc>
          <w:tcPr>
            <w:tcW w:type="dxa" w:w="48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데이터 수집·업무 자동화에 생성형 AI를 결합, 데이터 집약 작업의 처리 주기 단축에 초점.</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2.6 시장 구도 요약</w:t>
      </w:r>
    </w:p>
    <w:p>
      <w:pPr>
        <w:spacing w:after="160" w:line="300"/>
      </w:pPr>
      <w:r>
        <w:rPr>
          <w:rFonts w:ascii="Noto Sans KR" w:cs="Noto Sans KR" w:eastAsia="Noto Sans KR" w:hAnsi="Noto Sans KR"/>
          <w:color w:val="333333"/>
          <w:sz w:val="21"/>
          <w:szCs w:val="21"/>
        </w:rPr>
        <w:t xml:space="preserve">조사 결과, GloBE 대응 시장은 세 가지 접근으로 수렴된다.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200"/>
        <w:gridCol w:w="2800"/>
        <w:gridCol w:w="4360"/>
      </w:tblGrid>
      <w:tr>
        <w:trPr>
          <w:tblHeader/>
        </w:trPr>
        <w:tc>
          <w:tcPr>
            <w:tcW w:type="dxa" w:w="22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접근 방식</w:t>
            </w:r>
          </w:p>
        </w:tc>
        <w:tc>
          <w:tcPr>
            <w:tcW w:type="dxa" w:w="28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대표 사업자</w:t>
            </w:r>
          </w:p>
        </w:tc>
        <w:tc>
          <w:tcPr>
            <w:tcW w:type="dxa" w:w="43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특징</w:t>
            </w:r>
          </w:p>
        </w:tc>
      </w:tr>
      <w:tr>
        <w:tc>
          <w:tcPr>
            <w:tcW w:type="dxa" w:w="2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Tax Platform</w:t>
            </w:r>
          </w:p>
        </w:tc>
        <w:tc>
          <w:tcPr>
            <w:tcW w:type="dxa" w:w="28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CCH Tagetik, Thomson Reuters</w:t>
            </w:r>
          </w:p>
        </w:tc>
        <w:tc>
          <w:tcPr>
            <w:tcW w:type="dxa" w:w="4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GloBE 전용 완제품. 데이터수집~신고까지 자체 제공하나 SAP ERP/GR 데이터와는 별도 연동이 필요.</w:t>
            </w:r>
          </w:p>
        </w:tc>
      </w:tr>
      <w:tr>
        <w:tc>
          <w:tcPr>
            <w:tcW w:type="dxa" w:w="2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Calculation Platform</w:t>
            </w:r>
          </w:p>
        </w:tc>
        <w:tc>
          <w:tcPr>
            <w:tcW w:type="dxa" w:w="28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(PaPM)</w:t>
            </w:r>
          </w:p>
        </w:tc>
        <w:tc>
          <w:tcPr>
            <w:tcW w:type="dxa" w:w="4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범용 계산 엔진 중심. GR/ERP 데이터와의 네이티브 연계는 강하나 GloBE 전용 워크플로우·신고 기능은 약함.</w:t>
            </w:r>
          </w:p>
        </w:tc>
      </w:tr>
      <w:tr>
        <w:tc>
          <w:tcPr>
            <w:tcW w:type="dxa" w:w="2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Managed Platform</w:t>
            </w:r>
          </w:p>
        </w:tc>
        <w:tc>
          <w:tcPr>
            <w:tcW w:type="dxa" w:w="28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Big4 (Deloitte/KPMG/PwC/EY)</w:t>
            </w:r>
          </w:p>
        </w:tc>
        <w:tc>
          <w:tcPr>
            <w:tcW w:type="dxa" w:w="4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자체 플랫폼과 컨설팅 서비스를 결합. 빠른 대응이 가능하나 벤더/펌 종속성이 발생.</w:t>
            </w:r>
          </w:p>
        </w:tc>
      </w:tr>
    </w:tbl>
    <w:p>
      <w:pPr>
        <w:spacing w:after="160"/>
      </w:pPr>
    </w:p>
    <w:p>
      <w:r>
        <w:br w:type="page"/>
      </w:r>
    </w:p>
    <w:p>
      <w:pPr>
        <w:pStyle w:val="Heading1"/>
        <w:spacing w:after="240" w:before="480"/>
      </w:pPr>
      <w:r>
        <w:rPr>
          <w:rFonts w:ascii="Noto Sans KR" w:cs="Noto Sans KR" w:eastAsia="Noto Sans KR" w:hAnsi="Noto Sans KR"/>
          <w:b/>
          <w:bCs/>
          <w:color w:val="003366"/>
          <w:sz w:val="32"/>
          <w:szCs w:val="32"/>
        </w:rPr>
        <w:t xml:space="preserve">3. SAP GloBE 아키텍처 및 Capability</w:t>
      </w:r>
    </w:p>
    <w:p>
      <w:pPr>
        <w:pStyle w:val="Heading2"/>
        <w:spacing w:after="180" w:before="360"/>
      </w:pPr>
      <w:r>
        <w:rPr>
          <w:rFonts w:ascii="Noto Sans KR" w:cs="Noto Sans KR" w:eastAsia="Noto Sans KR" w:hAnsi="Noto Sans KR"/>
          <w:b/>
          <w:bCs/>
          <w:color w:val="003366"/>
          <w:sz w:val="26"/>
          <w:szCs w:val="26"/>
        </w:rPr>
        <w:t xml:space="preserve">3.1 SAP의 접근 패턴</w:t>
      </w:r>
    </w:p>
    <w:p>
      <w:pPr>
        <w:spacing w:after="160" w:line="300"/>
      </w:pPr>
      <w:r>
        <w:rPr>
          <w:rFonts w:ascii="Noto Sans KR" w:cs="Noto Sans KR" w:eastAsia="Noto Sans KR" w:hAnsi="Noto Sans KR"/>
          <w:color w:val="333333"/>
          <w:sz w:val="21"/>
          <w:szCs w:val="21"/>
        </w:rPr>
        <w:t xml:space="preserve">SAP는 항상 국가·산업에 무관하게 적용 가능한 공통 플랫폼(Journal, Master Data, Workflow, Calculation Framework 등)을 구축하는 전략을 취해왔다. 반면 국가별 세법 예외, 실무 입력 화면, 고객사별 운영 프로세스처럼 지역·기업 특화 요구사항은 표준 범위 밖에 남겨두는 경향이 있다. GloBE 대응도 이 패턴을 따를 가능성이 높다.</w:t>
      </w:r>
    </w:p>
    <w:p>
      <w:pPr>
        <w:spacing w:after="160" w:line="300"/>
      </w:pPr>
      <w:r>
        <w:rPr>
          <w:rFonts w:ascii="Noto Sans KR" w:cs="Noto Sans KR" w:eastAsia="Noto Sans KR" w:hAnsi="Noto Sans KR"/>
          <w:color w:val="333333"/>
          <w:sz w:val="21"/>
          <w:szCs w:val="21"/>
        </w:rPr>
        <w:t xml:space="preserve">이 판단은 Group Reporting 표준 도입 초기 경험과 일치한다. GR 도입 초기에도 '표준이 모든 것을 해결해줄 것'이라는 기대가 있었으나, 실제 프로젝트에서는 Note Management, Non-SAP TB Upload, Mapping, Approval, Validation, Excel Upload, Workflow 등 추가 개발이 반복적으로 발생했다. AGRA 역시 이 지점에서 출발한 제품이다.</w:t>
      </w:r>
    </w:p>
    <w:p>
      <w:pPr>
        <w:pStyle w:val="Heading2"/>
        <w:spacing w:after="180" w:before="360"/>
      </w:pPr>
      <w:r>
        <w:rPr>
          <w:rFonts w:ascii="Noto Sans KR" w:cs="Noto Sans KR" w:eastAsia="Noto Sans KR" w:hAnsi="Noto Sans KR"/>
          <w:b/>
          <w:bCs/>
          <w:color w:val="003366"/>
          <w:sz w:val="26"/>
          <w:szCs w:val="26"/>
        </w:rPr>
        <w:t xml:space="preserve">3.2 SAP 컴포넌트별 역할</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400"/>
        <w:gridCol w:w="2600"/>
        <w:gridCol w:w="4360"/>
      </w:tblGrid>
      <w:tr>
        <w:trPr>
          <w:tblHeader/>
        </w:trPr>
        <w:tc>
          <w:tcPr>
            <w:tcW w:type="dxa" w:w="24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컴포넌트</w:t>
            </w:r>
          </w:p>
        </w:tc>
        <w:tc>
          <w:tcPr>
            <w:tcW w:type="dxa" w:w="2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역할</w:t>
            </w:r>
          </w:p>
        </w:tc>
        <w:tc>
          <w:tcPr>
            <w:tcW w:type="dxa" w:w="43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GloBE 관련 기능</w:t>
            </w:r>
          </w:p>
        </w:tc>
      </w:tr>
      <w:tr>
        <w:tc>
          <w:tcPr>
            <w:tcW w:type="dxa" w:w="2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PaPM</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범용 계산 엔진(Enterprise Calculation Platform)</w:t>
            </w:r>
          </w:p>
        </w:tc>
        <w:tc>
          <w:tcPr>
            <w:tcW w:type="dxa" w:w="4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배분, 이전가격, 당기/이연법인세 계산에 BEPS 2.0 Pillar 2 로직 포함. Pillar 2 전용이 아니라 여러 계산 유스케이스를 지원하는 플랫폼.</w:t>
            </w:r>
          </w:p>
        </w:tc>
      </w:tr>
      <w:tr>
        <w:tc>
          <w:tcPr>
            <w:tcW w:type="dxa" w:w="2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Document and Reporting Compliance(DRC)</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전자문서·법정보고 처리</w:t>
            </w:r>
          </w:p>
        </w:tc>
        <w:tc>
          <w:tcPr>
            <w:tcW w:type="dxa" w:w="4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GIR 등 신고서 생성·제출의 신고 레이어 역할 수행 가능성(세부 지원 범위는 프로젝트별 확인 필요).</w:t>
            </w:r>
          </w:p>
        </w:tc>
      </w:tr>
      <w:tr>
        <w:tc>
          <w:tcPr>
            <w:tcW w:type="dxa" w:w="2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Financial Compliance Management</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통제·컴플라이언스 레이어</w:t>
            </w:r>
          </w:p>
        </w:tc>
        <w:tc>
          <w:tcPr>
            <w:tcW w:type="dxa" w:w="4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SOX부터 세무 컴플라이언스까지 아우르는 통제 프레임워크.</w:t>
            </w:r>
          </w:p>
        </w:tc>
      </w:tr>
      <w:tr>
        <w:tc>
          <w:tcPr>
            <w:tcW w:type="dxa" w:w="2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Group Reporting</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연결결산 실행 엔진</w:t>
            </w:r>
          </w:p>
        </w:tc>
        <w:tc>
          <w:tcPr>
            <w:tcW w:type="dxa" w:w="4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ACDOCU 데이터가 GloBE 계산의 Input Source가 될 수 있는 연결 재무 데이터 제공.</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3.3 무엇을 지원하고, 무엇을 지원하지 않는가</w:t>
      </w:r>
    </w:p>
    <w:p>
      <w:pPr>
        <w:spacing w:after="160" w:line="300"/>
      </w:pPr>
      <w:r>
        <w:rPr>
          <w:rFonts w:ascii="Noto Sans KR" w:cs="Noto Sans KR" w:eastAsia="Noto Sans KR" w:hAnsi="Noto Sans KR"/>
          <w:color w:val="333333"/>
          <w:sz w:val="21"/>
          <w:szCs w:val="21"/>
        </w:rPr>
        <w:t xml:space="preserve">현재까지의 조사를 종합하면, SAP는 계산 엔진과 신고 컴포넌트의 조합까지는 제공하되, GloBE 전용의 다음 기능은 표준 범위 밖에 있을 가능성이 크다.</w:t>
      </w:r>
    </w:p>
    <w:p>
      <w:pPr>
        <w:pStyle w:val="ListParagraph"/>
        <w:numPr>
          <w:ilvl w:val="0"/>
          <w:numId w:val="2"/>
        </w:numPr>
        <w:spacing w:after="100" w:line="280"/>
      </w:pPr>
      <w:r>
        <w:rPr>
          <w:rFonts w:ascii="Noto Sans KR" w:cs="Noto Sans KR" w:eastAsia="Noto Sans KR" w:hAnsi="Noto Sans KR"/>
          <w:color w:val="333333"/>
          <w:sz w:val="21"/>
          <w:szCs w:val="21"/>
        </w:rPr>
        <w:t xml:space="preserve">GloBE 전용 Safe Harbour 관리 화면 및 판정 로직 (Transitional CbCR Safe Harbour, Simplified ETR Safe Harbour 등 최신 규정 반영)</w:t>
      </w:r>
    </w:p>
    <w:p>
      <w:pPr>
        <w:pStyle w:val="ListParagraph"/>
        <w:numPr>
          <w:ilvl w:val="0"/>
          <w:numId w:val="2"/>
        </w:numPr>
        <w:spacing w:after="100" w:line="280"/>
      </w:pPr>
      <w:r>
        <w:rPr>
          <w:rFonts w:ascii="Noto Sans KR" w:cs="Noto Sans KR" w:eastAsia="Noto Sans KR" w:hAnsi="Noto Sans KR"/>
          <w:color w:val="333333"/>
          <w:sz w:val="21"/>
          <w:szCs w:val="21"/>
        </w:rPr>
        <w:t xml:space="preserve">Jurisdiction/Entity 단위의 GloBE 특화 검토·승인 Workflow</w:t>
      </w:r>
    </w:p>
    <w:p>
      <w:pPr>
        <w:pStyle w:val="ListParagraph"/>
        <w:numPr>
          <w:ilvl w:val="0"/>
          <w:numId w:val="2"/>
        </w:numPr>
        <w:spacing w:after="100" w:line="280"/>
      </w:pPr>
      <w:r>
        <w:rPr>
          <w:rFonts w:ascii="Noto Sans KR" w:cs="Noto Sans KR" w:eastAsia="Noto Sans KR" w:hAnsi="Noto Sans KR"/>
          <w:color w:val="333333"/>
          <w:sz w:val="21"/>
          <w:szCs w:val="21"/>
        </w:rPr>
        <w:t xml:space="preserve">GIR XML 스키마에 특화된 패키징·전자신고 자동화</w:t>
      </w:r>
    </w:p>
    <w:p>
      <w:pPr>
        <w:pStyle w:val="ListParagraph"/>
        <w:numPr>
          <w:ilvl w:val="0"/>
          <w:numId w:val="2"/>
        </w:numPr>
        <w:spacing w:after="100" w:line="280"/>
      </w:pPr>
      <w:r>
        <w:rPr>
          <w:rFonts w:ascii="Noto Sans KR" w:cs="Noto Sans KR" w:eastAsia="Noto Sans KR" w:hAnsi="Noto Sans KR"/>
          <w:color w:val="333333"/>
          <w:sz w:val="21"/>
          <w:szCs w:val="21"/>
        </w:rPr>
        <w:t xml:space="preserve">증빙 관리 및 감사 대응(Audit Trail)을 위한 GloBE 특화 인터페이스</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절제된 서술 원칙</w:t>
            </w:r>
          </w:p>
          <w:p>
            <w:pPr>
              <w:spacing w:after="0" w:line="280"/>
            </w:pPr>
            <w:r>
              <w:rPr>
                <w:rFonts w:ascii="Noto Sans KR" w:cs="Noto Sans KR" w:eastAsia="Noto Sans KR" w:hAnsi="Noto Sans KR"/>
                <w:color w:val="333333"/>
                <w:sz w:val="20"/>
                <w:szCs w:val="20"/>
              </w:rPr>
              <w:t xml:space="preserve">위 항목은 공개된 SAP 공식 문서로 완전히 확인되지 않은 영역을 포함한다. SAP PaPM/DRC의 GloBE 관련 상세 기능 범위, BAdI/CDS/OData 확장 포인트는 SAP 공식 문서 및 실제 구축 사례 확인이 필요한 프로젝트별 확인 사항으로 남겨둔다. GB04(SAP와 GloBE) 제작 시 이 부분을 SAP 공식 자료로 재검증한다.</w:t>
            </w:r>
          </w:p>
        </w:tc>
      </w:tr>
    </w:tbl>
    <w:p>
      <w:r>
        <w:br w:type="page"/>
      </w:r>
    </w:p>
    <w:p>
      <w:pPr>
        <w:pStyle w:val="Heading1"/>
        <w:spacing w:after="240" w:before="480"/>
      </w:pPr>
      <w:r>
        <w:rPr>
          <w:rFonts w:ascii="Noto Sans KR" w:cs="Noto Sans KR" w:eastAsia="Noto Sans KR" w:hAnsi="Noto Sans KR"/>
          <w:b/>
          <w:bCs/>
          <w:color w:val="003366"/>
          <w:sz w:val="32"/>
          <w:szCs w:val="32"/>
        </w:rPr>
        <w:t xml:space="preserve">4. Enterprise GloBE Capability Reference Model</w:t>
      </w:r>
    </w:p>
    <w:p>
      <w:pPr>
        <w:spacing w:after="160" w:line="300"/>
      </w:pPr>
      <w:r>
        <w:rPr>
          <w:rFonts w:ascii="Noto Sans KR" w:cs="Noto Sans KR" w:eastAsia="Noto Sans KR" w:hAnsi="Noto Sans KR"/>
          <w:color w:val="333333"/>
          <w:sz w:val="21"/>
          <w:szCs w:val="21"/>
        </w:rPr>
        <w:t xml:space="preserve">본 장은 '어떤 기능이 필요한가'라는 SAP 중심의 질문에서 출발하지 않는다. 대신 GloBE 대응을 위해 어떤 고객에게도 공통으로 필요한 업무 역량(Capability)을 먼저 정의하고, 이를 기준으로 AGRA·SAP·CCH Tagetik·Thomson Reuters·Big4 Platform을 동일한 잣대로 비교한다. 이 Reference Model은 GB 시리즈, 제품기획, 영업 제안서가 공통으로 참조하는 기준 언어가 된다.</w:t>
      </w:r>
    </w:p>
    <w:p>
      <w:pPr>
        <w:pStyle w:val="Heading2"/>
        <w:spacing w:after="180" w:before="360"/>
      </w:pPr>
      <w:r>
        <w:rPr>
          <w:rFonts w:ascii="Noto Sans KR" w:cs="Noto Sans KR" w:eastAsia="Noto Sans KR" w:hAnsi="Noto Sans KR"/>
          <w:b/>
          <w:bCs/>
          <w:color w:val="003366"/>
          <w:sz w:val="26"/>
          <w:szCs w:val="26"/>
        </w:rPr>
        <w:t xml:space="preserve">4.1 계층 구조</w:t>
      </w:r>
    </w:p>
    <w:p>
      <w:pPr>
        <w:spacing w:after="160" w:line="300"/>
      </w:pPr>
      <w:r>
        <w:rPr>
          <w:rFonts w:ascii="Noto Sans KR" w:cs="Noto Sans KR" w:eastAsia="Noto Sans KR" w:hAnsi="Noto Sans KR"/>
          <w:color w:val="333333"/>
          <w:sz w:val="21"/>
          <w:szCs w:val="21"/>
        </w:rPr>
        <w:t xml:space="preserve">Capability는 데이터 생명주기 순서에 따라 9개 레이어로 구성된다.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900"/>
        <w:gridCol w:w="2600"/>
        <w:gridCol w:w="5860"/>
      </w:tblGrid>
      <w:tr>
        <w:trPr>
          <w:tblHeader/>
        </w:trPr>
        <w:tc>
          <w:tcPr>
            <w:tcW w:type="dxa" w:w="9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Layer</w:t>
            </w:r>
          </w:p>
        </w:tc>
        <w:tc>
          <w:tcPr>
            <w:tcW w:type="dxa" w:w="2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Capability</w:t>
            </w:r>
          </w:p>
        </w:tc>
        <w:tc>
          <w:tcPr>
            <w:tcW w:type="dxa" w:w="58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정의</w:t>
            </w:r>
          </w:p>
        </w:tc>
      </w:tr>
      <w:tr>
        <w:tc>
          <w:tcPr>
            <w:tcW w:type="dxa" w:w="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1</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Governance</w:t>
            </w:r>
          </w:p>
        </w:tc>
        <w:tc>
          <w:tcPr>
            <w:tcW w:type="dxa" w:w="5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GloBE 대응 조직·역할·정책·규정 변경 모니터링 체계</w:t>
            </w:r>
          </w:p>
        </w:tc>
      </w:tr>
      <w:tr>
        <w:tc>
          <w:tcPr>
            <w:tcW w:type="dxa" w:w="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2</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Master Data</w:t>
            </w:r>
          </w:p>
        </w:tc>
        <w:tc>
          <w:tcPr>
            <w:tcW w:type="dxa" w:w="58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Entity, Jurisdiction, Ownership Structure 등 GloBE 계산의 기준 데이터 관리</w:t>
            </w:r>
          </w:p>
        </w:tc>
      </w:tr>
      <w:tr>
        <w:tc>
          <w:tcPr>
            <w:tcW w:type="dxa" w:w="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3</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Data Collection</w:t>
            </w:r>
          </w:p>
        </w:tc>
        <w:tc>
          <w:tcPr>
            <w:tcW w:type="dxa" w:w="5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재무·세무 데이터를 다양한 소스(ERP, Non-ERP, Excel 등)에서 수집·표준화</w:t>
            </w:r>
          </w:p>
        </w:tc>
      </w:tr>
      <w:tr>
        <w:tc>
          <w:tcPr>
            <w:tcW w:type="dxa" w:w="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4</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Calculation</w:t>
            </w:r>
          </w:p>
        </w:tc>
        <w:tc>
          <w:tcPr>
            <w:tcW w:type="dxa" w:w="58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GloBE Income, Covered Tax, ETR, Top-up Tax 계산</w:t>
            </w:r>
          </w:p>
        </w:tc>
      </w:tr>
      <w:tr>
        <w:tc>
          <w:tcPr>
            <w:tcW w:type="dxa" w:w="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5</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Review</w:t>
            </w:r>
          </w:p>
        </w:tc>
        <w:tc>
          <w:tcPr>
            <w:tcW w:type="dxa" w:w="5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계산 결과에 대한 검토·이상치 탐지·조정 이력 관리</w:t>
            </w:r>
          </w:p>
        </w:tc>
      </w:tr>
      <w:tr>
        <w:tc>
          <w:tcPr>
            <w:tcW w:type="dxa" w:w="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6</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Approval</w:t>
            </w:r>
          </w:p>
        </w:tc>
        <w:tc>
          <w:tcPr>
            <w:tcW w:type="dxa" w:w="58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Jurisdiction/Entity 단위 승인 Workflow 및 권한 관리</w:t>
            </w:r>
          </w:p>
        </w:tc>
      </w:tr>
      <w:tr>
        <w:tc>
          <w:tcPr>
            <w:tcW w:type="dxa" w:w="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7</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Reporting</w:t>
            </w:r>
          </w:p>
        </w:tc>
        <w:tc>
          <w:tcPr>
            <w:tcW w:type="dxa" w:w="5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내부 보고, 경영진 대시보드, Safe Harbour 판정 결과 리포팅</w:t>
            </w:r>
          </w:p>
        </w:tc>
      </w:tr>
      <w:tr>
        <w:tc>
          <w:tcPr>
            <w:tcW w:type="dxa" w:w="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8</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Filing</w:t>
            </w:r>
          </w:p>
        </w:tc>
        <w:tc>
          <w:tcPr>
            <w:tcW w:type="dxa" w:w="58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GIR/QDMTT 신고서 생성 및 관할지역별 전자신고</w:t>
            </w:r>
          </w:p>
        </w:tc>
      </w:tr>
      <w:tr>
        <w:tc>
          <w:tcPr>
            <w:tcW w:type="dxa" w:w="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9</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Audit</w:t>
            </w:r>
          </w:p>
        </w:tc>
        <w:tc>
          <w:tcPr>
            <w:tcW w:type="dxa" w:w="58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증빙 관리, 감사 대응, Audit Trail 확보</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4.2 활용 방식</w:t>
      </w:r>
    </w:p>
    <w:p>
      <w:pPr>
        <w:spacing w:after="160" w:line="300"/>
      </w:pPr>
      <w:r>
        <w:rPr>
          <w:rFonts w:ascii="Noto Sans KR" w:cs="Noto Sans KR" w:eastAsia="Noto Sans KR" w:hAnsi="Noto Sans KR"/>
          <w:color w:val="333333"/>
          <w:sz w:val="21"/>
          <w:szCs w:val="21"/>
        </w:rPr>
        <w:t xml:space="preserve">이 Reference Model은 GB 시리즈에서는 GB03(GloBE 데이터 모델)과 GB04(SAP와 GloBE)의 공통 골격으로, 제품기획에서는 5장의 Capability Matrix 및 8장의 제품군 정의의 기준으로, 영업 제안서에서는 고객사의 현재 역량을 진단하는 체크리스트로 활용된다.</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Running Case와의 관계</w:t>
            </w:r>
          </w:p>
          <w:p>
            <w:pPr>
              <w:spacing w:after="0" w:line="280"/>
            </w:pPr>
            <w:r>
              <w:rPr>
                <w:rFonts w:ascii="Noto Sans KR" w:cs="Noto Sans KR" w:eastAsia="Noto Sans KR" w:hAnsi="Noto Sans KR"/>
                <w:color w:val="333333"/>
                <w:sz w:val="20"/>
                <w:szCs w:val="20"/>
              </w:rPr>
              <w:t xml:space="preserve">본 Reference Model은 특정 Running Case(예: ASPN Holdings 다국가 시나리오)에 종속되지 않는 범용 기준이다. Running Case는 이 Capability를 설명하기 위한 예시로만 사용되며, Capability 정의 자체는 Running Case보다 상위에 위치한다.</w:t>
            </w:r>
          </w:p>
        </w:tc>
      </w:tr>
    </w:tbl>
    <w:p>
      <w:r>
        <w:br w:type="page"/>
      </w:r>
    </w:p>
    <w:p>
      <w:pPr>
        <w:pStyle w:val="Heading1"/>
        <w:spacing w:after="240" w:before="480"/>
      </w:pPr>
      <w:r>
        <w:rPr>
          <w:rFonts w:ascii="Noto Sans KR" w:cs="Noto Sans KR" w:eastAsia="Noto Sans KR" w:hAnsi="Noto Sans KR"/>
          <w:b/>
          <w:bCs/>
          <w:color w:val="003366"/>
          <w:sz w:val="32"/>
          <w:szCs w:val="32"/>
        </w:rPr>
        <w:t xml:space="preserve">5. Capability Matrix &amp; Gap Analysis</w:t>
      </w:r>
    </w:p>
    <w:p>
      <w:pPr>
        <w:spacing w:after="160" w:line="300"/>
      </w:pPr>
      <w:r>
        <w:rPr>
          <w:rFonts w:ascii="Noto Sans KR" w:cs="Noto Sans KR" w:eastAsia="Noto Sans KR" w:hAnsi="Noto Sans KR"/>
          <w:color w:val="333333"/>
          <w:sz w:val="21"/>
          <w:szCs w:val="21"/>
        </w:rPr>
        <w:t xml:space="preserve">4장의 Reference Model을 기준으로 SAP, CCH Tagetik, Thomson Reuters, Big4 Platform, ASPN 목표 수준을 비교한다. 평가는 ◎(완전 지원) / ○(부분 지원, 추가 설정 필요) / △(제한적 지원, 상당한 추가 개발 필요) / 확인 필요(공개 자료로 판단 불가) 4단계로 표기한다.</w:t>
      </w:r>
    </w:p>
    <w:p>
      <w:pPr>
        <w:pStyle w:val="Heading2"/>
        <w:spacing w:after="180" w:before="360"/>
      </w:pPr>
      <w:r>
        <w:rPr>
          <w:rFonts w:ascii="Noto Sans KR" w:cs="Noto Sans KR" w:eastAsia="Noto Sans KR" w:hAnsi="Noto Sans KR"/>
          <w:b/>
          <w:bCs/>
          <w:color w:val="003366"/>
          <w:sz w:val="26"/>
          <w:szCs w:val="26"/>
        </w:rPr>
        <w:t xml:space="preserve">5.1 기능 Capability Matrix</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900"/>
        <w:gridCol w:w="1560"/>
        <w:gridCol w:w="1360"/>
        <w:gridCol w:w="1560"/>
        <w:gridCol w:w="1400"/>
        <w:gridCol w:w="1580"/>
      </w:tblGrid>
      <w:tr>
        <w:trPr>
          <w:tblHeader/>
        </w:trPr>
        <w:tc>
          <w:tcPr>
            <w:tcW w:type="dxa" w:w="19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Capability</w:t>
            </w:r>
          </w:p>
        </w:tc>
        <w:tc>
          <w:tcPr>
            <w:tcW w:type="dxa" w:w="15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SAP(PaPM+DRC)</w:t>
            </w:r>
          </w:p>
        </w:tc>
        <w:tc>
          <w:tcPr>
            <w:tcW w:type="dxa" w:w="13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CCH Tagetik</w:t>
            </w:r>
          </w:p>
        </w:tc>
        <w:tc>
          <w:tcPr>
            <w:tcW w:type="dxa" w:w="15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Thomson Reuters</w:t>
            </w:r>
          </w:p>
        </w:tc>
        <w:tc>
          <w:tcPr>
            <w:tcW w:type="dxa" w:w="14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Big4 Platform</w:t>
            </w:r>
          </w:p>
        </w:tc>
        <w:tc>
          <w:tcPr>
            <w:tcW w:type="dxa" w:w="158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ASPN 목표</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Master Data</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Data Collection</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 (Data Hub)</w:t>
            </w:r>
          </w:p>
        </w:tc>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Calculation</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 (PaPM)</w:t>
            </w:r>
          </w:p>
        </w:tc>
        <w:tc>
          <w:tcPr>
            <w:tcW w:type="dxa" w:w="1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Review</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Approval/Workflow</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Reporting</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Filing (GIR/QDMTT)</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Audit</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8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1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Safe Harbour 관리</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확인 필요</w:t>
            </w:r>
          </w:p>
        </w:tc>
        <w:tc>
          <w:tcPr>
            <w:tcW w:type="dxa" w:w="13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5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 (PwC Engine)</w:t>
            </w:r>
          </w:p>
        </w:tc>
        <w:tc>
          <w:tcPr>
            <w:tcW w:type="dxa" w:w="158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5.2 구조적 Capability Matrix — Ownership 축</w:t>
      </w:r>
    </w:p>
    <w:p>
      <w:pPr>
        <w:spacing w:after="160" w:line="300"/>
      </w:pPr>
      <w:r>
        <w:rPr>
          <w:rFonts w:ascii="Noto Sans KR" w:cs="Noto Sans KR" w:eastAsia="Noto Sans KR" w:hAnsi="Noto Sans KR"/>
          <w:color w:val="333333"/>
          <w:sz w:val="21"/>
          <w:szCs w:val="21"/>
        </w:rPr>
        <w:t xml:space="preserve">기능 비교만으로는 구매 의사결정을 설명하지 못한다. 실제 SAP 고객의 의사결정에서는 데이터·규칙의 소유권과 운영 독립성이 중요한 축으로 작용한다.</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900"/>
        <w:gridCol w:w="1300"/>
        <w:gridCol w:w="1300"/>
        <w:gridCol w:w="1400"/>
        <w:gridCol w:w="1300"/>
        <w:gridCol w:w="1160"/>
      </w:tblGrid>
      <w:tr>
        <w:trPr>
          <w:tblHeader/>
        </w:trPr>
        <w:tc>
          <w:tcPr>
            <w:tcW w:type="dxa" w:w="29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항목</w:t>
            </w:r>
          </w:p>
        </w:tc>
        <w:tc>
          <w:tcPr>
            <w:tcW w:type="dxa" w:w="13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SAP</w:t>
            </w:r>
          </w:p>
        </w:tc>
        <w:tc>
          <w:tcPr>
            <w:tcW w:type="dxa" w:w="13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CCH Tagetik</w:t>
            </w:r>
          </w:p>
        </w:tc>
        <w:tc>
          <w:tcPr>
            <w:tcW w:type="dxa" w:w="14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Thomson Reuters</w:t>
            </w:r>
          </w:p>
        </w:tc>
        <w:tc>
          <w:tcPr>
            <w:tcW w:type="dxa" w:w="13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Big4</w:t>
            </w:r>
          </w:p>
        </w:tc>
        <w:tc>
          <w:tcPr>
            <w:tcW w:type="dxa" w:w="11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ASPN</w:t>
            </w:r>
          </w:p>
        </w:tc>
      </w:tr>
      <w:tr>
        <w:tc>
          <w:tcPr>
            <w:tcW w:type="dxa" w:w="2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Native SAP Data Model 활용
(ACDOCA/ACDOCU/CU/FS Item 등)</w:t>
            </w:r>
          </w:p>
        </w:tc>
        <w:tc>
          <w:tcPr>
            <w:tcW w:type="dxa" w:w="13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r>
        <w:tc>
          <w:tcPr>
            <w:tcW w:type="dxa" w:w="2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Data Ownership</w:t>
            </w:r>
          </w:p>
        </w:tc>
        <w:tc>
          <w:tcPr>
            <w:tcW w:type="dxa" w:w="13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고객</w:t>
            </w:r>
          </w:p>
        </w:tc>
        <w:tc>
          <w:tcPr>
            <w:tcW w:type="dxa" w:w="13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고객</w:t>
            </w:r>
          </w:p>
        </w:tc>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일부 SaaS</w:t>
            </w:r>
          </w:p>
        </w:tc>
        <w:tc>
          <w:tcPr>
            <w:tcW w:type="dxa" w:w="13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일부 서비스 의존</w:t>
            </w:r>
          </w:p>
        </w:tc>
        <w:tc>
          <w:tcPr>
            <w:tcW w:type="dxa" w:w="1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고객</w:t>
            </w:r>
          </w:p>
        </w:tc>
      </w:tr>
      <w:tr>
        <w:tc>
          <w:tcPr>
            <w:tcW w:type="dxa" w:w="29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Rule Ownership</w:t>
            </w:r>
          </w:p>
        </w:tc>
        <w:tc>
          <w:tcPr>
            <w:tcW w:type="dxa" w:w="13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고객</w:t>
            </w:r>
          </w:p>
        </w:tc>
        <w:tc>
          <w:tcPr>
            <w:tcW w:type="dxa" w:w="13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벤더</w:t>
            </w:r>
          </w:p>
        </w:tc>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벤더</w:t>
            </w:r>
          </w:p>
        </w:tc>
        <w:tc>
          <w:tcPr>
            <w:tcW w:type="dxa" w:w="13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Big4</w:t>
            </w:r>
          </w:p>
        </w:tc>
        <w:tc>
          <w:tcPr>
            <w:tcW w:type="dxa" w:w="1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고객</w:t>
            </w:r>
          </w:p>
        </w:tc>
      </w:tr>
      <w:tr>
        <w:tc>
          <w:tcPr>
            <w:tcW w:type="dxa" w:w="29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운영 독립성</w:t>
            </w:r>
          </w:p>
        </w:tc>
        <w:tc>
          <w:tcPr>
            <w:tcW w:type="dxa" w:w="13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3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c>
          <w:tcPr>
            <w:tcW w:type="dxa" w:w="1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5.3 Gap 종합</w:t>
      </w:r>
    </w:p>
    <w:p>
      <w:pPr>
        <w:spacing w:after="160" w:line="300"/>
      </w:pPr>
      <w:r>
        <w:rPr>
          <w:rFonts w:ascii="Noto Sans KR" w:cs="Noto Sans KR" w:eastAsia="Noto Sans KR" w:hAnsi="Noto Sans KR"/>
          <w:color w:val="333333"/>
          <w:sz w:val="21"/>
          <w:szCs w:val="21"/>
        </w:rPr>
        <w:t xml:space="preserve">두 Matrix를 종합하면 다음과 같은 구조적 Gap이 확인된다.</w:t>
      </w:r>
    </w:p>
    <w:p>
      <w:pPr>
        <w:pStyle w:val="ListParagraph"/>
        <w:numPr>
          <w:ilvl w:val="0"/>
          <w:numId w:val="2"/>
        </w:numPr>
        <w:spacing w:after="100" w:line="280"/>
      </w:pPr>
      <w:r>
        <w:rPr>
          <w:rFonts w:ascii="Noto Sans KR" w:cs="Noto Sans KR" w:eastAsia="Noto Sans KR" w:hAnsi="Noto Sans KR"/>
          <w:color w:val="333333"/>
          <w:sz w:val="21"/>
          <w:szCs w:val="21"/>
        </w:rPr>
        <w:t xml:space="preserve">SAP 표준은 계산 엔진(PaPM)과 GR 데이터 연계에서 강점을 갖지만, Review/Approval/Filing/Safe Harbour 관리 등 실무 워크플로우에서 Tax Platform·Big4 대비 뚜렷한 격차가 있다.</w:t>
      </w:r>
    </w:p>
    <w:p>
      <w:pPr>
        <w:pStyle w:val="ListParagraph"/>
        <w:numPr>
          <w:ilvl w:val="0"/>
          <w:numId w:val="2"/>
        </w:numPr>
        <w:spacing w:after="100" w:line="280"/>
      </w:pPr>
      <w:r>
        <w:rPr>
          <w:rFonts w:ascii="Noto Sans KR" w:cs="Noto Sans KR" w:eastAsia="Noto Sans KR" w:hAnsi="Noto Sans KR"/>
          <w:color w:val="333333"/>
          <w:sz w:val="21"/>
          <w:szCs w:val="21"/>
        </w:rPr>
        <w:t xml:space="preserve">Tax Platform(CCH Tagetik, Thomson Reuters)은 기능적으로 가장 완결되어 있으나, Rule Ownership이 벤더에 있고 SAP Native Data Model과의 연계가 약해 SAP 고객 입장에서는 이중 데이터 관리 부담이 발생한다.</w:t>
      </w:r>
    </w:p>
    <w:p>
      <w:pPr>
        <w:pStyle w:val="ListParagraph"/>
        <w:numPr>
          <w:ilvl w:val="0"/>
          <w:numId w:val="2"/>
        </w:numPr>
        <w:spacing w:after="100" w:line="280"/>
      </w:pPr>
      <w:r>
        <w:rPr>
          <w:rFonts w:ascii="Noto Sans KR" w:cs="Noto Sans KR" w:eastAsia="Noto Sans KR" w:hAnsi="Noto Sans KR"/>
          <w:color w:val="333333"/>
          <w:sz w:val="21"/>
          <w:szCs w:val="21"/>
        </w:rPr>
        <w:t xml:space="preserve">Big4 Platform은 Managed Service로서 빠른 대응이 가능하나, Rule Ownership이 Big4에 있어 고객사의 장기적 운영 독립성이 제한된다.</w:t>
      </w:r>
    </w:p>
    <w:p>
      <w:pPr>
        <w:pStyle w:val="ListParagraph"/>
        <w:numPr>
          <w:ilvl w:val="0"/>
          <w:numId w:val="2"/>
        </w:numPr>
        <w:spacing w:after="100" w:line="280"/>
      </w:pPr>
      <w:r>
        <w:rPr>
          <w:rFonts w:ascii="Noto Sans KR" w:cs="Noto Sans KR" w:eastAsia="Noto Sans KR" w:hAnsi="Noto Sans KR"/>
          <w:color w:val="333333"/>
          <w:sz w:val="21"/>
          <w:szCs w:val="21"/>
        </w:rPr>
        <w:t xml:space="preserve">이 세 축 어디에도 속하지 않는 영역, 즉 'SAP Native Data Model + 고객 소유 Rule/Data + Tax Platform 수준의 워크플로우'가 ASPN이 채울 수 있는 공백이다.</w:t>
      </w:r>
    </w:p>
    <w:p>
      <w:r>
        <w:br w:type="page"/>
      </w:r>
    </w:p>
    <w:p>
      <w:pPr>
        <w:pStyle w:val="Heading1"/>
        <w:spacing w:after="240" w:before="480"/>
      </w:pPr>
      <w:r>
        <w:rPr>
          <w:rFonts w:ascii="Noto Sans KR" w:cs="Noto Sans KR" w:eastAsia="Noto Sans KR" w:hAnsi="Noto Sans KR"/>
          <w:b/>
          <w:bCs/>
          <w:color w:val="003366"/>
          <w:sz w:val="32"/>
          <w:szCs w:val="32"/>
        </w:rPr>
        <w:t xml:space="preserve">6. Build vs Buy vs Partner</w:t>
      </w:r>
    </w:p>
    <w:p>
      <w:pPr>
        <w:spacing w:after="160" w:line="300"/>
      </w:pPr>
      <w:r>
        <w:rPr>
          <w:rFonts w:ascii="Noto Sans KR" w:cs="Noto Sans KR" w:eastAsia="Noto Sans KR" w:hAnsi="Noto Sans KR"/>
          <w:color w:val="333333"/>
          <w:sz w:val="21"/>
          <w:szCs w:val="21"/>
        </w:rPr>
        <w:t xml:space="preserve">3개 전략 옵션 — Buy(전용 솔루션 도입), Build(SAP 기반 자체 애드인 개발), Partner(SAP 표준 + Big4/세무법인 협업) — 중 어느 것이 적합한지는 고객사 상황에 따라 달라진다. 이를 일괄 권고 대신 의사결정 트리로 구조화한다.</w:t>
      </w:r>
    </w:p>
    <w:p>
      <w:pPr>
        <w:pStyle w:val="Heading2"/>
        <w:spacing w:after="180" w:before="360"/>
      </w:pPr>
      <w:r>
        <w:rPr>
          <w:rFonts w:ascii="Noto Sans KR" w:cs="Noto Sans KR" w:eastAsia="Noto Sans KR" w:hAnsi="Noto Sans KR"/>
          <w:b/>
          <w:bCs/>
          <w:color w:val="003366"/>
          <w:sz w:val="26"/>
          <w:szCs w:val="26"/>
        </w:rPr>
        <w:t xml:space="preserve">6.1 전략 옵션 정의</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1400"/>
        <w:gridCol w:w="4200"/>
        <w:gridCol w:w="3760"/>
      </w:tblGrid>
      <w:tr>
        <w:trPr>
          <w:tblHeader/>
        </w:trPr>
        <w:tc>
          <w:tcPr>
            <w:tcW w:type="dxa" w:w="14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전략</w:t>
            </w:r>
          </w:p>
        </w:tc>
        <w:tc>
          <w:tcPr>
            <w:tcW w:type="dxa" w:w="42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의미</w:t>
            </w:r>
          </w:p>
        </w:tc>
        <w:tc>
          <w:tcPr>
            <w:tcW w:type="dxa" w:w="37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ASPN 관점</w:t>
            </w:r>
          </w:p>
        </w:tc>
      </w:tr>
      <w:tr>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Buy</w:t>
            </w:r>
          </w:p>
        </w:tc>
        <w:tc>
          <w:tcPr>
            <w:tcW w:type="dxa" w:w="4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CCH Tagetik/Thomson Reuters 등 전용 솔루션 도입</w:t>
            </w:r>
          </w:p>
        </w:tc>
        <w:tc>
          <w:tcPr>
            <w:tcW w:type="dxa" w:w="37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경쟁 분석 대상. ASPN은 이 옵션의 대안을 제시하는 포지션.</w:t>
            </w:r>
          </w:p>
        </w:tc>
      </w:tr>
      <w:tr>
        <w:tc>
          <w:tcPr>
            <w:tcW w:type="dxa" w:w="14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Build</w:t>
            </w:r>
          </w:p>
        </w:tc>
        <w:tc>
          <w:tcPr>
            <w:tcW w:type="dxa" w:w="42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기반 자체 애드인 개발 (ASPN Add-on)</w:t>
            </w:r>
          </w:p>
        </w:tc>
        <w:tc>
          <w:tcPr>
            <w:tcW w:type="dxa" w:w="37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핵심 전략. Native SAP Data Model + 고객 소유 Rule/Data 강점 실현.</w:t>
            </w:r>
          </w:p>
        </w:tc>
      </w:tr>
      <w:tr>
        <w:tc>
          <w:tcPr>
            <w:tcW w:type="dxa" w:w="14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Partner</w:t>
            </w:r>
          </w:p>
        </w:tc>
        <w:tc>
          <w:tcPr>
            <w:tcW w:type="dxa" w:w="42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표준 + Big4/세무법인 협업</w:t>
            </w:r>
          </w:p>
        </w:tc>
        <w:tc>
          <w:tcPr>
            <w:tcW w:type="dxa" w:w="37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현실적인 사업 모델. 초기 규모가 작거나 세무 전문성이 필요한 고객 대상.</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6.2 의사결정 트리</w:t>
      </w:r>
    </w:p>
    <w:p>
      <w:pPr>
        <w:spacing w:after="90"/>
        <w:ind w:left="0"/>
      </w:pPr>
      <w:r>
        <w:rPr>
          <w:rFonts w:ascii="Noto Sans KR" w:cs="Noto Sans KR" w:eastAsia="Noto Sans KR" w:hAnsi="Noto Sans KR"/>
          <w:b/>
          <w:bCs/>
          <w:color w:val="333333"/>
          <w:sz w:val="20"/>
          <w:szCs w:val="20"/>
        </w:rPr>
        <w:t xml:space="preserve">SAP 고객인가?</w:t>
      </w:r>
    </w:p>
    <w:p>
      <w:pPr>
        <w:spacing w:after="90"/>
        <w:ind w:left="360"/>
      </w:pPr>
      <w:r>
        <w:rPr>
          <w:rFonts w:ascii="Noto Sans KR" w:cs="Noto Sans KR" w:eastAsia="Noto Sans KR" w:hAnsi="Noto Sans KR"/>
          <w:b w:val="false"/>
          <w:bCs w:val="false"/>
          <w:color w:val="333333"/>
          <w:sz w:val="20"/>
          <w:szCs w:val="20"/>
        </w:rPr>
        <w:t xml:space="preserve">아니오 → Tax Platform(Buy) 검토</w:t>
      </w:r>
    </w:p>
    <w:p>
      <w:pPr>
        <w:spacing w:after="90"/>
        <w:ind w:left="360"/>
      </w:pPr>
      <w:r>
        <w:rPr>
          <w:rFonts w:ascii="Noto Sans KR" w:cs="Noto Sans KR" w:eastAsia="Noto Sans KR" w:hAnsi="Noto Sans KR"/>
          <w:b/>
          <w:bCs/>
          <w:color w:val="333333"/>
          <w:sz w:val="20"/>
          <w:szCs w:val="20"/>
        </w:rPr>
        <w:t xml:space="preserve">예 → Group Reporting 사용 중인가?</w:t>
      </w:r>
    </w:p>
    <w:p>
      <w:pPr>
        <w:spacing w:after="90"/>
        <w:ind w:left="720"/>
      </w:pPr>
      <w:r>
        <w:rPr>
          <w:rFonts w:ascii="Noto Sans KR" w:cs="Noto Sans KR" w:eastAsia="Noto Sans KR" w:hAnsi="Noto Sans KR"/>
          <w:b w:val="false"/>
          <w:bCs w:val="false"/>
          <w:color w:val="333333"/>
          <w:sz w:val="20"/>
          <w:szCs w:val="20"/>
        </w:rPr>
        <w:t xml:space="preserve">아니오 → SAP 표준 우선 도입, GR 도입 이후 재평가</w:t>
      </w:r>
    </w:p>
    <w:p>
      <w:pPr>
        <w:spacing w:after="90"/>
        <w:ind w:left="720"/>
      </w:pPr>
      <w:r>
        <w:rPr>
          <w:rFonts w:ascii="Noto Sans KR" w:cs="Noto Sans KR" w:eastAsia="Noto Sans KR" w:hAnsi="Noto Sans KR"/>
          <w:b/>
          <w:bCs/>
          <w:color w:val="333333"/>
          <w:sz w:val="20"/>
          <w:szCs w:val="20"/>
        </w:rPr>
        <w:t xml:space="preserve">예 → 복잡한 GloBE 요구사항인가? (다국가·다수 관할지역·복잡한 지분구조)</w:t>
      </w:r>
    </w:p>
    <w:p>
      <w:pPr>
        <w:spacing w:after="90"/>
        <w:ind w:left="1080"/>
      </w:pPr>
      <w:r>
        <w:rPr>
          <w:rFonts w:ascii="Noto Sans KR" w:cs="Noto Sans KR" w:eastAsia="Noto Sans KR" w:hAnsi="Noto Sans KR"/>
          <w:b w:val="false"/>
          <w:bCs w:val="false"/>
          <w:color w:val="333333"/>
          <w:sz w:val="20"/>
          <w:szCs w:val="20"/>
        </w:rPr>
        <w:t xml:space="preserve">아니오 → SAP 표준(PaPM+DRC)만으로 대응</w:t>
      </w:r>
    </w:p>
    <w:p>
      <w:pPr>
        <w:shd w:fill="003366" w:val="clear"/>
        <w:spacing w:after="90"/>
        <w:ind w:left="1080"/>
      </w:pPr>
      <w:r>
        <w:rPr>
          <w:rFonts w:ascii="Noto Sans KR" w:cs="Noto Sans KR" w:eastAsia="Noto Sans KR" w:hAnsi="Noto Sans KR"/>
          <w:b/>
          <w:bCs/>
          <w:color w:val="FFFFFF"/>
          <w:sz w:val="20"/>
          <w:szCs w:val="20"/>
        </w:rPr>
        <w:t xml:space="preserve">예 → ASPN Add-on(Build) + SAP 표준 조합</w:t>
      </w:r>
    </w:p>
    <w:p>
      <w:pPr>
        <w:spacing w:after="200"/>
      </w:pPr>
    </w:p>
    <w:p>
      <w:pPr>
        <w:spacing w:after="160" w:line="300"/>
      </w:pPr>
      <w:r>
        <w:rPr>
          <w:rFonts w:ascii="Noto Sans KR" w:cs="Noto Sans KR" w:eastAsia="Noto Sans KR" w:hAnsi="Noto Sans KR"/>
          <w:color w:val="333333"/>
          <w:sz w:val="21"/>
          <w:szCs w:val="21"/>
        </w:rPr>
        <w:t xml:space="preserve">복잡도 판단 기준(3단계)은 GB03(GloBE 데이터 모델) 및 GB05(Gap Analysis)에서 구체적인 체크리스트로 발전시킨다. 관할지역 수, Safe Harbour 해당 여부, NCI/지분변동 이벤트 빈도 등이 판단 변수가 될 수 있다.</w:t>
      </w:r>
    </w:p>
    <w:p>
      <w:r>
        <w:br w:type="page"/>
      </w:r>
    </w:p>
    <w:p>
      <w:pPr>
        <w:pStyle w:val="Heading1"/>
        <w:spacing w:after="240" w:before="480"/>
      </w:pPr>
      <w:r>
        <w:rPr>
          <w:rFonts w:ascii="Noto Sans KR" w:cs="Noto Sans KR" w:eastAsia="Noto Sans KR" w:hAnsi="Noto Sans KR"/>
          <w:b/>
          <w:bCs/>
          <w:color w:val="003366"/>
          <w:sz w:val="32"/>
          <w:szCs w:val="32"/>
        </w:rPr>
        <w:t xml:space="preserve">7. Strategic Positioning — ASPN은 어디에 설 것인가</w:t>
      </w:r>
    </w:p>
    <w:p>
      <w:pPr>
        <w:spacing w:after="160" w:line="300"/>
      </w:pPr>
      <w:r>
        <w:rPr>
          <w:rFonts w:ascii="Noto Sans KR" w:cs="Noto Sans KR" w:eastAsia="Noto Sans KR" w:hAnsi="Noto Sans KR"/>
          <w:color w:val="333333"/>
          <w:sz w:val="21"/>
          <w:szCs w:val="21"/>
        </w:rPr>
        <w:t xml:space="preserve">2장~6장의 조사를 종합하면, GloBE 대응 시장은 세 가지 접근으로 나뉜다: Tax Platform(GloBE 전용 완제품), Calculation Platform(SAP 단독), Managed Platform(Big4 서비스결합형). ASPN은 이 세 접근 중 어느 것도 아닌 네 번째 포지션에 선다.</w:t>
      </w:r>
    </w:p>
    <w:tbl>
      <w:tblPr>
        <w:tblW w:type="pct" w:w="100%"/>
        <w:tblBorders>
          <w:top w:val="single" w:color="003366" w:sz="4"/>
          <w:left w:val="single" w:color="003366" w:sz="4"/>
          <w:bottom w:val="single" w:color="003366" w:sz="4"/>
          <w:right w:val="single" w:color="003366" w:sz="4"/>
          <w:insideH w:val="none" w:color="FFFFFF" w:sz="0"/>
          <w:insideV w:val="none" w:color="FFFFFF" w:sz="0"/>
        </w:tblBorders>
      </w:tblPr>
      <w:tblGrid>
        <w:gridCol w:w="100"/>
      </w:tblGrid>
      <w:tr>
        <w:tc>
          <w:tcPr>
            <w:shd w:fill="F2F2F2" w:val="clear"/>
            <w:tcMar>
              <w:top w:type="dxa" w:w="160"/>
              <w:left w:type="dxa" w:w="200"/>
              <w:bottom w:type="dxa" w:w="160"/>
              <w:right w:type="dxa" w:w="200"/>
            </w:tcMar>
          </w:tcPr>
          <w:p>
            <w:pPr>
              <w:spacing w:after="80"/>
            </w:pPr>
            <w:r>
              <w:rPr>
                <w:rFonts w:ascii="Noto Sans KR" w:cs="Noto Sans KR" w:eastAsia="Noto Sans KR" w:hAnsi="Noto Sans KR"/>
                <w:b/>
                <w:bCs/>
                <w:color w:val="003366"/>
                <w:sz w:val="21"/>
                <w:szCs w:val="21"/>
              </w:rPr>
              <w:t xml:space="preserve">핵심 포지셔닝 선언</w:t>
            </w:r>
          </w:p>
          <w:p>
            <w:pPr>
              <w:spacing w:after="0" w:line="280"/>
            </w:pPr>
            <w:r>
              <w:rPr>
                <w:rFonts w:ascii="Noto Sans KR" w:cs="Noto Sans KR" w:eastAsia="Noto Sans KR" w:hAnsi="Noto Sans KR"/>
                <w:color w:val="333333"/>
                <w:sz w:val="20"/>
                <w:szCs w:val="20"/>
              </w:rPr>
              <w:t xml:space="preserve">SAP Native GloBE Platform — SAP의 데이터 모델을 그대로 활용하고, SAP의 계산 엔진(PaPM 등)을 최대한 활용하며, SAP 표준이 제공하지 않는 업무 기능(검토, 워크플로우, 감사 대응, 신고 패키징 등)을 보완하는 플랫폼.</w:t>
            </w:r>
          </w:p>
        </w:tc>
      </w:tr>
    </w:tbl>
    <w:p>
      <w:pPr>
        <w:pStyle w:val="Heading2"/>
        <w:spacing w:after="180" w:before="360"/>
      </w:pPr>
      <w:r>
        <w:rPr>
          <w:rFonts w:ascii="Noto Sans KR" w:cs="Noto Sans KR" w:eastAsia="Noto Sans KR" w:hAnsi="Noto Sans KR"/>
          <w:b/>
          <w:bCs/>
          <w:color w:val="003366"/>
          <w:sz w:val="26"/>
          <w:szCs w:val="26"/>
        </w:rPr>
        <w:t xml:space="preserve">7.1 차별화 근거</w:t>
      </w:r>
    </w:p>
    <w:p>
      <w:pPr>
        <w:pStyle w:val="ListParagraph"/>
        <w:numPr>
          <w:ilvl w:val="0"/>
          <w:numId w:val="2"/>
        </w:numPr>
        <w:spacing w:after="100" w:line="280"/>
      </w:pPr>
      <w:r>
        <w:rPr>
          <w:rFonts w:ascii="Noto Sans KR" w:cs="Noto Sans KR" w:eastAsia="Noto Sans KR" w:hAnsi="Noto Sans KR"/>
          <w:color w:val="333333"/>
          <w:sz w:val="21"/>
          <w:szCs w:val="21"/>
        </w:rPr>
        <w:t xml:space="preserve">Tax Platform과의 차이: CCH Tagetik/Thomson Reuters는 완결된 기능을 제공하지만 SAP ERP/GR 데이터와 별도 연동이 필요하며 Rule Ownership이 벤더에 있다. ASPN은 ACDOCA/ACDOCU를 직접 소비하여 이중 데이터 관리 부담을 제거한다.</w:t>
      </w:r>
    </w:p>
    <w:p>
      <w:pPr>
        <w:pStyle w:val="ListParagraph"/>
        <w:numPr>
          <w:ilvl w:val="0"/>
          <w:numId w:val="2"/>
        </w:numPr>
        <w:spacing w:after="100" w:line="280"/>
      </w:pPr>
      <w:r>
        <w:rPr>
          <w:rFonts w:ascii="Noto Sans KR" w:cs="Noto Sans KR" w:eastAsia="Noto Sans KR" w:hAnsi="Noto Sans KR"/>
          <w:color w:val="333333"/>
          <w:sz w:val="21"/>
          <w:szCs w:val="21"/>
        </w:rPr>
        <w:t xml:space="preserve">Calculation Platform(SAP 단독)과의 차이: PaPM은 범용 계산 엔진으로서 GloBE 전용 워크플로우·Safe Harbour 관리·신고 패키징이 표준 범위 밖에 있다. ASPN은 이 공백을 SAP 생태계 안에서 채운다.</w:t>
      </w:r>
    </w:p>
    <w:p>
      <w:pPr>
        <w:pStyle w:val="ListParagraph"/>
        <w:numPr>
          <w:ilvl w:val="0"/>
          <w:numId w:val="2"/>
        </w:numPr>
        <w:spacing w:after="100" w:line="280"/>
      </w:pPr>
      <w:r>
        <w:rPr>
          <w:rFonts w:ascii="Noto Sans KR" w:cs="Noto Sans KR" w:eastAsia="Noto Sans KR" w:hAnsi="Noto Sans KR"/>
          <w:color w:val="333333"/>
          <w:sz w:val="21"/>
          <w:szCs w:val="21"/>
        </w:rPr>
        <w:t xml:space="preserve">Managed Platform(Big4)과의 차이: Big4 Managed Service는 빠른 대응이 가능하나 Rule Ownership이 Big4에 있어 고객사의 장기 운영 독립성이 제한된다. ASPN Add-on은 고객사가 직접 소유·운영할 수 있는 자산이다.</w:t>
      </w:r>
    </w:p>
    <w:p>
      <w:pPr>
        <w:pStyle w:val="Heading2"/>
        <w:spacing w:after="180" w:before="360"/>
      </w:pPr>
      <w:r>
        <w:rPr>
          <w:rFonts w:ascii="Noto Sans KR" w:cs="Noto Sans KR" w:eastAsia="Noto Sans KR" w:hAnsi="Noto Sans KR"/>
          <w:b/>
          <w:bCs/>
          <w:color w:val="003366"/>
          <w:sz w:val="26"/>
          <w:szCs w:val="26"/>
        </w:rPr>
        <w:t xml:space="preserve">7.2 AGRA와의 연속성</w:t>
      </w:r>
    </w:p>
    <w:p>
      <w:pPr>
        <w:spacing w:after="160" w:line="300"/>
      </w:pPr>
      <w:r>
        <w:rPr>
          <w:rFonts w:ascii="Noto Sans KR" w:cs="Noto Sans KR" w:eastAsia="Noto Sans KR" w:hAnsi="Noto Sans KR"/>
          <w:color w:val="333333"/>
          <w:sz w:val="21"/>
          <w:szCs w:val="21"/>
        </w:rPr>
        <w:t xml:space="preserve">이 포지셔닝은 기존 AGRA(Group Reporting Add-on)의 자연스러운 확장이다. AGRA는 GR 표준의 공백(Note Management, Non-SAP TB Upload, Workflow 등)을 메우며 시작되었고, GloBE 대응 역시 SAP 표준의 동일한 성격의 공백을 메우는 작업이다. 다만 GloBE는 Group Reporting을 넘어 세무 도메인까지 포괄하므로, AGRA는 'GR Add-on'에서 'Group Reporting + Tax + Compliance를 아우르는 Calculation Platform 확장'으로 성격이 진화한다.</w:t>
      </w:r>
    </w:p>
    <w:p>
      <w:r>
        <w:br w:type="page"/>
      </w:r>
    </w:p>
    <w:p>
      <w:pPr>
        <w:pStyle w:val="Heading1"/>
        <w:spacing w:after="240" w:before="480"/>
      </w:pPr>
      <w:r>
        <w:rPr>
          <w:rFonts w:ascii="Noto Sans KR" w:cs="Noto Sans KR" w:eastAsia="Noto Sans KR" w:hAnsi="Noto Sans KR"/>
          <w:b/>
          <w:bCs/>
          <w:color w:val="003366"/>
          <w:sz w:val="32"/>
          <w:szCs w:val="32"/>
        </w:rPr>
        <w:t xml:space="preserve">8. Product Opportunity</w:t>
      </w:r>
    </w:p>
    <w:p>
      <w:pPr>
        <w:spacing w:after="160" w:line="300"/>
      </w:pPr>
      <w:r>
        <w:rPr>
          <w:rFonts w:ascii="Noto Sans KR" w:cs="Noto Sans KR" w:eastAsia="Noto Sans KR" w:hAnsi="Noto Sans KR"/>
          <w:color w:val="333333"/>
          <w:sz w:val="21"/>
          <w:szCs w:val="21"/>
        </w:rPr>
        <w:t xml:space="preserve">제품 기회는 개별 기능이 아니라 4개의 제품군(Product Family)으로 정의한다. 각 제품군은 4장의 Capability Layer를 근거로 하며, 향후 AGRA 브랜드 하위의 독립 모듈로 확장 가능한 구조를 갖는다.</w:t>
      </w:r>
    </w:p>
    <w:p>
      <w:pPr>
        <w:pStyle w:val="Heading2"/>
        <w:spacing w:after="180" w:before="360"/>
      </w:pPr>
      <w:r>
        <w:rPr>
          <w:rFonts w:ascii="Noto Sans KR" w:cs="Noto Sans KR" w:eastAsia="Noto Sans KR" w:hAnsi="Noto Sans KR"/>
          <w:b/>
          <w:bCs/>
          <w:color w:val="003366"/>
          <w:sz w:val="26"/>
          <w:szCs w:val="26"/>
        </w:rPr>
        <w:t xml:space="preserve">8.1 제품군 정의</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2600"/>
        <w:gridCol w:w="4160"/>
      </w:tblGrid>
      <w:tr>
        <w:trPr>
          <w:tblHeader/>
        </w:trPr>
        <w:tc>
          <w:tcPr>
            <w:tcW w:type="dxa" w:w="2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제품군</w:t>
            </w:r>
          </w:p>
        </w:tc>
        <w:tc>
          <w:tcPr>
            <w:tcW w:type="dxa" w:w="260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대응 Capability Layer</w:t>
            </w:r>
          </w:p>
        </w:tc>
        <w:tc>
          <w:tcPr>
            <w:tcW w:type="dxa" w:w="4160"/>
            <w:shd w:fill="003366" w:val="clear"/>
            <w:tcMar>
              <w:top w:type="dxa" w:w="100"/>
              <w:left w:type="dxa" w:w="120"/>
              <w:bottom w:type="dxa" w:w="100"/>
              <w:right w:type="dxa" w:w="120"/>
            </w:tcMar>
            <w:vAlign w:val="center"/>
          </w:tcPr>
          <w:p>
            <w:pPr>
              <w:jc w:val="left"/>
            </w:pPr>
            <w:r>
              <w:rPr>
                <w:rFonts w:ascii="Noto Sans KR" w:cs="Noto Sans KR" w:eastAsia="Noto Sans KR" w:hAnsi="Noto Sans KR"/>
                <w:b/>
                <w:bCs/>
                <w:color w:val="FFFFFF"/>
                <w:sz w:val="19"/>
                <w:szCs w:val="19"/>
              </w:rPr>
              <w:t xml:space="preserve">핵심 기능</w:t>
            </w:r>
          </w:p>
        </w:tc>
      </w:tr>
      <w:tr>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① GloBE Data Hub</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Master Data, Data Collection</w:t>
            </w:r>
          </w:p>
        </w:tc>
        <w:tc>
          <w:tcPr>
            <w:tcW w:type="dxa" w:w="4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SAP 데이터 수집, Non-SAP 소스 Mapping, Validation</w:t>
            </w:r>
          </w:p>
        </w:tc>
      </w:tr>
      <w:tr>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② GloBE Calculation Accelerator</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Calculation</w:t>
            </w:r>
          </w:p>
        </w:tc>
        <w:tc>
          <w:tcPr>
            <w:tcW w:type="dxa" w:w="4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PaPM 연계, GloBE Income/Covered Tax 조정, Safe Harbour 판정</w:t>
            </w:r>
          </w:p>
        </w:tc>
      </w:tr>
      <w:tr>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③ Review &amp; Audit Workspace</w:t>
            </w:r>
          </w:p>
        </w:tc>
        <w:tc>
          <w:tcPr>
            <w:tcW w:type="dxa" w:w="260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Review, Approval, Audit</w:t>
            </w:r>
          </w:p>
        </w:tc>
        <w:tc>
          <w:tcPr>
            <w:tcW w:type="dxa" w:w="4160"/>
            <w:shd w:fill="FFFFFF"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Workflow, Evidence 관리, Approval, Audit Trail</w:t>
            </w:r>
          </w:p>
        </w:tc>
      </w:tr>
      <w:tr>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④ GIR Package</w:t>
            </w:r>
          </w:p>
        </w:tc>
        <w:tc>
          <w:tcPr>
            <w:tcW w:type="dxa" w:w="260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Reporting, Filing</w:t>
            </w:r>
          </w:p>
        </w:tc>
        <w:tc>
          <w:tcPr>
            <w:tcW w:type="dxa" w:w="4160"/>
            <w:shd w:fill="F2F2F2" w:val="clear"/>
            <w:tcMar>
              <w:top w:type="dxa" w:w="90"/>
              <w:left w:type="dxa" w:w="120"/>
              <w:bottom w:type="dxa" w:w="90"/>
              <w:right w:type="dxa" w:w="120"/>
            </w:tcMar>
            <w:vAlign w:val="center"/>
          </w:tcPr>
          <w:p>
            <w:r>
              <w:rPr>
                <w:rFonts w:ascii="Noto Sans KR" w:cs="Noto Sans KR" w:eastAsia="Noto Sans KR" w:hAnsi="Noto Sans KR"/>
                <w:color w:val="333333"/>
                <w:sz w:val="19"/>
                <w:szCs w:val="19"/>
              </w:rPr>
              <w:t xml:space="preserve">GIR/QDMTT 신고서 생성(XML), 전자신고 연계, Archive</w:t>
            </w:r>
          </w:p>
        </w:tc>
      </w:tr>
    </w:tbl>
    <w:p>
      <w:pPr>
        <w:spacing w:after="160"/>
      </w:pPr>
    </w:p>
    <w:p>
      <w:pPr>
        <w:pStyle w:val="Heading2"/>
        <w:spacing w:after="180" w:before="360"/>
      </w:pPr>
      <w:r>
        <w:rPr>
          <w:rFonts w:ascii="Noto Sans KR" w:cs="Noto Sans KR" w:eastAsia="Noto Sans KR" w:hAnsi="Noto Sans KR"/>
          <w:b/>
          <w:bCs/>
          <w:color w:val="003366"/>
          <w:sz w:val="26"/>
          <w:szCs w:val="26"/>
        </w:rPr>
        <w:t xml:space="preserve">8.2 제품군 간 관계</w:t>
      </w:r>
    </w:p>
    <w:p>
      <w:pPr>
        <w:spacing w:after="160" w:line="300"/>
      </w:pPr>
      <w:r>
        <w:rPr>
          <w:rFonts w:ascii="Noto Sans KR" w:cs="Noto Sans KR" w:eastAsia="Noto Sans KR" w:hAnsi="Noto Sans KR"/>
          <w:color w:val="333333"/>
          <w:sz w:val="21"/>
          <w:szCs w:val="21"/>
        </w:rPr>
        <w:t xml:space="preserve">네 제품군은 데이터 생명주기 순서(Data Hub → Calculation Accelerator → Review &amp; Audit Workspace → GIR Package)로 연결되며, 개별 고객사의 요구 수준에 따라 일부만 도입하는 모듈형 판매도 가능하다. 예를 들어 이미 Tax Platform을 보유한 고객사는 ③, ④만 ASPN으로부터 도입해 SAP GR 데이터와의 연계를 보강하는 시나리오도 가능하다.</w:t>
      </w:r>
    </w:p>
    <w:p>
      <w:r>
        <w:br w:type="page"/>
      </w:r>
    </w:p>
    <w:p>
      <w:pPr>
        <w:pStyle w:val="Heading1"/>
        <w:spacing w:after="240" w:before="480"/>
      </w:pPr>
      <w:r>
        <w:rPr>
          <w:rFonts w:ascii="Noto Sans KR" w:cs="Noto Sans KR" w:eastAsia="Noto Sans KR" w:hAnsi="Noto Sans KR"/>
          <w:b/>
          <w:bCs/>
          <w:color w:val="003366"/>
          <w:sz w:val="32"/>
          <w:szCs w:val="32"/>
        </w:rPr>
        <w:t xml:space="preserve">9. Product Roadmap</w:t>
      </w:r>
    </w:p>
    <w:p>
      <w:pPr>
        <w:spacing w:after="160" w:line="300"/>
      </w:pPr>
      <w:r>
        <w:rPr>
          <w:rFonts w:ascii="Noto Sans KR" w:cs="Noto Sans KR" w:eastAsia="Noto Sans KR" w:hAnsi="Noto Sans KR"/>
          <w:color w:val="333333"/>
          <w:sz w:val="21"/>
          <w:szCs w:val="21"/>
        </w:rPr>
        <w:t xml:space="preserve">로드맵은 MVP(v1)부터 Release 4까지 4단계로 구성하며, 각 단계는 8장의 제품군을 순차적으로 실현한다.</w:t>
      </w:r>
    </w:p>
    <w:p>
      <w:pPr>
        <w:pStyle w:val="Heading2"/>
        <w:spacing w:after="180" w:before="360"/>
      </w:pPr>
      <w:r>
        <w:rPr>
          <w:rFonts w:ascii="Noto Sans KR" w:cs="Noto Sans KR" w:eastAsia="Noto Sans KR" w:hAnsi="Noto Sans KR"/>
          <w:b/>
          <w:bCs/>
          <w:color w:val="003366"/>
          <w:sz w:val="26"/>
          <w:szCs w:val="26"/>
        </w:rPr>
        <w:t xml:space="preserve">9.1 단계별 정의</w:t>
      </w:r>
    </w:p>
    <w:p>
      <w:pPr>
        <w:pStyle w:val="Heading3"/>
        <w:spacing w:after="140" w:before="280"/>
      </w:pPr>
      <w:r>
        <w:rPr>
          <w:rFonts w:ascii="Noto Sans KR" w:cs="Noto Sans KR" w:eastAsia="Noto Sans KR" w:hAnsi="Noto Sans KR"/>
          <w:b/>
          <w:bCs/>
          <w:color w:val="333333"/>
          <w:sz w:val="22"/>
          <w:szCs w:val="22"/>
        </w:rPr>
        <w:t xml:space="preserve">MVP (v1)</w:t>
      </w:r>
    </w:p>
    <w:p>
      <w:pPr>
        <w:pStyle w:val="ListParagraph"/>
        <w:numPr>
          <w:ilvl w:val="0"/>
          <w:numId w:val="2"/>
        </w:numPr>
        <w:spacing w:after="100" w:line="280"/>
      </w:pPr>
      <w:r>
        <w:rPr>
          <w:rFonts w:ascii="Noto Sans KR" w:cs="Noto Sans KR" w:eastAsia="Noto Sans KR" w:hAnsi="Noto Sans KR"/>
          <w:color w:val="333333"/>
          <w:sz w:val="21"/>
          <w:szCs w:val="21"/>
        </w:rPr>
        <w:t xml:space="preserve">SAP Group Reporting Integration — ACDOCU 데이터 연계 기본 구조</w:t>
      </w:r>
    </w:p>
    <w:p>
      <w:pPr>
        <w:pStyle w:val="ListParagraph"/>
        <w:numPr>
          <w:ilvl w:val="0"/>
          <w:numId w:val="2"/>
        </w:numPr>
        <w:spacing w:after="100" w:line="280"/>
      </w:pPr>
      <w:r>
        <w:rPr>
          <w:rFonts w:ascii="Noto Sans KR" w:cs="Noto Sans KR" w:eastAsia="Noto Sans KR" w:hAnsi="Noto Sans KR"/>
          <w:color w:val="333333"/>
          <w:sz w:val="21"/>
          <w:szCs w:val="21"/>
        </w:rPr>
        <w:t xml:space="preserve">Jurisdiction Management — 관할지역 마스터데이터 관리</w:t>
      </w:r>
    </w:p>
    <w:p>
      <w:pPr>
        <w:pStyle w:val="ListParagraph"/>
        <w:numPr>
          <w:ilvl w:val="0"/>
          <w:numId w:val="2"/>
        </w:numPr>
        <w:spacing w:after="100" w:line="280"/>
      </w:pPr>
      <w:r>
        <w:rPr>
          <w:rFonts w:ascii="Noto Sans KR" w:cs="Noto Sans KR" w:eastAsia="Noto Sans KR" w:hAnsi="Noto Sans KR"/>
          <w:color w:val="333333"/>
          <w:sz w:val="21"/>
          <w:szCs w:val="21"/>
        </w:rPr>
        <w:t xml:space="preserve">Covered Tax Mapping — 계정과목-Covered Tax 매핑</w:t>
      </w:r>
    </w:p>
    <w:p>
      <w:pPr>
        <w:pStyle w:val="ListParagraph"/>
        <w:numPr>
          <w:ilvl w:val="0"/>
          <w:numId w:val="2"/>
        </w:numPr>
        <w:spacing w:after="100" w:line="280"/>
      </w:pPr>
      <w:r>
        <w:rPr>
          <w:rFonts w:ascii="Noto Sans KR" w:cs="Noto Sans KR" w:eastAsia="Noto Sans KR" w:hAnsi="Noto Sans KR"/>
          <w:color w:val="333333"/>
          <w:sz w:val="21"/>
          <w:szCs w:val="21"/>
        </w:rPr>
        <w:t xml:space="preserve">Manual Adjustment — 수동 조정 입력 및 이력 관리</w:t>
      </w:r>
    </w:p>
    <w:p>
      <w:pPr>
        <w:pStyle w:val="ListParagraph"/>
        <w:numPr>
          <w:ilvl w:val="0"/>
          <w:numId w:val="2"/>
        </w:numPr>
        <w:spacing w:after="100" w:line="280"/>
      </w:pPr>
      <w:r>
        <w:rPr>
          <w:rFonts w:ascii="Noto Sans KR" w:cs="Noto Sans KR" w:eastAsia="Noto Sans KR" w:hAnsi="Noto Sans KR"/>
          <w:color w:val="333333"/>
          <w:sz w:val="21"/>
          <w:szCs w:val="21"/>
        </w:rPr>
        <w:t xml:space="preserve">ETR Calculation — 관할지역별 실효세율 기본 계산</w:t>
      </w:r>
    </w:p>
    <w:p>
      <w:pPr>
        <w:pStyle w:val="ListParagraph"/>
        <w:numPr>
          <w:ilvl w:val="0"/>
          <w:numId w:val="2"/>
        </w:numPr>
        <w:spacing w:after="100" w:line="280"/>
      </w:pPr>
      <w:r>
        <w:rPr>
          <w:rFonts w:ascii="Noto Sans KR" w:cs="Noto Sans KR" w:eastAsia="Noto Sans KR" w:hAnsi="Noto Sans KR"/>
          <w:color w:val="333333"/>
          <w:sz w:val="21"/>
          <w:szCs w:val="21"/>
        </w:rPr>
        <w:t xml:space="preserve">Audit Log — 계산·조정 이력의 기본 로그</w:t>
      </w:r>
    </w:p>
    <w:p>
      <w:pPr>
        <w:pStyle w:val="Heading3"/>
        <w:spacing w:after="140" w:before="280"/>
      </w:pPr>
      <w:r>
        <w:rPr>
          <w:rFonts w:ascii="Noto Sans KR" w:cs="Noto Sans KR" w:eastAsia="Noto Sans KR" w:hAnsi="Noto Sans KR"/>
          <w:b/>
          <w:bCs/>
          <w:color w:val="333333"/>
          <w:sz w:val="22"/>
          <w:szCs w:val="22"/>
        </w:rPr>
        <w:t xml:space="preserve">Release 2</w:t>
      </w:r>
    </w:p>
    <w:p>
      <w:pPr>
        <w:pStyle w:val="ListParagraph"/>
        <w:numPr>
          <w:ilvl w:val="0"/>
          <w:numId w:val="2"/>
        </w:numPr>
        <w:spacing w:after="100" w:line="280"/>
      </w:pPr>
      <w:r>
        <w:rPr>
          <w:rFonts w:ascii="Noto Sans KR" w:cs="Noto Sans KR" w:eastAsia="Noto Sans KR" w:hAnsi="Noto Sans KR"/>
          <w:color w:val="333333"/>
          <w:sz w:val="21"/>
          <w:szCs w:val="21"/>
        </w:rPr>
        <w:t xml:space="preserve">PaPM Integration — SAP PaPM 계산 엔진 연계</w:t>
      </w:r>
    </w:p>
    <w:p>
      <w:pPr>
        <w:pStyle w:val="ListParagraph"/>
        <w:numPr>
          <w:ilvl w:val="0"/>
          <w:numId w:val="2"/>
        </w:numPr>
        <w:spacing w:after="100" w:line="280"/>
      </w:pPr>
      <w:r>
        <w:rPr>
          <w:rFonts w:ascii="Noto Sans KR" w:cs="Noto Sans KR" w:eastAsia="Noto Sans KR" w:hAnsi="Noto Sans KR"/>
          <w:color w:val="333333"/>
          <w:sz w:val="21"/>
          <w:szCs w:val="21"/>
        </w:rPr>
        <w:t xml:space="preserve">Safe Harbour — Transitional CbCR/Simplified ETR Safe Harbour 판정 로직</w:t>
      </w:r>
    </w:p>
    <w:p>
      <w:pPr>
        <w:pStyle w:val="ListParagraph"/>
        <w:numPr>
          <w:ilvl w:val="0"/>
          <w:numId w:val="2"/>
        </w:numPr>
        <w:spacing w:after="100" w:line="280"/>
      </w:pPr>
      <w:r>
        <w:rPr>
          <w:rFonts w:ascii="Noto Sans KR" w:cs="Noto Sans KR" w:eastAsia="Noto Sans KR" w:hAnsi="Noto Sans KR"/>
          <w:color w:val="333333"/>
          <w:sz w:val="21"/>
          <w:szCs w:val="21"/>
        </w:rPr>
        <w:t xml:space="preserve">Workflow — 검토·승인 Workflow</w:t>
      </w:r>
    </w:p>
    <w:p>
      <w:pPr>
        <w:pStyle w:val="Heading3"/>
        <w:spacing w:after="140" w:before="280"/>
      </w:pPr>
      <w:r>
        <w:rPr>
          <w:rFonts w:ascii="Noto Sans KR" w:cs="Noto Sans KR" w:eastAsia="Noto Sans KR" w:hAnsi="Noto Sans KR"/>
          <w:b/>
          <w:bCs/>
          <w:color w:val="333333"/>
          <w:sz w:val="22"/>
          <w:szCs w:val="22"/>
        </w:rPr>
        <w:t xml:space="preserve">Release 3</w:t>
      </w:r>
    </w:p>
    <w:p>
      <w:pPr>
        <w:pStyle w:val="ListParagraph"/>
        <w:numPr>
          <w:ilvl w:val="0"/>
          <w:numId w:val="2"/>
        </w:numPr>
        <w:spacing w:after="100" w:line="280"/>
      </w:pPr>
      <w:r>
        <w:rPr>
          <w:rFonts w:ascii="Noto Sans KR" w:cs="Noto Sans KR" w:eastAsia="Noto Sans KR" w:hAnsi="Noto Sans KR"/>
          <w:color w:val="333333"/>
          <w:sz w:val="21"/>
          <w:szCs w:val="21"/>
        </w:rPr>
        <w:t xml:space="preserve">GIR Generation — GloBE Information Return 생성(XML)</w:t>
      </w:r>
    </w:p>
    <w:p>
      <w:pPr>
        <w:pStyle w:val="ListParagraph"/>
        <w:numPr>
          <w:ilvl w:val="0"/>
          <w:numId w:val="2"/>
        </w:numPr>
        <w:spacing w:after="100" w:line="280"/>
      </w:pPr>
      <w:r>
        <w:rPr>
          <w:rFonts w:ascii="Noto Sans KR" w:cs="Noto Sans KR" w:eastAsia="Noto Sans KR" w:hAnsi="Noto Sans KR"/>
          <w:color w:val="333333"/>
          <w:sz w:val="21"/>
          <w:szCs w:val="21"/>
        </w:rPr>
        <w:t xml:space="preserve">Electronic Filing — 관할지역별 전자신고 연계</w:t>
      </w:r>
    </w:p>
    <w:p>
      <w:pPr>
        <w:pStyle w:val="ListParagraph"/>
        <w:numPr>
          <w:ilvl w:val="0"/>
          <w:numId w:val="2"/>
        </w:numPr>
        <w:spacing w:after="100" w:line="280"/>
      </w:pPr>
      <w:r>
        <w:rPr>
          <w:rFonts w:ascii="Noto Sans KR" w:cs="Noto Sans KR" w:eastAsia="Noto Sans KR" w:hAnsi="Noto Sans KR"/>
          <w:color w:val="333333"/>
          <w:sz w:val="21"/>
          <w:szCs w:val="21"/>
        </w:rPr>
        <w:t xml:space="preserve">Dashboard — 경영진·세무팀 대상 모니터링 대시보드</w:t>
      </w:r>
    </w:p>
    <w:p>
      <w:pPr>
        <w:pStyle w:val="ListParagraph"/>
        <w:numPr>
          <w:ilvl w:val="0"/>
          <w:numId w:val="2"/>
        </w:numPr>
        <w:spacing w:after="100" w:line="280"/>
      </w:pPr>
      <w:r>
        <w:rPr>
          <w:rFonts w:ascii="Noto Sans KR" w:cs="Noto Sans KR" w:eastAsia="Noto Sans KR" w:hAnsi="Noto Sans KR"/>
          <w:color w:val="333333"/>
          <w:sz w:val="21"/>
          <w:szCs w:val="21"/>
        </w:rPr>
        <w:t xml:space="preserve">AI Review — 이상치 탐지 및 검토 보조</w:t>
      </w:r>
    </w:p>
    <w:p>
      <w:pPr>
        <w:pStyle w:val="Heading3"/>
        <w:spacing w:after="140" w:before="280"/>
      </w:pPr>
      <w:r>
        <w:rPr>
          <w:rFonts w:ascii="Noto Sans KR" w:cs="Noto Sans KR" w:eastAsia="Noto Sans KR" w:hAnsi="Noto Sans KR"/>
          <w:b/>
          <w:bCs/>
          <w:color w:val="333333"/>
          <w:sz w:val="22"/>
          <w:szCs w:val="22"/>
        </w:rPr>
        <w:t xml:space="preserve">Release 4</w:t>
      </w:r>
    </w:p>
    <w:p>
      <w:pPr>
        <w:pStyle w:val="ListParagraph"/>
        <w:numPr>
          <w:ilvl w:val="0"/>
          <w:numId w:val="2"/>
        </w:numPr>
        <w:spacing w:after="100" w:line="280"/>
      </w:pPr>
      <w:r>
        <w:rPr>
          <w:rFonts w:ascii="Noto Sans KR" w:cs="Noto Sans KR" w:eastAsia="Noto Sans KR" w:hAnsi="Noto Sans KR"/>
          <w:color w:val="333333"/>
          <w:sz w:val="21"/>
          <w:szCs w:val="21"/>
        </w:rPr>
        <w:t xml:space="preserve">Global Tax Data Hub — Non-SAP 소스 포함 통합 데이터 허브</w:t>
      </w:r>
    </w:p>
    <w:p>
      <w:pPr>
        <w:pStyle w:val="ListParagraph"/>
        <w:numPr>
          <w:ilvl w:val="0"/>
          <w:numId w:val="2"/>
        </w:numPr>
        <w:spacing w:after="100" w:line="280"/>
      </w:pPr>
      <w:r>
        <w:rPr>
          <w:rFonts w:ascii="Noto Sans KR" w:cs="Noto Sans KR" w:eastAsia="Noto Sans KR" w:hAnsi="Noto Sans KR"/>
          <w:color w:val="333333"/>
          <w:sz w:val="21"/>
          <w:szCs w:val="21"/>
        </w:rPr>
        <w:t xml:space="preserve">Simulation — Pillar 2 영향 시뮬레이션</w:t>
      </w:r>
    </w:p>
    <w:p>
      <w:pPr>
        <w:pStyle w:val="ListParagraph"/>
        <w:numPr>
          <w:ilvl w:val="0"/>
          <w:numId w:val="2"/>
        </w:numPr>
        <w:spacing w:after="100" w:line="280"/>
      </w:pPr>
      <w:r>
        <w:rPr>
          <w:rFonts w:ascii="Noto Sans KR" w:cs="Noto Sans KR" w:eastAsia="Noto Sans KR" w:hAnsi="Noto Sans KR"/>
          <w:color w:val="333333"/>
          <w:sz w:val="21"/>
          <w:szCs w:val="21"/>
        </w:rPr>
        <w:t xml:space="preserve">Scenario Planning — 지분구조 변경·M&amp;A 시나리오의 GloBE 영향 분석</w:t>
      </w:r>
    </w:p>
    <w:p>
      <w:pPr>
        <w:spacing w:after="160"/>
      </w:pPr>
    </w:p>
    <w:p>
      <w:pPr>
        <w:pStyle w:val="Heading2"/>
        <w:spacing w:after="180" w:before="360"/>
      </w:pPr>
      <w:r>
        <w:rPr>
          <w:rFonts w:ascii="Noto Sans KR" w:cs="Noto Sans KR" w:eastAsia="Noto Sans KR" w:hAnsi="Noto Sans KR"/>
          <w:b/>
          <w:bCs/>
          <w:color w:val="003366"/>
          <w:sz w:val="26"/>
          <w:szCs w:val="26"/>
        </w:rPr>
        <w:t xml:space="preserve">9.2 우선순위 근거</w:t>
      </w:r>
    </w:p>
    <w:p>
      <w:pPr>
        <w:spacing w:after="160" w:line="300"/>
      </w:pPr>
      <w:r>
        <w:rPr>
          <w:rFonts w:ascii="Noto Sans KR" w:cs="Noto Sans KR" w:eastAsia="Noto Sans KR" w:hAnsi="Noto Sans KR"/>
          <w:color w:val="333333"/>
          <w:sz w:val="21"/>
          <w:szCs w:val="21"/>
        </w:rPr>
        <w:t xml:space="preserve">MVP는 SAP GR 고객이 이미 보유한 데이터(ACDOCU)를 활용해 최소 계산 체계를 검증하는 데 집중한다. Release 2에서 SAP PaPM과 Safe Harbour를 결합하는 이유는, 5장의 Gap Analysis에서 확인된 SAP 표준의 가장 큰 공백(Safe Harbour 관리, Workflow)을 우선 메우기 위함이다. Release 3의 GIR 생성·전자신고는 실제 신고 의무(2026년 6월 GIR 신고 개시)에 대응하는 실무 완결성을 갖추는 단계이며, Release 4는 데이터 허브 확장과 시뮬레이션을 통해 Tax Platform 수준의 완결성에 도달하는 것을 목표로 한다.</w:t>
      </w:r>
    </w:p>
    <w:p>
      <w:r>
        <w:br w:type="page"/>
      </w:r>
    </w:p>
    <w:p>
      <w:pPr>
        <w:pStyle w:val="Heading1"/>
        <w:spacing w:after="240" w:before="480"/>
      </w:pPr>
      <w:r>
        <w:rPr>
          <w:rFonts w:ascii="Noto Sans KR" w:cs="Noto Sans KR" w:eastAsia="Noto Sans KR" w:hAnsi="Noto Sans KR"/>
          <w:b/>
          <w:bCs/>
          <w:color w:val="003366"/>
          <w:sz w:val="32"/>
          <w:szCs w:val="32"/>
        </w:rPr>
        <w:t xml:space="preserve">Appendix. 후속 확인 사항</w:t>
      </w:r>
    </w:p>
    <w:p>
      <w:pPr>
        <w:pStyle w:val="ListParagraph"/>
        <w:numPr>
          <w:ilvl w:val="0"/>
          <w:numId w:val="2"/>
        </w:numPr>
        <w:spacing w:after="100" w:line="280"/>
      </w:pPr>
      <w:r>
        <w:rPr>
          <w:rFonts w:ascii="Noto Sans KR" w:cs="Noto Sans KR" w:eastAsia="Noto Sans KR" w:hAnsi="Noto Sans KR"/>
          <w:color w:val="333333"/>
          <w:sz w:val="21"/>
          <w:szCs w:val="21"/>
        </w:rPr>
        <w:t xml:space="preserve">SAP PaPM/DRC의 GloBE 관련 BAdI/CDS/OData 확장 포인트 — SAP 공식 문서 기반 재검증 필요 (GB04 제작 시 반영)</w:t>
      </w:r>
    </w:p>
    <w:p>
      <w:pPr>
        <w:pStyle w:val="ListParagraph"/>
        <w:numPr>
          <w:ilvl w:val="0"/>
          <w:numId w:val="2"/>
        </w:numPr>
        <w:spacing w:after="100" w:line="280"/>
      </w:pPr>
      <w:r>
        <w:rPr>
          <w:rFonts w:ascii="Noto Sans KR" w:cs="Noto Sans KR" w:eastAsia="Noto Sans KR" w:hAnsi="Noto Sans KR"/>
          <w:color w:val="333333"/>
          <w:sz w:val="21"/>
          <w:szCs w:val="21"/>
        </w:rPr>
        <w:t xml:space="preserve">Oracle EPM의 Pillar Two 대응 수준 — 우선순위 낮음으로 보류, 필요 시 후속 조사</w:t>
      </w:r>
    </w:p>
    <w:p>
      <w:pPr>
        <w:pStyle w:val="ListParagraph"/>
        <w:numPr>
          <w:ilvl w:val="0"/>
          <w:numId w:val="2"/>
        </w:numPr>
        <w:spacing w:after="100" w:line="280"/>
      </w:pPr>
      <w:r>
        <w:rPr>
          <w:rFonts w:ascii="Noto Sans KR" w:cs="Noto Sans KR" w:eastAsia="Noto Sans KR" w:hAnsi="Noto Sans KR"/>
          <w:color w:val="333333"/>
          <w:sz w:val="21"/>
          <w:szCs w:val="21"/>
        </w:rPr>
        <w:t xml:space="preserve">OneStream의 Pillar Two 특화 기능 — 참고 벤치마크 수준 유지, 고객 문의 발생 시 개별 조사</w:t>
      </w:r>
    </w:p>
    <w:p>
      <w:pPr>
        <w:pStyle w:val="ListParagraph"/>
        <w:numPr>
          <w:ilvl w:val="0"/>
          <w:numId w:val="2"/>
        </w:numPr>
        <w:spacing w:after="100" w:line="280"/>
      </w:pPr>
      <w:r>
        <w:rPr>
          <w:rFonts w:ascii="Noto Sans KR" w:cs="Noto Sans KR" w:eastAsia="Noto Sans KR" w:hAnsi="Noto Sans KR"/>
          <w:color w:val="333333"/>
          <w:sz w:val="21"/>
          <w:szCs w:val="21"/>
        </w:rPr>
        <w:t xml:space="preserve">국가별 Safe Harbour·QDMTT 시행 현황 — 지속 모니터링 필요 (분기 단위 갱신 권고)</w:t>
      </w:r>
    </w:p>
    <w:p>
      <w:pPr>
        <w:pStyle w:val="ListParagraph"/>
        <w:numPr>
          <w:ilvl w:val="0"/>
          <w:numId w:val="2"/>
        </w:numPr>
        <w:spacing w:after="100" w:line="280"/>
      </w:pPr>
      <w:r>
        <w:rPr>
          <w:rFonts w:ascii="Noto Sans KR" w:cs="Noto Sans KR" w:eastAsia="Noto Sans KR" w:hAnsi="Noto Sans KR"/>
          <w:color w:val="333333"/>
          <w:sz w:val="21"/>
          <w:szCs w:val="21"/>
        </w:rPr>
        <w:t xml:space="preserve">별도 관리 문서: RN-001 'SAP Enterprise Calculation Platform Strategy' — PaPM을 중심으로 GloBE, Transfer Pricing, ESG, AI Simulation 등을 하나의 관점(Enterprise Calculation Platform)으로 묶는 연구노트. G0와는 별도로 관리.</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2026-07-13T14:03:41.979Z</dcterms:created>
  <dcterms:modified xsi:type="dcterms:W3CDTF">2026-07-13T14:03:41.993Z</dcterms:modified>
</cp:coreProperties>
</file>

<file path=docProps/custom.xml><?xml version="1.0" encoding="utf-8"?>
<Properties xmlns="http://schemas.openxmlformats.org/officeDocument/2006/custom-properties" xmlns:vt="http://schemas.openxmlformats.org/officeDocument/2006/docPropsVTypes"/>
</file>