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Noto Sans KR" w:cs="Noto Sans KR" w:eastAsia="Noto Sans KR" w:hAnsi="Noto Sans KR"/>
          <w:b/>
          <w:bCs/>
          <w:color w:val="003366"/>
          <w:sz w:val="84"/>
          <w:szCs w:val="84"/>
        </w:rPr>
        <w:t xml:space="preserve">RN-001</w:t>
      </w:r>
    </w:p>
    <w:p>
      <w:pPr>
        <w:spacing w:after="100" w:before="200"/>
        <w:jc w:val="center"/>
      </w:pPr>
      <w:r>
        <w:rPr>
          <w:rFonts w:ascii="Noto Sans KR" w:cs="Noto Sans KR" w:eastAsia="Noto Sans KR" w:hAnsi="Noto Sans KR"/>
          <w:b/>
          <w:bCs/>
          <w:color w:val="333333"/>
          <w:sz w:val="36"/>
          <w:szCs w:val="36"/>
        </w:rPr>
        <w:t xml:space="preserve">SAP Enterprise Calculation Platform Strategy</w:t>
      </w:r>
    </w:p>
    <w:p>
      <w:pPr>
        <w:spacing w:after="2000"/>
        <w:jc w:val="center"/>
      </w:pPr>
      <w:r>
        <w:rPr>
          <w:rFonts w:ascii="Noto Sans KR" w:cs="Noto Sans KR" w:eastAsia="Noto Sans KR" w:hAnsi="Noto Sans KR"/>
          <w:color w:val="333333"/>
          <w:sz w:val="22"/>
          <w:szCs w:val="22"/>
        </w:rPr>
        <w:t xml:space="preserve">Research Note — Universal Journal 이후의 SAP Finance: 왜 계산 플랫폼이 새로운 허브가 되는가</w:t>
      </w:r>
    </w:p>
    <w:p>
      <w:pPr>
        <w:pBdr>
          <w:top w:val="single" w:color="003366" w:sz="6" w:space="8"/>
        </w:pBdr>
        <w:spacing w:before="200"/>
        <w:jc w:val="center"/>
      </w:pPr>
      <w:r>
        <w:rPr>
          <w:rFonts w:ascii="Noto Sans KR" w:cs="Noto Sans KR" w:eastAsia="Noto Sans KR" w:hAnsi="Noto Sans KR"/>
          <w:b/>
          <w:bCs/>
          <w:color w:val="003366"/>
          <w:sz w:val="18"/>
          <w:szCs w:val="18"/>
        </w:rPr>
        <w:t xml:space="preserve">CONFIDENTIAL — INTERNAL RESEARCH NOTE</w:t>
      </w:r>
    </w:p>
    <w:p>
      <w:pPr>
        <w:spacing w:before="100"/>
        <w:jc w:val="center"/>
      </w:pPr>
      <w:r>
        <w:rPr>
          <w:rFonts w:ascii="Noto Sans KR" w:cs="Noto Sans KR" w:eastAsia="Noto Sans KR" w:hAnsi="Noto Sans KR"/>
          <w:color w:val="333333"/>
          <w:sz w:val="18"/>
          <w:szCs w:val="18"/>
        </w:rPr>
        <w:t xml:space="preserve">Version 0.9 (Core Thesis &amp; Architecture)  |  ASPN Business Advisory Consulting (BAC)</w:t>
      </w:r>
    </w:p>
    <w:p>
      <w:r>
        <w:br w:type="page"/>
      </w:r>
    </w:p>
    <w:p>
      <w:pPr>
        <w:pStyle w:val="Heading1"/>
        <w:spacing w:after="240" w:before="480"/>
      </w:pPr>
      <w:r>
        <w:rPr>
          <w:rFonts w:ascii="Noto Sans KR" w:cs="Noto Sans KR" w:eastAsia="Noto Sans KR" w:hAnsi="Noto Sans KR"/>
          <w:b/>
          <w:bCs/>
          <w:color w:val="003366"/>
          <w:sz w:val="32"/>
          <w:szCs w:val="32"/>
        </w:rPr>
        <w:t xml:space="preserve">목차</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rPr>
          <w:rFonts w:ascii="Noto Sans KR" w:cs="Noto Sans KR" w:eastAsia="Noto Sans KR" w:hAnsi="Noto Sans KR"/>
          <w:b/>
          <w:bCs/>
          <w:color w:val="003366"/>
          <w:sz w:val="32"/>
          <w:szCs w:val="32"/>
        </w:rPr>
        <w:t xml:space="preserve">0. 핵심 논지 (Thesis)</w:t>
      </w:r>
    </w:p>
    <w:tbl>
      <w:tblPr>
        <w:tblW w:type="pct" w:w="100%"/>
        <w:tblBorders>
          <w:top w:val="single" w:color="003366" w:sz="4"/>
          <w:left w:val="single" w:color="003366" w:sz="4"/>
          <w:bottom w:val="single" w:color="003366" w:sz="4"/>
          <w:right w:val="single" w:color="003366"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Noto Sans KR" w:cs="Noto Sans KR" w:eastAsia="Noto Sans KR" w:hAnsi="Noto Sans KR"/>
                <w:b/>
                <w:bCs/>
                <w:color w:val="003366"/>
                <w:sz w:val="21"/>
                <w:szCs w:val="21"/>
              </w:rPr>
              <w:t xml:space="preserve">핵심 명제</w:t>
            </w:r>
          </w:p>
          <w:p>
            <w:pPr>
              <w:spacing w:after="0" w:line="280"/>
            </w:pPr>
            <w:r>
              <w:rPr>
                <w:rFonts w:ascii="Noto Sans KR" w:cs="Noto Sans KR" w:eastAsia="Noto Sans KR" w:hAnsi="Noto Sans KR"/>
                <w:color w:val="333333"/>
                <w:sz w:val="20"/>
                <w:szCs w:val="20"/>
              </w:rPr>
              <w:t xml:space="preserve">SAP Finance의 다음 허브는 Universal Journal이 아니라 Enterprise Calculation Platform이다. Universal Journal(ACDOCA)은 '무엇이 일어났는가'를 하나의 원장에 통합하는 데 성공했지만, 앞으로 기업이 필요로 하는 것은 그 위에서 '이것이 무엇을 의미하는가'를 계산해내는 계층이다 — 배분, 이전가격, 세금, 탄소발자국, 시뮬레이션이 전부 이 계층의 다른 얼굴일 뿐이다.</w:t>
            </w:r>
          </w:p>
        </w:tc>
      </w:tr>
    </w:tbl>
    <w:p>
      <w:pPr>
        <w:spacing w:after="160" w:line="300"/>
      </w:pPr>
      <w:r>
        <w:rPr>
          <w:rFonts w:ascii="Noto Sans KR" w:cs="Noto Sans KR" w:eastAsia="Noto Sans KR" w:hAnsi="Noto Sans KR"/>
          <w:color w:val="333333"/>
          <w:sz w:val="21"/>
          <w:szCs w:val="21"/>
        </w:rPr>
        <w:t xml:space="preserve">이 연구노트는 GB 시리즈(GloBE 교육)와 G0(GloBE 제품 전략)를 작성하는 과정에서 확인된 관찰 — 'SAP PaPM이 GloBE 전용이 아니라 범용 계산 엔진'이라는 사실 — 을 GloBE에 국한하지 않고 더 넓은 관점으로 확장한다. GloBE, Transfer Pricing, ESG/Sustainability, TBM(Technology Business Management), AI Simulation은 서로 무관한 개별 요구사항이 아니라, 동일한 아키텍처 패턴(계산 엔진 위에서 규칙을 정의하고 실행하는 구조)의 다른 적용 사례라는 것이 이 문서의 출발점이다.</w:t>
      </w:r>
    </w:p>
    <w:p>
      <w:r>
        <w:br w:type="page"/>
      </w:r>
    </w:p>
    <w:p>
      <w:pPr>
        <w:pStyle w:val="Heading1"/>
        <w:spacing w:after="240" w:before="480"/>
      </w:pPr>
      <w:r>
        <w:rPr>
          <w:rFonts w:ascii="Noto Sans KR" w:cs="Noto Sans KR" w:eastAsia="Noto Sans KR" w:hAnsi="Noto Sans KR"/>
          <w:b/>
          <w:bCs/>
          <w:color w:val="003366"/>
          <w:sz w:val="32"/>
          <w:szCs w:val="32"/>
        </w:rPr>
        <w:t xml:space="preserve">1. SAP Finance의 진화 궤적</w:t>
      </w:r>
    </w:p>
    <w:p>
      <w:pPr>
        <w:spacing w:after="160" w:line="300"/>
      </w:pPr>
      <w:r>
        <w:rPr>
          <w:rFonts w:ascii="Noto Sans KR" w:cs="Noto Sans KR" w:eastAsia="Noto Sans KR" w:hAnsi="Noto Sans KR"/>
          <w:color w:val="333333"/>
          <w:sz w:val="21"/>
          <w:szCs w:val="21"/>
        </w:rPr>
        <w:t xml:space="preserve">SAP Finance 아키텍처는 세 단계를 거쳐왔으며, 지금은 네 번째 단계로 이동하는 초입에 있다.</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1400"/>
        <w:gridCol w:w="3600"/>
        <w:gridCol w:w="4360"/>
      </w:tblGrid>
      <w:tr>
        <w:trPr>
          <w:tblHeader/>
        </w:trPr>
        <w:tc>
          <w:tcPr>
            <w:tcW w:type="dxa" w:w="14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단계</w:t>
            </w:r>
          </w:p>
        </w:tc>
        <w:tc>
          <w:tcPr>
            <w:tcW w:type="dxa" w:w="36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핵심 계층</w:t>
            </w:r>
          </w:p>
        </w:tc>
        <w:tc>
          <w:tcPr>
            <w:tcW w:type="dxa" w:w="43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질문</w:t>
            </w:r>
          </w:p>
        </w:tc>
      </w:tr>
      <w:tr>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1</w:t>
            </w:r>
          </w:p>
        </w:tc>
        <w:tc>
          <w:tcPr>
            <w:tcW w:type="dxa" w:w="3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ERP (개별 거래 기록)</w:t>
            </w:r>
          </w:p>
        </w:tc>
        <w:tc>
          <w:tcPr>
            <w:tcW w:type="dxa" w:w="4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무엇이 일어났는가?</w:t>
            </w:r>
          </w:p>
        </w:tc>
      </w:tr>
      <w:tr>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2</w:t>
            </w:r>
          </w:p>
        </w:tc>
        <w:tc>
          <w:tcPr>
            <w:tcW w:type="dxa" w:w="3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Universal Journal + Group Reporting (통합·연결)</w:t>
            </w:r>
          </w:p>
        </w:tc>
        <w:tc>
          <w:tcPr>
            <w:tcW w:type="dxa" w:w="4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그룹 전체로 보면 무엇이 일어났는가?</w:t>
            </w:r>
          </w:p>
        </w:tc>
      </w:tr>
      <w:tr>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3</w:t>
            </w:r>
          </w:p>
        </w:tc>
        <w:tc>
          <w:tcPr>
            <w:tcW w:type="dxa" w:w="3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Calculation Platform (PaPM 등)</w:t>
            </w:r>
          </w:p>
        </w:tc>
        <w:tc>
          <w:tcPr>
            <w:tcW w:type="dxa" w:w="4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이 숫자가 무엇을 의미하는가? (배분/이전가격/세금/탄소/시뮬레이션)</w:t>
            </w:r>
          </w:p>
        </w:tc>
      </w:tr>
      <w:tr>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4 (진행 중)</w:t>
            </w:r>
          </w:p>
        </w:tc>
        <w:tc>
          <w:tcPr>
            <w:tcW w:type="dxa" w:w="3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AI 계층 (Joule 등)</w:t>
            </w:r>
          </w:p>
        </w:tc>
        <w:tc>
          <w:tcPr>
            <w:tcW w:type="dxa" w:w="4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다음에 무엇을 해야 하는가?</w:t>
            </w:r>
          </w:p>
        </w:tc>
      </w:tr>
    </w:tbl>
    <w:p>
      <w:pPr>
        <w:spacing w:after="160"/>
      </w:pPr>
    </w:p>
    <w:p>
      <w:pPr>
        <w:spacing w:after="160" w:line="300"/>
      </w:pPr>
      <w:r>
        <w:rPr>
          <w:rFonts w:ascii="Noto Sans KR" w:cs="Noto Sans KR" w:eastAsia="Noto Sans KR" w:hAnsi="Noto Sans KR"/>
          <w:color w:val="333333"/>
          <w:sz w:val="21"/>
          <w:szCs w:val="21"/>
        </w:rPr>
        <w:t xml:space="preserve">이 흐름에서 주목할 지점은, 3단계(Calculation Platform)가 2단계(Universal Journal/Group Reporting)를 대체하는 것이 아니라 그 위에 얹히는 계층이라는 점이다. GR 시리즈에서 이미 정리한 대로 Group Reporting은 '연결결산 실행 엔진'이며, PaPM 등의 계산 플랫폼은 이 연결 데이터를 입력값으로 받아 그 위에서 세금·배분·ESG 등의 2차 계산을 수행한다. 즉 Universal Journal은 여전히 필요하지만, 그 자체로는 기업의 다음 요구사항(GloBE, Transfer Pricing, Carbon Accounting)에 답하지 못한다 — 답은 그 위의 계산 계층에서 나온다.</w:t>
      </w:r>
    </w:p>
    <w:p>
      <w:r>
        <w:br w:type="page"/>
      </w:r>
    </w:p>
    <w:p>
      <w:pPr>
        <w:pStyle w:val="Heading1"/>
        <w:spacing w:after="240" w:before="480"/>
      </w:pPr>
      <w:r>
        <w:rPr>
          <w:rFonts w:ascii="Noto Sans KR" w:cs="Noto Sans KR" w:eastAsia="Noto Sans KR" w:hAnsi="Noto Sans KR"/>
          <w:b/>
          <w:bCs/>
          <w:color w:val="003366"/>
          <w:sz w:val="32"/>
          <w:szCs w:val="32"/>
        </w:rPr>
        <w:t xml:space="preserve">2. 근거: PaPM의 실제 적용 범위</w:t>
      </w:r>
    </w:p>
    <w:p>
      <w:pPr>
        <w:spacing w:after="160" w:line="300"/>
      </w:pPr>
      <w:r>
        <w:rPr>
          <w:rFonts w:ascii="Noto Sans KR" w:cs="Noto Sans KR" w:eastAsia="Noto Sans KR" w:hAnsi="Noto Sans KR"/>
          <w:color w:val="333333"/>
          <w:sz w:val="21"/>
          <w:szCs w:val="21"/>
        </w:rPr>
        <w:t xml:space="preserve">이 논지가 추정이 아니라는 것은 SAP 파트너사(msg global)가 공개한 PaPM 소개 자료에서 직접 확인된다. PaPM은 산업 무관(industry-agnostic) 솔루션으로 소개되며, 명시적으로 다음 유스케이스를 포괄한다.</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3200"/>
        <w:gridCol w:w="6160"/>
      </w:tblGrid>
      <w:tr>
        <w:trPr>
          <w:tblHeader/>
        </w:trPr>
        <w:tc>
          <w:tcPr>
            <w:tcW w:type="dxa" w:w="32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유스케이스</w:t>
            </w:r>
          </w:p>
        </w:tc>
        <w:tc>
          <w:tcPr>
            <w:tcW w:type="dxa" w:w="61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설명</w:t>
            </w:r>
          </w:p>
        </w:tc>
      </w:tr>
      <w:tr>
        <w:tc>
          <w:tcPr>
            <w:tcW w:type="dxa" w:w="3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Profitability &amp; Cost Analysis</w:t>
            </w:r>
          </w:p>
        </w:tc>
        <w:tc>
          <w:tcPr>
            <w:tcW w:type="dxa" w:w="61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제품/서비스/고객/채널/SKU/거래 단위의 세밀한 수익성·원가 분석</w:t>
            </w:r>
          </w:p>
        </w:tc>
      </w:tr>
      <w:tr>
        <w:tc>
          <w:tcPr>
            <w:tcW w:type="dxa" w:w="32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Driver-based Allocation</w:t>
            </w:r>
          </w:p>
        </w:tc>
        <w:tc>
          <w:tcPr>
            <w:tcW w:type="dxa" w:w="61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배분 규칙 기반의 복잡한 계산 모델</w:t>
            </w:r>
          </w:p>
        </w:tc>
      </w:tr>
      <w:tr>
        <w:tc>
          <w:tcPr>
            <w:tcW w:type="dxa" w:w="3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Tax &amp; Transfer Pricing</w:t>
            </w:r>
          </w:p>
        </w:tc>
        <w:tc>
          <w:tcPr>
            <w:tcW w:type="dxa" w:w="61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BEPS 2.0 Pillar Two(GloBE), 법인세, 이연법인세, Operational Transfer Pricing</w:t>
            </w:r>
          </w:p>
        </w:tc>
      </w:tr>
      <w:tr>
        <w:tc>
          <w:tcPr>
            <w:tcW w:type="dxa" w:w="32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TBM (Technology Business Management)</w:t>
            </w:r>
          </w:p>
        </w:tc>
        <w:tc>
          <w:tcPr>
            <w:tcW w:type="dxa" w:w="61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IT 비용 투명성 확보 및 배분</w:t>
            </w:r>
          </w:p>
        </w:tc>
      </w:tr>
      <w:tr>
        <w:tc>
          <w:tcPr>
            <w:tcW w:type="dxa" w:w="3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Planning &amp; Forecasting</w:t>
            </w:r>
          </w:p>
        </w:tc>
        <w:tc>
          <w:tcPr>
            <w:tcW w:type="dxa" w:w="61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Driver 기반/예측/확률적 시뮬레이션을 포함한 What-if 분석</w:t>
            </w:r>
          </w:p>
        </w:tc>
      </w:tr>
      <w:tr>
        <w:tc>
          <w:tcPr>
            <w:tcW w:type="dxa" w:w="32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Sustainability Management</w:t>
            </w:r>
          </w:p>
        </w:tc>
        <w:tc>
          <w:tcPr>
            <w:tcW w:type="dxa" w:w="61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경제·환경·사회적 영향의 정량화 및 보고 간소화</w:t>
            </w:r>
          </w:p>
        </w:tc>
      </w:tr>
    </w:tbl>
    <w:p>
      <w:pPr>
        <w:spacing w:after="160"/>
      </w:pPr>
    </w:p>
    <w:p>
      <w:pPr>
        <w:spacing w:after="160" w:line="300"/>
      </w:pPr>
      <w:r>
        <w:rPr>
          <w:rFonts w:ascii="Noto Sans KR" w:cs="Noto Sans KR" w:eastAsia="Noto Sans KR" w:hAnsi="Noto Sans KR"/>
          <w:color w:val="333333"/>
          <w:sz w:val="21"/>
          <w:szCs w:val="21"/>
        </w:rPr>
        <w:t xml:space="preserve">특히 msg global은 PaPM을 'multi-functional calculation champion'이라 명명하며, HANA 기반의 고성능 계산 엔진이 수익성 분석뿐 아니라 대량 데이터의 복잡한 계산·시뮬레이션·배분 처리에 이상적으로 적합하다고 설명한다. 또한 PaPM은 제품 단위 탄소발자국을 Bottom-up 방식으로 계산하는 기능까지 포함한다고 명시되어 있어, ESG가 이미 이 계산 계층의 정식 유스케이스로 편입되어 있음을 보여준다.</w:t>
      </w:r>
    </w:p>
    <w:p>
      <w:pPr>
        <w:spacing w:after="160" w:line="300"/>
      </w:pPr>
      <w:r>
        <w:rPr>
          <w:rFonts w:ascii="Noto Sans KR" w:cs="Noto Sans KR" w:eastAsia="Noto Sans KR" w:hAnsi="Noto Sans KR"/>
          <w:color w:val="333333"/>
          <w:sz w:val="21"/>
          <w:szCs w:val="21"/>
        </w:rPr>
        <w:t xml:space="preserve">실제 고객 사례에서도 이 범용성이 확인된다. Operational Transfer Pricing 자동화 사례(msg global 고객 사례)에서는 PaPM이 처리 시간을 크게 단축했다고 언급되며, 활동기준원가계산(Activity-Based Costing) 사례에서도 동일한 엔진이 활용된다.</w:t>
      </w:r>
    </w:p>
    <w:p>
      <w:pPr>
        <w:pStyle w:val="Heading2"/>
        <w:spacing w:after="180" w:before="360"/>
      </w:pPr>
      <w:r>
        <w:rPr>
          <w:rFonts w:ascii="Noto Sans KR" w:cs="Noto Sans KR" w:eastAsia="Noto Sans KR" w:hAnsi="Noto Sans KR"/>
          <w:b/>
          <w:bCs/>
          <w:color w:val="003366"/>
          <w:sz w:val="26"/>
          <w:szCs w:val="26"/>
        </w:rPr>
        <w:t xml:space="preserve">2.1 아키텍처 측면의 시사점 — Clean Core</w:t>
      </w:r>
    </w:p>
    <w:p>
      <w:pPr>
        <w:spacing w:after="160" w:line="300"/>
      </w:pPr>
      <w:r>
        <w:rPr>
          <w:rFonts w:ascii="Noto Sans KR" w:cs="Noto Sans KR" w:eastAsia="Noto Sans KR" w:hAnsi="Noto Sans KR"/>
          <w:color w:val="333333"/>
          <w:sz w:val="21"/>
          <w:szCs w:val="21"/>
        </w:rPr>
        <w:t xml:space="preserve">PaPM은 S/4HANA 자체의 커스터마이징을 피하는 'Clean Core' 전략에 부합하는 방식으로 설계되어 있다. 이는 SAP가 계산 로직을 코어 ERP와 분리된 별도 계층에 위치시키려는 의도를 보여주며, 이 분리된 계층이 곧 여러 계산 유스케이스가 공유하는 공통 플랫폼이 되는 구조다. GB 시리즈의 GR04(Release Universal Journal)·GR06(Posting Framework)에서 확립한 원칙 — 서로 다른 추상화 레벨을 섞지 않는다 — 과 같은 맥락에서, PaPM은 'ERP 코어'와 '계산 계층'을 아키텍처적으로 분리하는 SAP의 일관된 설계 철학을 보여준다.</w:t>
      </w:r>
    </w:p>
    <w:p>
      <w:r>
        <w:br w:type="page"/>
      </w:r>
    </w:p>
    <w:p>
      <w:pPr>
        <w:pStyle w:val="Heading1"/>
        <w:spacing w:after="240" w:before="480"/>
      </w:pPr>
      <w:r>
        <w:rPr>
          <w:rFonts w:ascii="Noto Sans KR" w:cs="Noto Sans KR" w:eastAsia="Noto Sans KR" w:hAnsi="Noto Sans KR"/>
          <w:b/>
          <w:bCs/>
          <w:color w:val="003366"/>
          <w:sz w:val="32"/>
          <w:szCs w:val="32"/>
        </w:rPr>
        <w:t xml:space="preserve">3. 공통 아키텍처 패턴</w:t>
      </w:r>
    </w:p>
    <w:p>
      <w:pPr>
        <w:spacing w:after="160" w:line="300"/>
      </w:pPr>
      <w:r>
        <w:rPr>
          <w:rFonts w:ascii="Noto Sans KR" w:cs="Noto Sans KR" w:eastAsia="Noto Sans KR" w:hAnsi="Noto Sans KR"/>
          <w:color w:val="333333"/>
          <w:sz w:val="21"/>
          <w:szCs w:val="21"/>
        </w:rPr>
        <w:t xml:space="preserve">GloBE, Transfer Pricing, TBM, Sustainability, Planning은 표면적으로 완전히 다른 업무 도메인처럼 보이지만, 계산 엔진 관점에서는 동일한 4단계 패턴을 공유한다.</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1600"/>
        <w:gridCol w:w="2800"/>
        <w:gridCol w:w="2500"/>
        <w:gridCol w:w="2460"/>
      </w:tblGrid>
      <w:tr>
        <w:trPr>
          <w:tblHeader/>
        </w:trPr>
        <w:tc>
          <w:tcPr>
            <w:tcW w:type="dxa" w:w="16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계층</w:t>
            </w:r>
          </w:p>
        </w:tc>
        <w:tc>
          <w:tcPr>
            <w:tcW w:type="dxa" w:w="28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역할</w:t>
            </w:r>
          </w:p>
        </w:tc>
        <w:tc>
          <w:tcPr>
            <w:tcW w:type="dxa" w:w="25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GloBE 사례</w:t>
            </w:r>
          </w:p>
        </w:tc>
        <w:tc>
          <w:tcPr>
            <w:tcW w:type="dxa" w:w="24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ESG 사례</w:t>
            </w:r>
          </w:p>
        </w:tc>
      </w:tr>
      <w:tr>
        <w:tc>
          <w:tcPr>
            <w:tcW w:type="dxa" w:w="1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Data Model</w:t>
            </w:r>
          </w:p>
        </w:tc>
        <w:tc>
          <w:tcPr>
            <w:tcW w:type="dxa" w:w="28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원천 데이터 정의(계정, 조직, 관할지역/제품 등)</w:t>
            </w:r>
          </w:p>
        </w:tc>
        <w:tc>
          <w:tcPr>
            <w:tcW w:type="dxa" w:w="25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Entity, Jurisdiction</w:t>
            </w:r>
          </w:p>
        </w:tc>
        <w:tc>
          <w:tcPr>
            <w:tcW w:type="dxa" w:w="24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Product, Supplier, Activity</w:t>
            </w:r>
          </w:p>
        </w:tc>
      </w:tr>
      <w:tr>
        <w:tc>
          <w:tcPr>
            <w:tcW w:type="dxa" w:w="1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Rule Engine</w:t>
            </w:r>
          </w:p>
        </w:tc>
        <w:tc>
          <w:tcPr>
            <w:tcW w:type="dxa" w:w="28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계산 로직 정의 및 실행</w:t>
            </w:r>
          </w:p>
        </w:tc>
        <w:tc>
          <w:tcPr>
            <w:tcW w:type="dxa" w:w="25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ETR/Top-up Tax 계산</w:t>
            </w:r>
          </w:p>
        </w:tc>
        <w:tc>
          <w:tcPr>
            <w:tcW w:type="dxa" w:w="24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Carbon Footprint 배분 계산</w:t>
            </w:r>
          </w:p>
        </w:tc>
      </w:tr>
      <w:tr>
        <w:tc>
          <w:tcPr>
            <w:tcW w:type="dxa" w:w="1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Workflow</w:t>
            </w:r>
          </w:p>
        </w:tc>
        <w:tc>
          <w:tcPr>
            <w:tcW w:type="dxa" w:w="28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검토·승인·이력관리</w:t>
            </w:r>
          </w:p>
        </w:tc>
        <w:tc>
          <w:tcPr>
            <w:tcW w:type="dxa" w:w="25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Jurisdiction 단위 승인</w:t>
            </w:r>
          </w:p>
        </w:tc>
        <w:tc>
          <w:tcPr>
            <w:tcW w:type="dxa" w:w="24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부서/공급망 단위 검증</w:t>
            </w:r>
          </w:p>
        </w:tc>
      </w:tr>
      <w:tr>
        <w:tc>
          <w:tcPr>
            <w:tcW w:type="dxa" w:w="1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Output</w:t>
            </w:r>
          </w:p>
        </w:tc>
        <w:tc>
          <w:tcPr>
            <w:tcW w:type="dxa" w:w="28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보고·신고·대시보드</w:t>
            </w:r>
          </w:p>
        </w:tc>
        <w:tc>
          <w:tcPr>
            <w:tcW w:type="dxa" w:w="25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GIR 신고</w:t>
            </w:r>
          </w:p>
        </w:tc>
        <w:tc>
          <w:tcPr>
            <w:tcW w:type="dxa" w:w="24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Sustainability 보고서</w:t>
            </w:r>
          </w:p>
        </w:tc>
      </w:tr>
    </w:tbl>
    <w:p>
      <w:pPr>
        <w:spacing w:after="160"/>
      </w:pPr>
    </w:p>
    <w:p>
      <w:pPr>
        <w:spacing w:after="160" w:line="300"/>
      </w:pPr>
      <w:r>
        <w:rPr>
          <w:rFonts w:ascii="Noto Sans KR" w:cs="Noto Sans KR" w:eastAsia="Noto Sans KR" w:hAnsi="Noto Sans KR"/>
          <w:color w:val="333333"/>
          <w:sz w:val="21"/>
          <w:szCs w:val="21"/>
        </w:rPr>
        <w:t xml:space="preserve">이 패턴이 사실이라면, ASPN이 GloBE Add-on을 위해 개발하는 아키텍처(Data Hub → Calculation Accelerator → Review &amp; Audit Workspace → 신고 Package, G0 8장 참조)는 GloBE 전용 설계가 아니라 재사용 가능한 범용 골격이 된다. 즉 동일한 골격 위에 Rule Engine만 교체하면 Transfer Pricing이나 ESG 계산으로도 확장할 수 있는 잠재력을 갖는다.</w:t>
      </w:r>
    </w:p>
    <w:tbl>
      <w:tblPr>
        <w:tblW w:type="pct" w:w="100%"/>
        <w:tblBorders>
          <w:top w:val="single" w:color="003366" w:sz="4"/>
          <w:left w:val="single" w:color="003366" w:sz="4"/>
          <w:bottom w:val="single" w:color="003366" w:sz="4"/>
          <w:right w:val="single" w:color="003366"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Noto Sans KR" w:cs="Noto Sans KR" w:eastAsia="Noto Sans KR" w:hAnsi="Noto Sans KR"/>
                <w:b/>
                <w:bCs/>
                <w:color w:val="003366"/>
                <w:sz w:val="21"/>
                <w:szCs w:val="21"/>
              </w:rPr>
              <w:t xml:space="preserve">절제된 서술 원칙</w:t>
            </w:r>
          </w:p>
          <w:p>
            <w:pPr>
              <w:spacing w:after="0" w:line="280"/>
            </w:pPr>
            <w:r>
              <w:rPr>
                <w:rFonts w:ascii="Noto Sans KR" w:cs="Noto Sans KR" w:eastAsia="Noto Sans KR" w:hAnsi="Noto Sans KR"/>
                <w:color w:val="333333"/>
                <w:sz w:val="20"/>
                <w:szCs w:val="20"/>
              </w:rPr>
              <w:t xml:space="preserve">이 공통 패턴은 아키텍처적 유사성에 대한 관찰이며, SAP가 실제로 이런 통합 전략을 공식 로드맵으로 선언했다는 근거는 아직 확인되지 않았다. PaPM이 여러 유스케이스를 지원한다는 사실과, SAP가 이를 '통합 계산 허브' 전략으로 명시적으로 포지셔닝한다는 것은 별개의 주장이다 — 후자는 SAP 공식 로드맵 자료로 추가 검증이 필요하다.</w:t>
            </w:r>
          </w:p>
        </w:tc>
      </w:tr>
    </w:tbl>
    <w:p>
      <w:r>
        <w:br w:type="page"/>
      </w:r>
    </w:p>
    <w:p>
      <w:pPr>
        <w:pStyle w:val="Heading1"/>
        <w:spacing w:after="240" w:before="480"/>
      </w:pPr>
      <w:r>
        <w:rPr>
          <w:rFonts w:ascii="Noto Sans KR" w:cs="Noto Sans KR" w:eastAsia="Noto Sans KR" w:hAnsi="Noto Sans KR"/>
          <w:b/>
          <w:bCs/>
          <w:color w:val="003366"/>
          <w:sz w:val="32"/>
          <w:szCs w:val="32"/>
        </w:rPr>
        <w:t xml:space="preserve">4. ASPN에 대한 시사점</w:t>
      </w:r>
    </w:p>
    <w:p>
      <w:pPr>
        <w:pStyle w:val="Heading2"/>
        <w:spacing w:after="180" w:before="360"/>
      </w:pPr>
      <w:r>
        <w:rPr>
          <w:rFonts w:ascii="Noto Sans KR" w:cs="Noto Sans KR" w:eastAsia="Noto Sans KR" w:hAnsi="Noto Sans KR"/>
          <w:b/>
          <w:bCs/>
          <w:color w:val="003366"/>
          <w:sz w:val="26"/>
          <w:szCs w:val="26"/>
        </w:rPr>
        <w:t xml:space="preserve">4.1 AGRA의 재정의</w:t>
      </w:r>
    </w:p>
    <w:p>
      <w:pPr>
        <w:spacing w:after="160" w:line="300"/>
      </w:pPr>
      <w:r>
        <w:rPr>
          <w:rFonts w:ascii="Noto Sans KR" w:cs="Noto Sans KR" w:eastAsia="Noto Sans KR" w:hAnsi="Noto Sans KR"/>
          <w:color w:val="333333"/>
          <w:sz w:val="21"/>
          <w:szCs w:val="21"/>
        </w:rPr>
        <w:t xml:space="preserve">이 관찰은 AGRA의 장기적 포지셔닝에 직접 영향을 준다. G0 Ch.7에서 정의한 'SAP Native GloBE Platform' 포지셔닝은 사실 더 큰 그림의 첫 번째 사례일 수 있다.</w:t>
      </w:r>
    </w:p>
    <w:p>
      <w:pPr>
        <w:pStyle w:val="ListParagraph"/>
        <w:numPr>
          <w:ilvl w:val="0"/>
          <w:numId w:val="2"/>
        </w:numPr>
        <w:spacing w:after="100" w:line="280"/>
      </w:pPr>
      <w:r>
        <w:rPr>
          <w:rFonts w:ascii="Noto Sans KR" w:cs="Noto Sans KR" w:eastAsia="Noto Sans KR" w:hAnsi="Noto Sans KR"/>
          <w:color w:val="333333"/>
          <w:sz w:val="21"/>
          <w:szCs w:val="21"/>
        </w:rPr>
        <w:t xml:space="preserve">AGRA (현재): Group Reporting Add-on — GR 표준의 공백(Note Management, Workflow 등)을 메움</w:t>
      </w:r>
    </w:p>
    <w:p>
      <w:pPr>
        <w:pStyle w:val="ListParagraph"/>
        <w:numPr>
          <w:ilvl w:val="0"/>
          <w:numId w:val="2"/>
        </w:numPr>
        <w:spacing w:after="100" w:line="280"/>
      </w:pPr>
      <w:r>
        <w:rPr>
          <w:rFonts w:ascii="Noto Sans KR" w:cs="Noto Sans KR" w:eastAsia="Noto Sans KR" w:hAnsi="Noto Sans KR"/>
          <w:color w:val="333333"/>
          <w:sz w:val="21"/>
          <w:szCs w:val="21"/>
        </w:rPr>
        <w:t xml:space="preserve">AGRA + GloBE (G0 결론): Group Reporting + Tax를 아우르는 확장</w:t>
      </w:r>
    </w:p>
    <w:p>
      <w:pPr>
        <w:pStyle w:val="ListParagraph"/>
        <w:numPr>
          <w:ilvl w:val="0"/>
          <w:numId w:val="2"/>
        </w:numPr>
        <w:spacing w:after="100" w:line="280"/>
      </w:pPr>
      <w:r>
        <w:rPr>
          <w:rFonts w:ascii="Noto Sans KR" w:cs="Noto Sans KR" w:eastAsia="Noto Sans KR" w:hAnsi="Noto Sans KR"/>
          <w:color w:val="333333"/>
          <w:sz w:val="21"/>
          <w:szCs w:val="21"/>
        </w:rPr>
        <w:t xml:space="preserve">AGRA (장기 가설): SAP Universal Journal 위에서 작동하는 Enterprise Calculation Platform Add-on — GloBE는 그 첫 적용 영역</w:t>
      </w:r>
    </w:p>
    <w:p>
      <w:pPr>
        <w:pStyle w:val="Heading2"/>
        <w:spacing w:after="180" w:before="360"/>
      </w:pPr>
      <w:r>
        <w:rPr>
          <w:rFonts w:ascii="Noto Sans KR" w:cs="Noto Sans KR" w:eastAsia="Noto Sans KR" w:hAnsi="Noto Sans KR"/>
          <w:b/>
          <w:bCs/>
          <w:color w:val="003366"/>
          <w:sz w:val="26"/>
          <w:szCs w:val="26"/>
        </w:rPr>
        <w:t xml:space="preserve">4.2 PP 시리즈(가칭)의 가능성</w:t>
      </w:r>
    </w:p>
    <w:p>
      <w:pPr>
        <w:spacing w:after="160" w:line="300"/>
      </w:pPr>
      <w:r>
        <w:rPr>
          <w:rFonts w:ascii="Noto Sans KR" w:cs="Noto Sans KR" w:eastAsia="Noto Sans KR" w:hAnsi="Noto Sans KR"/>
          <w:color w:val="333333"/>
          <w:sz w:val="21"/>
          <w:szCs w:val="21"/>
        </w:rPr>
        <w:t xml:space="preserve">GB 시리즈가 GloBE라는 단일 도메인의 교육·구현 방법론이라면, PaPM 자체의 아키텍처(Data Model, Rule Engine, Workflow, Output 4계층)를 독립적으로 다루는 별도 교육 트랙(PP 시리즈, PaPM Architecture Series)을 구성할 가치가 있다. 이 경우 GB 시리즈는 PP 시리즈의 '첫 번째 응용 사례'로 재배치될 수 있다.</w:t>
      </w:r>
    </w:p>
    <w:tbl>
      <w:tblPr>
        <w:tblW w:type="pct" w:w="100%"/>
        <w:tblBorders>
          <w:top w:val="single" w:color="003366" w:sz="4"/>
          <w:left w:val="single" w:color="003366" w:sz="4"/>
          <w:bottom w:val="single" w:color="003366" w:sz="4"/>
          <w:right w:val="single" w:color="003366"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Noto Sans KR" w:cs="Noto Sans KR" w:eastAsia="Noto Sans KR" w:hAnsi="Noto Sans KR"/>
                <w:b/>
                <w:bCs/>
                <w:color w:val="003366"/>
                <w:sz w:val="21"/>
                <w:szCs w:val="21"/>
              </w:rPr>
              <w:t xml:space="preserve">판단 보류 사항</w:t>
            </w:r>
          </w:p>
          <w:p>
            <w:pPr>
              <w:spacing w:after="0" w:line="280"/>
            </w:pPr>
            <w:r>
              <w:rPr>
                <w:rFonts w:ascii="Noto Sans KR" w:cs="Noto Sans KR" w:eastAsia="Noto Sans KR" w:hAnsi="Noto Sans KR"/>
                <w:color w:val="333333"/>
                <w:sz w:val="20"/>
                <w:szCs w:val="20"/>
              </w:rPr>
              <w:t xml:space="preserve">PP 시리즈 착수 여부는 GB 시리즈 진행 경과와 별개로 결정할 사항이다. 현재는 가설로만 기록하고, GB01~GB06 진행 후 실제 PaPM 연동 작업(Release 2)에서 이 가설의 타당성을 재검증한다.</w:t>
            </w:r>
          </w:p>
        </w:tc>
      </w:tr>
    </w:tbl>
    <w:p>
      <w:r>
        <w:br w:type="page"/>
      </w:r>
    </w:p>
    <w:p>
      <w:pPr>
        <w:pStyle w:val="Heading1"/>
        <w:spacing w:after="240" w:before="480"/>
      </w:pPr>
      <w:r>
        <w:rPr>
          <w:rFonts w:ascii="Noto Sans KR" w:cs="Noto Sans KR" w:eastAsia="Noto Sans KR" w:hAnsi="Noto Sans KR"/>
          <w:b/>
          <w:bCs/>
          <w:color w:val="003366"/>
          <w:sz w:val="32"/>
          <w:szCs w:val="32"/>
        </w:rPr>
        <w:t xml:space="preserve">5. 내부 문서 체계 (Document Taxonomy)</w:t>
      </w:r>
    </w:p>
    <w:p>
      <w:pPr>
        <w:spacing w:after="160" w:line="300"/>
      </w:pPr>
      <w:r>
        <w:rPr>
          <w:rFonts w:ascii="Noto Sans KR" w:cs="Noto Sans KR" w:eastAsia="Noto Sans KR" w:hAnsi="Noto Sans KR"/>
          <w:color w:val="333333"/>
          <w:sz w:val="21"/>
          <w:szCs w:val="21"/>
        </w:rPr>
        <w:t xml:space="preserve">본 연구노트를 계기로, ASPN BAC사업부의 제품/기술 전략 문서 체계를 다음과 같이 공식화한다. GloBE뿐 아니라 향후 다른 솔루션 기획에도 동일한 프레임워크를 재사용한다.</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1900"/>
        <w:gridCol w:w="2600"/>
        <w:gridCol w:w="2200"/>
        <w:gridCol w:w="2660"/>
      </w:tblGrid>
      <w:tr>
        <w:trPr>
          <w:tblHeader/>
        </w:trPr>
        <w:tc>
          <w:tcPr>
            <w:tcW w:type="dxa" w:w="19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문서군</w:t>
            </w:r>
          </w:p>
        </w:tc>
        <w:tc>
          <w:tcPr>
            <w:tcW w:type="dxa" w:w="26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역할</w:t>
            </w:r>
          </w:p>
        </w:tc>
        <w:tc>
          <w:tcPr>
            <w:tcW w:type="dxa" w:w="22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질문</w:t>
            </w:r>
          </w:p>
        </w:tc>
        <w:tc>
          <w:tcPr>
            <w:tcW w:type="dxa" w:w="26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현재 사례</w:t>
            </w:r>
          </w:p>
        </w:tc>
      </w:tr>
      <w:tr>
        <w:tc>
          <w:tcPr>
            <w:tcW w:type="dxa" w:w="1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G-시리즈 (G0, G1…)</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제품 전략 (Product Strategy)</w:t>
            </w:r>
          </w:p>
        </w:tc>
        <w:tc>
          <w:tcPr>
            <w:tcW w:type="dxa" w:w="2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무엇을 만들 것인가?</w:t>
            </w:r>
          </w:p>
        </w:tc>
        <w:tc>
          <w:tcPr>
            <w:tcW w:type="dxa" w:w="26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G0: GloBE Solution Landscape &amp; Product Strategy</w:t>
            </w:r>
          </w:p>
        </w:tc>
      </w:tr>
      <w:tr>
        <w:tc>
          <w:tcPr>
            <w:tcW w:type="dxa" w:w="1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RN-시리즈 (Research Note)</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기술 전략 (Technology Strategy)</w:t>
            </w:r>
          </w:p>
        </w:tc>
        <w:tc>
          <w:tcPr>
            <w:tcW w:type="dxa" w:w="22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왜 이 방향인가?</w:t>
            </w:r>
          </w:p>
        </w:tc>
        <w:tc>
          <w:tcPr>
            <w:tcW w:type="dxa" w:w="26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RN-001: SAP Enterprise Calculation Platform Strategy</w:t>
            </w:r>
          </w:p>
        </w:tc>
      </w:tr>
      <w:tr>
        <w:tc>
          <w:tcPr>
            <w:tcW w:type="dxa" w:w="1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GB/GR 등 교육 시리즈</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교육 및 구현 방법론 (Education &amp; Implementation)</w:t>
            </w:r>
          </w:p>
        </w:tc>
        <w:tc>
          <w:tcPr>
            <w:tcW w:type="dxa" w:w="2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어떻게 이해·설명할 것인가?</w:t>
            </w:r>
          </w:p>
        </w:tc>
        <w:tc>
          <w:tcPr>
            <w:tcW w:type="dxa" w:w="26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GR01~10, GB01~(예정)</w:t>
            </w:r>
          </w:p>
        </w:tc>
      </w:tr>
      <w:tr>
        <w:tc>
          <w:tcPr>
            <w:tcW w:type="dxa" w:w="1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PRD-시리즈 (향후)</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기능 명세 (Product Requirements)</w:t>
            </w:r>
          </w:p>
        </w:tc>
        <w:tc>
          <w:tcPr>
            <w:tcW w:type="dxa" w:w="22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구체적으로 무엇을 만드는가?</w:t>
            </w:r>
          </w:p>
        </w:tc>
        <w:tc>
          <w:tcPr>
            <w:tcW w:type="dxa" w:w="26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미착수</w:t>
            </w:r>
          </w:p>
        </w:tc>
      </w:tr>
      <w:tr>
        <w:tc>
          <w:tcPr>
            <w:tcW w:type="dxa" w:w="1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ADR-시리즈 (향후)</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아키텍처 의사결정 기록 (Architecture Decision Records)</w:t>
            </w:r>
          </w:p>
        </w:tc>
        <w:tc>
          <w:tcPr>
            <w:tcW w:type="dxa" w:w="2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왜 이 기술적 선택을 했는가?</w:t>
            </w:r>
          </w:p>
        </w:tc>
        <w:tc>
          <w:tcPr>
            <w:tcW w:type="dxa" w:w="26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미착수</w:t>
            </w:r>
          </w:p>
        </w:tc>
      </w:tr>
    </w:tbl>
    <w:p>
      <w:pPr>
        <w:spacing w:after="160"/>
      </w:pPr>
    </w:p>
    <w:p>
      <w:pPr>
        <w:pStyle w:val="Heading2"/>
        <w:spacing w:after="180" w:before="360"/>
      </w:pPr>
      <w:r>
        <w:rPr>
          <w:rFonts w:ascii="Noto Sans KR" w:cs="Noto Sans KR" w:eastAsia="Noto Sans KR" w:hAnsi="Noto Sans KR"/>
          <w:b/>
          <w:bCs/>
          <w:color w:val="003366"/>
          <w:sz w:val="26"/>
          <w:szCs w:val="26"/>
        </w:rPr>
        <w:t xml:space="preserve">5.1 문서 간 관계</w:t>
      </w:r>
    </w:p>
    <w:p>
      <w:pPr>
        <w:spacing w:after="160" w:line="300"/>
      </w:pPr>
      <w:r>
        <w:rPr>
          <w:rFonts w:ascii="Noto Sans KR" w:cs="Noto Sans KR" w:eastAsia="Noto Sans KR" w:hAnsi="Noto Sans KR"/>
          <w:color w:val="333333"/>
          <w:sz w:val="21"/>
          <w:szCs w:val="21"/>
        </w:rPr>
        <w:t xml:space="preserve">G-시리즈는 RN-시리즈가 제시하는 기술적 통찰을 사업 기회로 번역한 결과물이며, 교육 시리즈는 G/RN 시리즈의 결론을 실무자가 이해하고 구현할 수 있는 형태로 전개한 것이다. PRD/ADR 시리즈는 실제 개발이 시작되는 시점에 도입하며, 이번 GloBE Add-on 개발이 그 첫 적용 사례가 될 가능성이 높다.</w:t>
      </w:r>
    </w:p>
    <w:p>
      <w:r>
        <w:br w:type="page"/>
      </w:r>
    </w:p>
    <w:p>
      <w:pPr>
        <w:pStyle w:val="Heading1"/>
        <w:spacing w:after="240" w:before="480"/>
      </w:pPr>
      <w:r>
        <w:rPr>
          <w:rFonts w:ascii="Noto Sans KR" w:cs="Noto Sans KR" w:eastAsia="Noto Sans KR" w:hAnsi="Noto Sans KR"/>
          <w:b/>
          <w:bCs/>
          <w:color w:val="003366"/>
          <w:sz w:val="32"/>
          <w:szCs w:val="32"/>
        </w:rPr>
        <w:t xml:space="preserve">6. 후속 확인 사항 (v1.0 보완 예정)</w:t>
      </w:r>
    </w:p>
    <w:p>
      <w:pPr>
        <w:pStyle w:val="ListParagraph"/>
        <w:numPr>
          <w:ilvl w:val="0"/>
          <w:numId w:val="2"/>
        </w:numPr>
        <w:spacing w:after="100" w:line="280"/>
      </w:pPr>
      <w:r>
        <w:rPr>
          <w:rFonts w:ascii="Noto Sans KR" w:cs="Noto Sans KR" w:eastAsia="Noto Sans KR" w:hAnsi="Noto Sans KR"/>
          <w:color w:val="333333"/>
          <w:sz w:val="21"/>
          <w:szCs w:val="21"/>
        </w:rPr>
        <w:t xml:space="preserve">SAP가 PaPM을 'Enterprise Calculation Platform'으로 공식 포지셔닝하는 로드맵 자료 확인 (SAP 공식 문서/SAPPHIRE 발표 자료 등)</w:t>
      </w:r>
    </w:p>
    <w:p>
      <w:pPr>
        <w:pStyle w:val="ListParagraph"/>
        <w:numPr>
          <w:ilvl w:val="0"/>
          <w:numId w:val="2"/>
        </w:numPr>
        <w:spacing w:after="100" w:line="280"/>
      </w:pPr>
      <w:r>
        <w:rPr>
          <w:rFonts w:ascii="Noto Sans KR" w:cs="Noto Sans KR" w:eastAsia="Noto Sans KR" w:hAnsi="Noto Sans KR"/>
          <w:color w:val="333333"/>
          <w:sz w:val="21"/>
          <w:szCs w:val="21"/>
        </w:rPr>
        <w:t xml:space="preserve">PaPM의 Universal Allocation 기능과의 관계 — Universal Allocation이 PaPM의 하위 기능인지 별도 컴포넌트인지 확인 필요</w:t>
      </w:r>
    </w:p>
    <w:p>
      <w:pPr>
        <w:pStyle w:val="ListParagraph"/>
        <w:numPr>
          <w:ilvl w:val="0"/>
          <w:numId w:val="2"/>
        </w:numPr>
        <w:spacing w:after="100" w:line="280"/>
      </w:pPr>
      <w:r>
        <w:rPr>
          <w:rFonts w:ascii="Noto Sans KR" w:cs="Noto Sans KR" w:eastAsia="Noto Sans KR" w:hAnsi="Noto Sans KR"/>
          <w:color w:val="333333"/>
          <w:sz w:val="21"/>
          <w:szCs w:val="21"/>
        </w:rPr>
        <w:t xml:space="preserve">SAP Sustainability Footprint Management와 PaPM Sustainability 유스케이스의 관계 — 동일 계산 엔진을 공유하는지, 별도 제품인지 확인 필요</w:t>
      </w:r>
    </w:p>
    <w:p>
      <w:pPr>
        <w:pStyle w:val="ListParagraph"/>
        <w:numPr>
          <w:ilvl w:val="0"/>
          <w:numId w:val="2"/>
        </w:numPr>
        <w:spacing w:after="100" w:line="280"/>
      </w:pPr>
      <w:r>
        <w:rPr>
          <w:rFonts w:ascii="Noto Sans KR" w:cs="Noto Sans KR" w:eastAsia="Noto Sans KR" w:hAnsi="Noto Sans KR"/>
          <w:color w:val="333333"/>
          <w:sz w:val="21"/>
          <w:szCs w:val="21"/>
        </w:rPr>
        <w:t xml:space="preserve">Joule(AI)가 이 계산 계층에 어떤 방식으로 결합되는지 — 현재는 리포트 생성 보조 수준으로 확인되나, 계산 로직 자체에 대한 AI 개입 수준은 추가 조사 필요</w:t>
      </w:r>
    </w:p>
    <w:p>
      <w:pPr>
        <w:pStyle w:val="ListParagraph"/>
        <w:numPr>
          <w:ilvl w:val="0"/>
          <w:numId w:val="2"/>
        </w:numPr>
        <w:spacing w:after="100" w:line="280"/>
      </w:pPr>
      <w:r>
        <w:rPr>
          <w:rFonts w:ascii="Noto Sans KR" w:cs="Noto Sans KR" w:eastAsia="Noto Sans KR" w:hAnsi="Noto Sans KR"/>
          <w:color w:val="333333"/>
          <w:sz w:val="21"/>
          <w:szCs w:val="21"/>
        </w:rPr>
        <w:t xml:space="preserve">PP 시리즈 착수 여부 — GB 시리즈 Release 2(PaPM Integration) 진행 후 재검토</w:t>
      </w:r>
    </w:p>
    <w:p>
      <w:pPr>
        <w:spacing w:after="160"/>
      </w:pPr>
    </w:p>
    <w:tbl>
      <w:tblPr>
        <w:tblW w:type="pct" w:w="100%"/>
        <w:tblBorders>
          <w:top w:val="single" w:color="003366" w:sz="4"/>
          <w:left w:val="single" w:color="003366" w:sz="4"/>
          <w:bottom w:val="single" w:color="003366" w:sz="4"/>
          <w:right w:val="single" w:color="003366"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Noto Sans KR" w:cs="Noto Sans KR" w:eastAsia="Noto Sans KR" w:hAnsi="Noto Sans KR"/>
                <w:b/>
                <w:bCs/>
                <w:color w:val="003366"/>
                <w:sz w:val="21"/>
                <w:szCs w:val="21"/>
              </w:rPr>
              <w:t xml:space="preserve">버전 관리</w:t>
            </w:r>
          </w:p>
          <w:p>
            <w:pPr>
              <w:spacing w:after="0" w:line="280"/>
            </w:pPr>
            <w:r>
              <w:rPr>
                <w:rFonts w:ascii="Noto Sans KR" w:cs="Noto Sans KR" w:eastAsia="Noto Sans KR" w:hAnsi="Noto Sans KR"/>
                <w:color w:val="333333"/>
                <w:sz w:val="20"/>
                <w:szCs w:val="20"/>
              </w:rPr>
              <w:t xml:space="preserve">본 문서는 v0.9(핵심 논지·아키텍처 중심)이다. GB01~GB07 진행 과정에서 확인되는 SAP PaPM 실제 구현 경험을 반영해 v1.0으로 보완한다.</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2026-07-13T14:15:19.117Z</dcterms:created>
  <dcterms:modified xsi:type="dcterms:W3CDTF">2026-07-13T14:15:19.130Z</dcterms:modified>
</cp:coreProperties>
</file>

<file path=docProps/custom.xml><?xml version="1.0" encoding="utf-8"?>
<Properties xmlns="http://schemas.openxmlformats.org/officeDocument/2006/custom-properties" xmlns:vt="http://schemas.openxmlformats.org/officeDocument/2006/docPropsVTypes"/>
</file>