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Crowdfunding Analysis</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available data, we can infer that a majority of launched campaigns achieve their funding goals, regardless of the project category. Notably, there is an elevated success rate for campaigns initiated during the early summer months, specifically in June and July. Interestingly, the data suggests that the success of campaigns is not significantly influenced by the fundraising goal until it surpasses $50,000.</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it's important to acknowledge certain limitations in our analysis. The dataset comprises only 1,000 crowdfunding campaigns, and the methodology for sample selection remains undisclosed. Additionally, the dataset exhibits a notable bias towards theatre projects, raising concerns about its representativeness for all campaigns across these platforms. Another constraint is the dataset's cutoff in January 2020, rendering us unaware of more recent developments that could shed light on how trends may have evolved, particularly in response to the ongoing pandemic.</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Exploring further insights, it would be valuable to examine the impact of features such as project spotlighting or being labeled as a Staff Pick on campaign outcomes. These aspects could be effectively visualized using a stacked bar PivotChart for a more comprehensive understanding of their influence, if any.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