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grid-constrained</w:t>
      </w:r>
      <w:r>
        <w:t xml:space="preserve"> </w:t>
      </w:r>
      <w:r>
        <w:t xml:space="preserve">load</w:t>
      </w:r>
      <w:r>
        <w:t xml:space="preserve"> </w:t>
      </w:r>
      <w:r>
        <w:t xml:space="preserve">optimiser</w:t>
      </w:r>
    </w:p>
    <w:p>
      <w:pPr>
        <w:pStyle w:val="Subtitle"/>
      </w:pPr>
      <w:r>
        <w:t xml:space="preserve">What</w:t>
      </w:r>
      <w:r>
        <w:t xml:space="preserve"> </w:t>
      </w:r>
      <w:r>
        <w:t xml:space="preserve">the</w:t>
      </w:r>
      <w:r>
        <w:t xml:space="preserve"> </w:t>
      </w:r>
      <w:r>
        <w:t xml:space="preserve">model</w:t>
      </w:r>
      <w:r>
        <w:t xml:space="preserve"> </w:t>
      </w:r>
      <w:r>
        <w:t xml:space="preserve">is,</w:t>
      </w:r>
      <w:r>
        <w:t xml:space="preserve"> </w:t>
      </w:r>
      <w:r>
        <w:t xml:space="preserve">what</w:t>
      </w:r>
      <w:r>
        <w:t xml:space="preserve"> </w:t>
      </w:r>
      <w:r>
        <w:t xml:space="preserve">it</w:t>
      </w:r>
      <w:r>
        <w:t xml:space="preserve"> </w:t>
      </w:r>
      <w:r>
        <w:t xml:space="preserve">includes,</w:t>
      </w:r>
      <w:r>
        <w:t xml:space="preserve"> </w:t>
      </w:r>
      <w:r>
        <w:t xml:space="preserve">who</w:t>
      </w:r>
      <w:r>
        <w:t xml:space="preserve"> </w:t>
      </w:r>
      <w:r>
        <w:t xml:space="preserve">it</w:t>
      </w:r>
      <w:r>
        <w:t xml:space="preserve"> </w:t>
      </w:r>
      <w:r>
        <w:t xml:space="preserve">is</w:t>
      </w:r>
      <w:r>
        <w:t xml:space="preserve"> </w:t>
      </w:r>
      <w:r>
        <w:t xml:space="preserve">for,</w:t>
      </w:r>
      <w:r>
        <w:t xml:space="preserve"> </w:t>
      </w:r>
      <w:r>
        <w:t xml:space="preserve">how</w:t>
      </w:r>
      <w:r>
        <w:t xml:space="preserve"> </w:t>
      </w:r>
      <w:r>
        <w:t xml:space="preserve">the</w:t>
      </w:r>
      <w:r>
        <w:t xml:space="preserve"> </w:t>
      </w:r>
      <w:r>
        <w:t xml:space="preserve">linear</w:t>
      </w:r>
      <w:r>
        <w:t xml:space="preserve"> </w:t>
      </w:r>
      <w:r>
        <w:t xml:space="preserve">programme</w:t>
      </w:r>
      <w:r>
        <w:t xml:space="preserve"> </w:t>
      </w:r>
      <w:r>
        <w:t xml:space="preserve">works,</w:t>
      </w:r>
      <w:r>
        <w:t xml:space="preserve"> </w:t>
      </w:r>
      <w:r>
        <w:t xml:space="preserve">and</w:t>
      </w:r>
      <w:r>
        <w:t xml:space="preserve"> </w:t>
      </w:r>
      <w:r>
        <w:t xml:space="preserve">where</w:t>
      </w:r>
      <w:r>
        <w:t xml:space="preserve"> </w:t>
      </w:r>
      <w:r>
        <w:t xml:space="preserve">it</w:t>
      </w:r>
      <w:r>
        <w:t xml:space="preserve"> </w:t>
      </w:r>
      <w:r>
        <w:t xml:space="preserve">goes</w:t>
      </w:r>
      <w:r>
        <w:t xml:space="preserve"> </w:t>
      </w:r>
      <w:r>
        <w:t xml:space="preserve">next</w:t>
      </w:r>
      <w:r>
        <w:t xml:space="preserve"> </w:t>
      </w:r>
      <w:r>
        <w:t xml:space="preserve">—</w:t>
      </w:r>
      <w:r>
        <w:t xml:space="preserve"> </w:t>
      </w:r>
      <w:r>
        <w:t xml:space="preserve">September</w:t>
      </w:r>
      <w:r>
        <w:t xml:space="preserve"> </w:t>
      </w:r>
      <w:r>
        <w:t xml:space="preserve">2026</w:t>
      </w:r>
    </w:p>
    <w:bookmarkStart w:id="24" w:name="what-the-model-is"/>
    <w:p>
      <w:pPr>
        <w:pStyle w:val="Heading1"/>
      </w:pPr>
      <w:r>
        <w:t xml:space="preserve">1. What the model is</w:t>
      </w:r>
    </w:p>
    <w:p>
      <w:pPr>
        <w:pStyle w:val="FirstParagraph"/>
      </w:pPr>
      <w:r>
        <w:t xml:space="preserve">A large electrical load has to be continuously powered. For large numbers a lack of available grid connection and a multi-year queue is a bottleneck for development in the UK.</w:t>
      </w:r>
    </w:p>
    <w:p>
      <w:pPr>
        <w:pStyle w:val="BodyText"/>
      </w:pPr>
      <w:r>
        <w:t xml:space="preserve">The model takes a load of a stated size at a stated GB coordinate, a set of power assets the user is prepared to consider, and a year of half-hourly weather, grid carbon and grid price data for that site. It returns the cheapest, or the lowest-carbon, combination of installed capacities that keeps the facility running — together with the exact half-hourly dispatch that achieves it, and the full trade-off curve between the two objectives.</w:t>
      </w:r>
    </w:p>
    <w:p>
      <w:pPr>
        <w:pStyle w:val="BodyText"/>
      </w:pPr>
      <w:r>
        <w:t xml:space="preserve">It is built as a</w:t>
      </w:r>
      <w:r>
        <w:t xml:space="preserve"> </w:t>
      </w:r>
      <w:r>
        <w:rPr>
          <w:bCs/>
          <w:b/>
        </w:rPr>
        <w:t xml:space="preserve">linear programme</w:t>
      </w:r>
      <w:r>
        <w:t xml:space="preserve">: an optimisation problem in which every cost and every physical relationship is proportional to the quantities being chosen. That property matters for a practical reason — it is what lets the model size the assets and schedule them</w:t>
      </w:r>
      <w:r>
        <w:t xml:space="preserve"> </w:t>
      </w:r>
      <w:r>
        <w:rPr>
          <w:iCs/>
          <w:i/>
        </w:rPr>
        <w:t xml:space="preserve">at the same time</w:t>
      </w:r>
      <w:r>
        <w:t xml:space="preserve">, over a full year, and return an answer that is provably the best one rather than the best one a search happened to find.</w:t>
      </w:r>
    </w:p>
    <w:p>
      <w:pPr>
        <w:pStyle w:val="BodyText"/>
      </w:pPr>
      <w:r>
        <w:t xml:space="preserve">Underneath it sit two layers that supply the numbers:</w:t>
      </w:r>
    </w:p>
    <w:p>
      <w:pPr>
        <w:numPr>
          <w:ilvl w:val="0"/>
          <w:numId w:val="1001"/>
        </w:numPr>
        <w:pStyle w:val="Compact"/>
      </w:pPr>
      <w:r>
        <w:t xml:space="preserve">A</w:t>
      </w:r>
      <w:r>
        <w:t xml:space="preserve"> </w:t>
      </w:r>
      <w:r>
        <w:rPr>
          <w:bCs/>
          <w:b/>
        </w:rPr>
        <w:t xml:space="preserve">life-cycle inventory</w:t>
      </w:r>
      <w:r>
        <w:t xml:space="preserve"> </w:t>
      </w:r>
      <w:r>
        <w:t xml:space="preserve">built in Brightway on ecoinvent 3.9.1, which supplies every carbon coefficient.</w:t>
      </w:r>
      <w:r>
        <w:t xml:space="preserve"> </w:t>
      </w:r>
      <w:r>
        <w:t xml:space="preserve">“</w:t>
      </w:r>
      <w:r>
        <w:t xml:space="preserve">Life-cycle</w:t>
      </w:r>
      <w:r>
        <w:t xml:space="preserve">”</w:t>
      </w:r>
      <w:r>
        <w:t xml:space="preserve"> </w:t>
      </w:r>
      <w:r>
        <w:t xml:space="preserve">here means the carbon counted is not only what comes out of the chimney but what it took to make the equipment — the steel in a turbine, the platinum in an electrolyser, the cells in a battery.</w:t>
      </w:r>
    </w:p>
    <w:p>
      <w:pPr>
        <w:numPr>
          <w:ilvl w:val="0"/>
          <w:numId w:val="1001"/>
        </w:numPr>
        <w:pStyle w:val="Compact"/>
      </w:pPr>
      <w:r>
        <w:t xml:space="preserve">A</w:t>
      </w:r>
      <w:r>
        <w:t xml:space="preserve"> </w:t>
      </w:r>
      <w:r>
        <w:rPr>
          <w:bCs/>
          <w:b/>
        </w:rPr>
        <w:t xml:space="preserve">cost layer</w:t>
      </w:r>
      <w:r>
        <w:t xml:space="preserve"> </w:t>
      </w:r>
      <w:r>
        <w:t xml:space="preserve">drawn from DESNZ/Arup 2024, NESO’s Future Energy Scenarios 2025, and NESO/Elexon tariff data, including the UK’s own network charges (BSUoS, DUoS bands, TNUoS zones).</w:t>
      </w:r>
    </w:p>
    <w:p>
      <w:pPr>
        <w:pStyle w:val="FirstParagraph"/>
      </w:pPr>
      <w:r>
        <w:t xml:space="preserve">Every coefficient the optimiser uses is produced by a standalone, self-checking module in</w:t>
      </w:r>
      <w:r>
        <w:t xml:space="preserve"> </w:t>
      </w:r>
      <w:r>
        <w:rPr>
          <w:rStyle w:val="VerbatimChar"/>
        </w:rPr>
        <w:t xml:space="preserve">optimisation/</w:t>
      </w:r>
      <w:r>
        <w:t xml:space="preserve">, with its provenance graded in</w:t>
      </w:r>
      <w:r>
        <w:t xml:space="preserve"> </w:t>
      </w:r>
      <w:r>
        <w:rPr>
          <w:rStyle w:val="VerbatimChar"/>
        </w:rPr>
        <w:t xml:space="preserve">SOURCES.md</w:t>
      </w:r>
      <w:r>
        <w:t xml:space="preserve">. The Streamlit page is only a view over them.</w:t>
      </w:r>
    </w:p>
    <w:bookmarkStart w:id="23" w:name="X61e2971bf42e3a9f4d78680217d30329c40b6ba"/>
    <w:p>
      <w:pPr>
        <w:pStyle w:val="Heading2"/>
      </w:pPr>
      <w:r>
        <w:t xml:space="preserve">1.1 Why it is no longer only about data centres</w:t>
      </w:r>
    </w:p>
    <w:p>
      <w:pPr>
        <w:pStyle w:val="FirstParagraph"/>
      </w:pPr>
      <w:r>
        <w:t xml:space="preserve">The model was built for data centres, and the data centre remains the reference case. But nothing in the mathematics is specific to servers. What the model actually solves is a more general problem:</w:t>
      </w:r>
    </w:p>
    <w:p>
      <w:pPr>
        <w:pStyle w:val="BlockText"/>
      </w:pPr>
      <w:r>
        <w:rPr>
          <w:iCs/>
          <w:i/>
        </w:rPr>
        <w:t xml:space="preserve">A large, steady, network-connected load wants power. The connection it can get is smaller, later, or more expensive than the one it needs. What should it build on site, how should it run it, and what does that choice cost in money and in carbon?</w:t>
      </w:r>
    </w:p>
    <w:p>
      <w:pPr>
        <w:pStyle w:val="FirstParagraph"/>
      </w:pPr>
      <w:r>
        <w:t xml:space="preserve">That description fits an electric arc furnace, a semiconductor fab, a port with shore-power berths, a truck depot, a green hydrogen plant and a battery gigafactory as readily as it fits a data centre. The load shape differs; the decision does not. The companion commercial brief sets out which of these segments are worth pursuing and why.</w:t>
      </w:r>
    </w:p>
    <w:p>
      <w:pPr>
        <w:pStyle w:val="CaptionedFigure"/>
      </w:pPr>
      <w:r>
        <w:drawing>
          <wp:inline>
            <wp:extent cx="5334000" cy="5020235"/>
            <wp:effectExtent b="0" l="0" r="0" t="0"/>
            <wp:docPr descr="The reference system. The optimiser chooses how much of each box to build — including whether to build it at all — and how to run it in every half-hour of the year. A data centre is shown as the load; any large network-connected load substitutes directly." title="" id="21" name="Picture"/>
            <a:graphic>
              <a:graphicData uri="http://schemas.openxmlformats.org/drawingml/2006/picture">
                <pic:pic>
                  <pic:nvPicPr>
                    <pic:cNvPr descr="system_map.png" id="22" name="Picture"/>
                    <pic:cNvPicPr>
                      <a:picLocks noChangeArrowheads="1" noChangeAspect="1"/>
                    </pic:cNvPicPr>
                  </pic:nvPicPr>
                  <pic:blipFill>
                    <a:blip r:embed="rId20"/>
                    <a:stretch>
                      <a:fillRect/>
                    </a:stretch>
                  </pic:blipFill>
                  <pic:spPr bwMode="auto">
                    <a:xfrm>
                      <a:off x="0" y="0"/>
                      <a:ext cx="5334000" cy="5020235"/>
                    </a:xfrm>
                    <a:prstGeom prst="rect">
                      <a:avLst/>
                    </a:prstGeom>
                    <a:noFill/>
                    <a:ln w="9525">
                      <a:noFill/>
                      <a:headEnd/>
                      <a:tailEnd/>
                    </a:ln>
                  </pic:spPr>
                </pic:pic>
              </a:graphicData>
            </a:graphic>
          </wp:inline>
        </w:drawing>
      </w:r>
    </w:p>
    <w:p>
      <w:pPr>
        <w:pStyle w:val="ImageCaption"/>
      </w:pPr>
      <w:r>
        <w:t xml:space="preserve">The reference system. The optimiser chooses how much of each box to build — including whether to build it at all — and how to run it in every half-hour of the year. A data centre is shown as the load; any large network-connected load substitutes directly.</w:t>
      </w:r>
    </w:p>
    <w:bookmarkEnd w:id="23"/>
    <w:bookmarkEnd w:id="24"/>
    <w:bookmarkStart w:id="25" w:name="scope-what-is-in-what-is-out-and-why"/>
    <w:p>
      <w:pPr>
        <w:pStyle w:val="Heading1"/>
      </w:pPr>
      <w:r>
        <w:t xml:space="preserve">2. Scope — what is in, what is out, and why</w:t>
      </w:r>
    </w:p>
    <w:p>
      <w:pPr>
        <w:pStyle w:val="FirstParagraph"/>
      </w:pPr>
      <w:r>
        <w:t xml:space="preserve">The nine things the optimiser may build are the</w:t>
      </w:r>
      <w:r>
        <w:t xml:space="preserve"> </w:t>
      </w:r>
      <w:r>
        <w:rPr>
          <w:bCs/>
          <w:b/>
        </w:rPr>
        <w:t xml:space="preserve">grid connection</w:t>
      </w:r>
      <w:r>
        <w:t xml:space="preserve">,</w:t>
      </w:r>
      <w:r>
        <w:t xml:space="preserve"> </w:t>
      </w:r>
      <w:r>
        <w:rPr>
          <w:bCs/>
          <w:b/>
        </w:rPr>
        <w:t xml:space="preserve">onshore wind</w:t>
      </w:r>
      <w:r>
        <w:t xml:space="preserve">,</w:t>
      </w:r>
      <w:r>
        <w:t xml:space="preserve"> </w:t>
      </w:r>
      <w:r>
        <w:rPr>
          <w:bCs/>
          <w:b/>
        </w:rPr>
        <w:t xml:space="preserve">offshore wind</w:t>
      </w:r>
      <w:r>
        <w:t xml:space="preserve">,</w:t>
      </w:r>
      <w:r>
        <w:t xml:space="preserve"> </w:t>
      </w:r>
      <w:r>
        <w:rPr>
          <w:bCs/>
          <w:b/>
        </w:rPr>
        <w:t xml:space="preserve">solar PV</w:t>
      </w:r>
      <w:r>
        <w:t xml:space="preserve">, a</w:t>
      </w:r>
      <w:r>
        <w:t xml:space="preserve"> </w:t>
      </w:r>
      <w:r>
        <w:rPr>
          <w:bCs/>
          <w:b/>
        </w:rPr>
        <w:t xml:space="preserve">lithium-ion (LFP) battery</w:t>
      </w:r>
      <w:r>
        <w:t xml:space="preserve">, an</w:t>
      </w:r>
      <w:r>
        <w:t xml:space="preserve"> </w:t>
      </w:r>
      <w:r>
        <w:rPr>
          <w:bCs/>
          <w:b/>
        </w:rPr>
        <w:t xml:space="preserve">electrolyser</w:t>
      </w:r>
      <w:r>
        <w:t xml:space="preserve"> </w:t>
      </w:r>
      <w:r>
        <w:t xml:space="preserve">(PEM, alkaline or SOEC), a</w:t>
      </w:r>
      <w:r>
        <w:t xml:space="preserve"> </w:t>
      </w:r>
      <w:r>
        <w:rPr>
          <w:bCs/>
          <w:b/>
        </w:rPr>
        <w:t xml:space="preserve">hydrogen tank</w:t>
      </w:r>
      <w:r>
        <w:t xml:space="preserve">, a</w:t>
      </w:r>
      <w:r>
        <w:t xml:space="preserve"> </w:t>
      </w:r>
      <w:r>
        <w:rPr>
          <w:bCs/>
          <w:b/>
        </w:rPr>
        <w:t xml:space="preserve">PEM fuel cell</w:t>
      </w:r>
      <w:r>
        <w:t xml:space="preserve">, and</w:t>
      </w:r>
      <w:r>
        <w:t xml:space="preserve"> </w:t>
      </w:r>
      <w:r>
        <w:rPr>
          <w:bCs/>
          <w:b/>
        </w:rPr>
        <w:t xml:space="preserve">bought hydrogen by colour</w:t>
      </w:r>
      <w:r>
        <w:t xml:space="preserve"> </w:t>
      </w:r>
      <w:r>
        <w:t xml:space="preserve">(grey, blue, turquoise, green — up to two supply contracts at once).</w:t>
      </w:r>
    </w:p>
    <w:p>
      <w:pPr>
        <w:pStyle w:val="BodyText"/>
      </w:pPr>
      <w:r>
        <w:t xml:space="preserve">Every asset is an upper bound, never a requirement. The solver sets an unlocked asset to zero when it is not worth building, and that is itself a result: it tells you the conditions under which an option fails, not merely that it did.</w:t>
      </w:r>
    </w:p>
    <w:p>
      <w:pPr>
        <w:pStyle w:val="BodyText"/>
      </w:pPr>
      <w:r>
        <w:t xml:space="preserve">The accounting boundary is</w:t>
      </w:r>
      <w:r>
        <w:t xml:space="preserve"> </w:t>
      </w:r>
      <w:r>
        <w:rPr>
          <w:bCs/>
          <w:b/>
        </w:rPr>
        <w:t xml:space="preserve">cradle-to-gate</w:t>
      </w:r>
      <w:r>
        <w:t xml:space="preserve">, attributional, IPCC 2021 GWP100, with grid electricity scored at the regional average intensity of the Carbon Intensity API mix against ecoinvent. Deliberate exclusions, each recorded in</w:t>
      </w:r>
      <w:r>
        <w:t xml:space="preserve"> </w:t>
      </w:r>
      <w:r>
        <w:rPr>
          <w:rStyle w:val="VerbatimChar"/>
        </w:rPr>
        <w:t xml:space="preserve">ASSUMPTIONS.md</w:t>
      </w:r>
      <w:r>
        <w:t xml:space="preserve"> </w:t>
      </w:r>
      <w:r>
        <w:t xml:space="preserve">with what it costs you:</w:t>
      </w:r>
    </w:p>
    <w:p>
      <w:pPr>
        <w:numPr>
          <w:ilvl w:val="0"/>
          <w:numId w:val="1002"/>
        </w:numPr>
        <w:pStyle w:val="Compact"/>
      </w:pPr>
      <w:r>
        <w:rPr>
          <w:bCs/>
          <w:b/>
        </w:rPr>
        <w:t xml:space="preserve">End-of-life on every asset.</w:t>
      </w:r>
      <w:r>
        <w:t xml:space="preserve"> </w:t>
      </w:r>
      <w:r>
        <w:t xml:space="preserve">No decommissioning burden and no recycling credit, so all options are compared on the same cradle-to-gate footing.</w:t>
      </w:r>
    </w:p>
    <w:p>
      <w:pPr>
        <w:numPr>
          <w:ilvl w:val="0"/>
          <w:numId w:val="1002"/>
        </w:numPr>
        <w:pStyle w:val="Compact"/>
      </w:pPr>
      <w:r>
        <w:rPr>
          <w:bCs/>
          <w:b/>
        </w:rPr>
        <w:t xml:space="preserve">Hydrogen haulage.</w:t>
      </w:r>
      <w:r>
        <w:t xml:space="preserve"> </w:t>
      </w:r>
      <w:r>
        <w:t xml:space="preserve">Hydrogen made on site is co-located; hydrogen bought in is compressed to trailer pressure at the seller’s gate but not driven anywhere, because the distance is unknowable without a named seller.</w:t>
      </w:r>
    </w:p>
    <w:p>
      <w:pPr>
        <w:numPr>
          <w:ilvl w:val="0"/>
          <w:numId w:val="1002"/>
        </w:numPr>
        <w:pStyle w:val="Compact"/>
      </w:pPr>
      <w:r>
        <w:rPr>
          <w:bCs/>
          <w:b/>
        </w:rPr>
        <w:t xml:space="preserve">The facility’s diesel standby generator.</w:t>
      </w:r>
      <w:r>
        <w:t xml:space="preserve"> </w:t>
      </w:r>
      <w:r>
        <w:t xml:space="preserve">Backup is a decision variable here — fuel cell, battery, larger connection, or an allowance for unserved load — so charging the genset as well would bill every architecture twice for the same resilience.</w:t>
      </w:r>
    </w:p>
    <w:p>
      <w:pPr>
        <w:numPr>
          <w:ilvl w:val="0"/>
          <w:numId w:val="1002"/>
        </w:numPr>
        <w:pStyle w:val="Compact"/>
      </w:pPr>
      <w:r>
        <w:rPr>
          <w:bCs/>
          <w:b/>
        </w:rPr>
        <w:t xml:space="preserve">Load flexibility.</w:t>
      </w:r>
      <w:r>
        <w:t xml:space="preserve"> </w:t>
      </w:r>
      <w:r>
        <w:t xml:space="preserve">The load draws flat at its rated demand, so storage is sized against supply variability alone. This is conservative for renewables-plus-storage, and it is the assumption most worth relaxing for non-data-centre loads, many of which are genuinely interruptible.</w:t>
      </w:r>
    </w:p>
    <w:p>
      <w:pPr>
        <w:numPr>
          <w:ilvl w:val="0"/>
          <w:numId w:val="1002"/>
        </w:numPr>
        <w:pStyle w:val="Compact"/>
      </w:pPr>
      <w:r>
        <w:rPr>
          <w:bCs/>
          <w:b/>
        </w:rPr>
        <w:t xml:space="preserve">Unit commitment and an internal network.</w:t>
      </w:r>
      <w:r>
        <w:t xml:space="preserve"> </w:t>
      </w:r>
      <w:r>
        <w:t xml:space="preserve">The site is a single copper-plate node and minimum loads are relaxed, which is what keeps the problem linear (§5.6).</w:t>
      </w:r>
    </w:p>
    <w:bookmarkEnd w:id="25"/>
    <w:bookmarkStart w:id="26" w:name="who-uses-it-and-what-they-get"/>
    <w:p>
      <w:pPr>
        <w:pStyle w:val="Heading1"/>
      </w:pPr>
      <w:r>
        <w:t xml:space="preserve">3. Who uses it, and what they get</w:t>
      </w:r>
    </w:p>
    <w:p>
      <w:pPr>
        <w:pStyle w:val="FirstParagraph"/>
      </w:pPr>
      <w:r>
        <w:t xml:space="preserve">The user is a developer, investor, industrial operator or policy analyst facing the question</w:t>
      </w:r>
      <w:r>
        <w:t xml:space="preserve"> </w:t>
      </w:r>
      <w:r>
        <w:rPr>
          <w:iCs/>
          <w:i/>
        </w:rPr>
        <w:t xml:space="preserve">“</w:t>
      </w:r>
      <w:r>
        <w:rPr>
          <w:iCs/>
          <w:i/>
        </w:rPr>
        <w:t xml:space="preserve">should we go on-site renewables, hydrogen, battery, or simply a bigger grid connection — and at what carbon price does the answer change?</w:t>
      </w:r>
      <w:r>
        <w:rPr>
          <w:iCs/>
          <w:i/>
        </w:rPr>
        <w:t xml:space="preserve">”</w:t>
      </w:r>
    </w:p>
    <w:p>
      <w:pPr>
        <w:pStyle w:val="BodyText"/>
      </w:pPr>
      <w:r>
        <w:t xml:space="preserve">What they get is a justified limit:</w:t>
      </w:r>
    </w:p>
    <w:p>
      <w:pPr>
        <w:numPr>
          <w:ilvl w:val="0"/>
          <w:numId w:val="1003"/>
        </w:numPr>
        <w:pStyle w:val="Compact"/>
      </w:pPr>
      <w:r>
        <w:t xml:space="preserve">the exact trade-off curve between annualised cost and annual CO₂e, and the knee of that curve;</w:t>
      </w:r>
    </w:p>
    <w:p>
      <w:pPr>
        <w:numPr>
          <w:ilvl w:val="0"/>
          <w:numId w:val="1003"/>
        </w:numPr>
        <w:pStyle w:val="Compact"/>
      </w:pPr>
      <w:r>
        <w:t xml:space="preserve">the cost of meeting a stated carbon target, read directly off the curve;</w:t>
      </w:r>
    </w:p>
    <w:p>
      <w:pPr>
        <w:numPr>
          <w:ilvl w:val="0"/>
          <w:numId w:val="1003"/>
        </w:numPr>
        <w:pStyle w:val="Compact"/>
      </w:pPr>
      <w:r>
        <w:t xml:space="preserve">for hydrogen — which no grid-connected case currently builds — the tipping-point price at which it would enter;</w:t>
      </w:r>
    </w:p>
    <w:p>
      <w:pPr>
        <w:numPr>
          <w:ilvl w:val="0"/>
          <w:numId w:val="1003"/>
        </w:numPr>
        <w:pStyle w:val="Compact"/>
      </w:pPr>
      <w:r>
        <w:t xml:space="preserve">the dispatch behind every point, so the answer can be interrogated rather than believed.</w:t>
      </w:r>
    </w:p>
    <w:p>
      <w:pPr>
        <w:pStyle w:val="FirstParagraph"/>
      </w:pPr>
      <w:r>
        <w:t xml:space="preserve">Because every result names its assumptions, its foresight bound (§5.6) and its data gaps, it is usable in a board paper, an investment committee submission or a planning application, not only as an exploration tool.</w:t>
      </w:r>
    </w:p>
    <w:bookmarkEnd w:id="26"/>
    <w:bookmarkStart w:id="27" w:name="inputs-and-outputs"/>
    <w:p>
      <w:pPr>
        <w:pStyle w:val="Heading1"/>
      </w:pPr>
      <w:r>
        <w:t xml:space="preserve">4. Inputs and outputs</w:t>
      </w:r>
    </w:p>
    <w:tbl>
      <w:tblPr>
        <w:tblStyle w:val="Table"/>
        <w:tblW w:type="pct" w:w="5000"/>
        <w:tblLayout w:type="autofit"/>
        <w:tblLook w:firstRow="1" w:lastRow="0" w:firstColumn="0" w:lastColumn="0" w:noHBand="0" w:noVBand="0" w:val="0020"/>
        <w:jc w:val="start"/>
        <w:tblBorders>
          <w:top w:val="single" w:sz="8" w:space="0" w:color="0B3D5C"/>
          <w:left w:val="none" w:sz="0" w:space="0" w:color="auto"/>
          <w:bottom w:val="single" w:sz="8" w:space="0" w:color="D6DBDF"/>
          <w:right w:val="none" w:sz="0" w:space="0" w:color="auto"/>
          <w:insideH w:val="single" w:sz="4" w:space="0" w:color="E3E7EA"/>
          <w:insideV w:val="none" w:sz="0" w:space="0" w:color="auto"/>
        </w:tblBorders>
      </w:tblPr>
      <w:tblGrid>
        <w:gridCol w:w="3960"/>
        <w:gridCol w:w="3960"/>
      </w:tblGrid>
      <w:tr>
        <w:trPr>
          <w:tblHeader w:val="true"/>
          <w:tblHeader w:val="true"/>
        </w:trPr>
        <w:tc>
          <w:tcPr>
            <w:shd w:val="clear" w:fill="EDF2F5"/>
          </w:tcPr>
          <w:p>
            <w:pPr>
              <w:pStyle w:val="Compact"/>
              <w:spacing w:before="80" w:after="80"/>
              <w:jc w:val="left"/>
            </w:pPr>
            <w:r>
              <w:rPr>
                <w:b/>
                <w:color w:val="0B3D5C"/>
                <w:sz w:val="19"/>
              </w:rPr>
              <w:t xml:space="preserve">Inputs</w:t>
            </w:r>
          </w:p>
        </w:tc>
        <w:tc>
          <w:tcPr>
            <w:shd w:val="clear" w:fill="EDF2F5"/>
          </w:tcPr>
          <w:p>
            <w:pPr>
              <w:pStyle w:val="Compact"/>
              <w:spacing w:before="80" w:after="80"/>
              <w:jc w:val="left"/>
            </w:pPr>
            <w:r>
              <w:rPr>
                <w:b/>
                <w:color w:val="0B3D5C"/>
                <w:sz w:val="19"/>
              </w:rPr>
              <w:t xml:space="preserve">Outputs</w:t>
            </w:r>
          </w:p>
        </w:tc>
      </w:tr>
      <w:tr>
        <w:tc>
          <w:tcPr/>
          <w:p>
            <w:pPr>
              <w:pStyle w:val="Compact"/>
              <w:spacing w:before="40" w:after="40"/>
              <w:jc w:val="left"/>
            </w:pPr>
            <w:r>
              <w:rPr>
                <w:bCs/>
                <w:b/>
                <w:sz w:val="19"/>
              </w:rPr>
              <w:t xml:space="preserve">Load.</w:t>
            </w:r>
            <w:r>
              <w:rPr>
                <w:sz w:val="19"/>
              </w:rPr>
              <w:t xml:space="preserve"> </w:t>
            </w:r>
            <w:r>
              <w:rPr>
                <w:sz w:val="19"/>
              </w:rPr>
              <w:t xml:space="preserve">Rated draw (MW), power usage effectiveness or equivalent overhead factor, horizon (years), unserved-energy allowance (%)</w:t>
            </w:r>
          </w:p>
        </w:tc>
        <w:tc>
          <w:tcPr/>
          <w:p>
            <w:pPr>
              <w:pStyle w:val="Compact"/>
              <w:spacing w:before="40" w:after="40"/>
              <w:jc w:val="left"/>
            </w:pPr>
            <w:r>
              <w:rPr>
                <w:bCs/>
                <w:b/>
                <w:sz w:val="19"/>
              </w:rPr>
              <w:t xml:space="preserve">Capacities.</w:t>
            </w:r>
            <w:r>
              <w:rPr>
                <w:sz w:val="19"/>
              </w:rPr>
              <w:t xml:space="preserve"> </w:t>
            </w:r>
            <w:r>
              <w:rPr>
                <w:sz w:val="19"/>
              </w:rPr>
              <w:t xml:space="preserve">MW of each asset built, MWh of battery, kg of tank, MW of grid connection — and the annual energy through each</w:t>
            </w:r>
          </w:p>
        </w:tc>
      </w:tr>
      <w:tr>
        <w:tc>
          <w:tcPr/>
          <w:p>
            <w:pPr>
              <w:pStyle w:val="Compact"/>
              <w:spacing w:before="40" w:after="40"/>
              <w:jc w:val="left"/>
            </w:pPr>
            <w:r>
              <w:rPr>
                <w:bCs/>
                <w:b/>
                <w:sz w:val="19"/>
              </w:rPr>
              <w:t xml:space="preserve">Site.</w:t>
            </w:r>
            <w:r>
              <w:rPr>
                <w:sz w:val="19"/>
              </w:rPr>
              <w:t xml:space="preserve"> </w:t>
            </w:r>
            <w:r>
              <w:rPr>
                <w:sz w:val="19"/>
              </w:rPr>
              <w:t xml:space="preserve">Latitude and longitude, or a preset. The Carbon Intensity region, TNUoS zone and weather all follow from the coordinate; optional connection cap</w:t>
            </w:r>
          </w:p>
        </w:tc>
        <w:tc>
          <w:tcPr/>
          <w:p>
            <w:pPr>
              <w:pStyle w:val="Compact"/>
              <w:spacing w:before="40" w:after="40"/>
              <w:jc w:val="left"/>
            </w:pPr>
            <w:r>
              <w:rPr>
                <w:bCs/>
                <w:b/>
                <w:sz w:val="19"/>
              </w:rPr>
              <w:t xml:space="preserve">Totals.</w:t>
            </w:r>
            <w:r>
              <w:rPr>
                <w:sz w:val="19"/>
              </w:rPr>
              <w:t xml:space="preserve"> </w:t>
            </w:r>
            <w:r>
              <w:rPr>
                <w:sz w:val="19"/>
              </w:rPr>
              <w:t xml:space="preserve">£/yr and kg CO₂e/yr, split embodied against operational and by asset, so it is visible whether an option is genuinely cleaner or has merely moved its burden upstream</w:t>
            </w:r>
          </w:p>
        </w:tc>
      </w:tr>
      <w:tr>
        <w:tc>
          <w:tcPr/>
          <w:p>
            <w:pPr>
              <w:pStyle w:val="Compact"/>
              <w:spacing w:before="40" w:after="40"/>
              <w:jc w:val="left"/>
            </w:pPr>
            <w:r>
              <w:rPr>
                <w:bCs/>
                <w:b/>
                <w:sz w:val="19"/>
              </w:rPr>
              <w:t xml:space="preserve">Window.</w:t>
            </w:r>
            <w:r>
              <w:rPr>
                <w:sz w:val="19"/>
              </w:rPr>
              <w:t xml:space="preserve"> </w:t>
            </w:r>
            <w:r>
              <w:rPr>
                <w:sz w:val="19"/>
              </w:rPr>
              <w:t xml:space="preserve">Any date range. Grid series are built on demand; Renewables.ninja profiles fetched and cached</w:t>
            </w:r>
          </w:p>
        </w:tc>
        <w:tc>
          <w:tcPr/>
          <w:p>
            <w:pPr>
              <w:pStyle w:val="Compact"/>
              <w:spacing w:before="40" w:after="40"/>
              <w:jc w:val="left"/>
            </w:pPr>
            <w:r>
              <w:rPr>
                <w:bCs/>
                <w:b/>
                <w:sz w:val="19"/>
              </w:rPr>
              <w:t xml:space="preserve">Trade-off curve.</w:t>
            </w:r>
            <w:r>
              <w:rPr>
                <w:sz w:val="19"/>
              </w:rPr>
              <w:t xml:space="preserve"> </w:t>
            </w:r>
            <w:r>
              <w:rPr>
                <w:sz w:val="19"/>
              </w:rPr>
              <w:t xml:space="preserve">Minimum-cost and minimum-carbon anchors plus an exact sweep between them; knee, carbon-price and maximum-curvature points</w:t>
            </w:r>
          </w:p>
        </w:tc>
      </w:tr>
      <w:tr>
        <w:tc>
          <w:tcPr/>
          <w:p>
            <w:pPr>
              <w:pStyle w:val="Compact"/>
              <w:spacing w:before="40" w:after="40"/>
              <w:jc w:val="left"/>
            </w:pPr>
            <w:r>
              <w:rPr>
                <w:bCs/>
                <w:b/>
                <w:sz w:val="19"/>
              </w:rPr>
              <w:t xml:space="preserve">Kit to consider.</w:t>
            </w:r>
            <w:r>
              <w:rPr>
                <w:sz w:val="19"/>
              </w:rPr>
              <w:t xml:space="preserve"> </w:t>
            </w:r>
            <w:r>
              <w:rPr>
                <w:sz w:val="19"/>
              </w:rPr>
              <w:t xml:space="preserve">Tick-boxes over the nine assets, electrolyser technology, running strategy (baseload / flexible / free), hydrogen colour(s), green-hydrogen grid share</w:t>
            </w:r>
          </w:p>
        </w:tc>
        <w:tc>
          <w:tcPr/>
          <w:p>
            <w:pPr>
              <w:pStyle w:val="Compact"/>
              <w:spacing w:before="40" w:after="40"/>
              <w:jc w:val="left"/>
            </w:pPr>
            <w:r>
              <w:rPr>
                <w:bCs/>
                <w:b/>
                <w:sz w:val="19"/>
              </w:rPr>
              <w:t xml:space="preserve">Dispatch.</w:t>
            </w:r>
            <w:r>
              <w:rPr>
                <w:sz w:val="19"/>
              </w:rPr>
              <w:t xml:space="preserve"> </w:t>
            </w:r>
            <w:r>
              <w:rPr>
                <w:sz w:val="19"/>
              </w:rPr>
              <w:t xml:space="preserve">Half-hourly served demand by source, battery and tank state of charge; a myopic merit-order re-dispatch of the same build brackets what an operator without foresight would achieve</w:t>
            </w:r>
          </w:p>
        </w:tc>
      </w:tr>
      <w:tr>
        <w:tc>
          <w:tcPr/>
          <w:p>
            <w:pPr>
              <w:pStyle w:val="Compact"/>
              <w:spacing w:before="40" w:after="40"/>
              <w:jc w:val="left"/>
            </w:pPr>
            <w:r>
              <w:rPr>
                <w:bCs/>
                <w:b/>
                <w:sz w:val="19"/>
              </w:rPr>
              <w:t xml:space="preserve">Economics.</w:t>
            </w:r>
            <w:r>
              <w:rPr>
                <w:sz w:val="19"/>
              </w:rPr>
              <w:t xml:space="preserve"> </w:t>
            </w:r>
            <w:r>
              <w:rPr>
                <w:sz w:val="19"/>
              </w:rPr>
              <w:t xml:space="preserve">Cost case (low / central / high), carbon price, solar embodied basis</w:t>
            </w:r>
          </w:p>
        </w:tc>
        <w:tc>
          <w:tcPr/>
          <w:p>
            <w:pPr>
              <w:pStyle w:val="Compact"/>
              <w:spacing w:before="40" w:after="40"/>
              <w:jc w:val="left"/>
            </w:pPr>
            <w:r>
              <w:rPr>
                <w:bCs/>
                <w:b/>
                <w:sz w:val="19"/>
              </w:rPr>
              <w:t xml:space="preserve">Diagnostics.</w:t>
            </w:r>
            <w:r>
              <w:rPr>
                <w:sz w:val="19"/>
              </w:rPr>
              <w:t xml:space="preserve"> </w:t>
            </w:r>
            <w:r>
              <w:rPr>
                <w:sz w:val="19"/>
              </w:rPr>
              <w:t xml:space="preserve">Which bound was pressed, degenerate fronts, hydrogen tipping-point price by bisection</w:t>
            </w:r>
          </w:p>
        </w:tc>
      </w:tr>
    </w:tbl>
    <w:bookmarkEnd w:id="27"/>
    <w:bookmarkStart w:id="35" w:name="X87b27925a29c34ee8d2da1e15d287b4d9adb174"/>
    <w:p>
      <w:pPr>
        <w:pStyle w:val="Heading1"/>
      </w:pPr>
      <w:r>
        <w:t xml:space="preserve">5. The underlying structure: a joint sizing-and-dispatch linear programme</w:t>
      </w:r>
    </w:p>
    <w:bookmarkStart w:id="28" w:name="notation"/>
    <w:p>
      <w:pPr>
        <w:pStyle w:val="Heading2"/>
      </w:pPr>
      <w:r>
        <w:t xml:space="preserve">5.1 Notation</w:t>
      </w:r>
    </w:p>
    <w:p>
      <w:pPr>
        <w:pStyle w:val="FirstParagraph"/>
      </w:pPr>
      <w:r>
        <w:t xml:space="preserve">Both objectives are linear in the same variables. The decision variables are the installed capacities of each asset, and a half-hourly flow for each energy stream. Multi-letter names have been avoided deliberately: the symbols are terse so the equations stay readable, and the table below is the key.</w:t>
      </w:r>
    </w:p>
    <w:tbl>
      <w:tblPr>
        <w:tblStyle w:val="Table"/>
        <w:tblW w:type="pct" w:w="5000"/>
        <w:tblLayout w:type="autofit"/>
        <w:tblLook w:firstRow="1" w:lastRow="0" w:firstColumn="0" w:lastColumn="0" w:noHBand="0" w:noVBand="0" w:val="0020"/>
        <w:jc w:val="start"/>
        <w:tblBorders>
          <w:top w:val="single" w:sz="8" w:space="0" w:color="0B3D5C"/>
          <w:left w:val="none" w:sz="0" w:space="0" w:color="auto"/>
          <w:bottom w:val="single" w:sz="8" w:space="0" w:color="D6DBDF"/>
          <w:right w:val="none" w:sz="0" w:space="0" w:color="auto"/>
          <w:insideH w:val="single" w:sz="4" w:space="0" w:color="E3E7EA"/>
          <w:insideV w:val="none" w:sz="0" w:space="0" w:color="auto"/>
        </w:tblBorders>
      </w:tblPr>
      <w:tblGrid>
        <w:gridCol w:w="3960"/>
        <w:gridCol w:w="3960"/>
      </w:tblGrid>
      <w:tr>
        <w:trPr>
          <w:tblHeader w:val="true"/>
          <w:tblHeader w:val="true"/>
        </w:trPr>
        <w:tc>
          <w:tcPr>
            <w:shd w:val="clear" w:fill="EDF2F5"/>
          </w:tcPr>
          <w:p>
            <w:pPr>
              <w:pStyle w:val="Compact"/>
              <w:spacing w:before="80" w:after="80"/>
              <w:jc w:val="left"/>
            </w:pPr>
            <w:r>
              <w:rPr>
                <w:b/>
                <w:color w:val="0B3D5C"/>
                <w:sz w:val="19"/>
              </w:rPr>
              <w:t xml:space="preserve">Symbol</w:t>
            </w:r>
          </w:p>
        </w:tc>
        <w:tc>
          <w:tcPr>
            <w:shd w:val="clear" w:fill="EDF2F5"/>
          </w:tcPr>
          <w:p>
            <w:pPr>
              <w:pStyle w:val="Compact"/>
              <w:spacing w:before="80" w:after="80"/>
              <w:jc w:val="left"/>
            </w:pPr>
            <w:r>
              <w:rPr>
                <w:b/>
                <w:color w:val="0B3D5C"/>
                <w:sz w:val="19"/>
              </w:rPr>
              <w:t xml:space="preserve">Meaning</w:t>
            </w:r>
          </w:p>
        </w:tc>
      </w:tr>
      <w:tr>
        <w:tc>
          <w:tcPr/>
          <w:p>
            <w:pPr>
              <w:pStyle w:val="Compact"/>
              <w:spacing w:before="40" w:after="40"/>
              <w:jc w:val="left"/>
            </w:pPr>
            <m:oMath>
              <m:sSub>
                <m:e>
                  <m:r>
                    <m:t>K</m:t>
                  </m:r>
                </m:e>
                <m:sub>
                  <m:r>
                    <m:t>j</m:t>
                  </m:r>
                </m:sub>
              </m:sSub>
            </m:oMath>
          </w:p>
        </w:tc>
        <w:tc>
          <w:tcPr/>
          <w:p>
            <w:pPr>
              <w:pStyle w:val="Compact"/>
              <w:spacing w:before="40" w:after="40"/>
              <w:jc w:val="left"/>
            </w:pPr>
            <w:r>
              <w:rPr>
                <w:sz w:val="19"/>
              </w:rPr>
              <w:t xml:space="preserve">installed capacity of asset</w:t>
            </w:r>
            <w:r>
              <w:rPr>
                <w:sz w:val="19"/>
              </w:rPr>
              <w:t xml:space="preserve"> </w:t>
            </w:r>
            <m:oMath>
              <m:r>
                <m:t>j</m:t>
              </m:r>
            </m:oMath>
            <w:r>
              <w:rPr>
                <w:sz w:val="19"/>
              </w:rPr>
              <w:t xml:space="preserve">:</w:t>
            </w:r>
            <w:r>
              <w:rPr>
                <w:sz w:val="19"/>
              </w:rPr>
              <w:t xml:space="preserve"> </w:t>
            </w:r>
            <m:oMath>
              <m:sSub>
                <m:e>
                  <m:r>
                    <m:t>K</m:t>
                  </m:r>
                </m:e>
                <m:sub>
                  <m:r>
                    <m:rPr>
                      <m:sty m:val="p"/>
                    </m:rPr>
                    <m:t>w</m:t>
                  </m:r>
                </m:sub>
              </m:sSub>
            </m:oMath>
            <w:r>
              <w:rPr>
                <w:sz w:val="19"/>
              </w:rPr>
              <w:t xml:space="preserve"> </w:t>
            </w:r>
            <w:r>
              <w:rPr>
                <w:sz w:val="19"/>
              </w:rPr>
              <w:t xml:space="preserve">onshore wind,</w:t>
            </w:r>
            <w:r>
              <w:rPr>
                <w:sz w:val="19"/>
              </w:rPr>
              <w:t xml:space="preserve"> </w:t>
            </w:r>
            <m:oMath>
              <m:sSub>
                <m:e>
                  <m:r>
                    <m:t>K</m:t>
                  </m:r>
                </m:e>
                <m:sub>
                  <m:r>
                    <m:rPr>
                      <m:sty m:val="p"/>
                    </m:rPr>
                    <m:t>o</m:t>
                  </m:r>
                </m:sub>
              </m:sSub>
            </m:oMath>
            <w:r>
              <w:rPr>
                <w:sz w:val="19"/>
              </w:rPr>
              <w:t xml:space="preserve"> </w:t>
            </w:r>
            <w:r>
              <w:rPr>
                <w:sz w:val="19"/>
              </w:rPr>
              <w:t xml:space="preserve">offshore wind,</w:t>
            </w:r>
            <w:r>
              <w:rPr>
                <w:sz w:val="19"/>
              </w:rPr>
              <w:t xml:space="preserve"> </w:t>
            </w:r>
            <m:oMath>
              <m:sSub>
                <m:e>
                  <m:r>
                    <m:t>K</m:t>
                  </m:r>
                </m:e>
                <m:sub>
                  <m:r>
                    <m:rPr>
                      <m:sty m:val="p"/>
                    </m:rPr>
                    <m:t>s</m:t>
                  </m:r>
                </m:sub>
              </m:sSub>
            </m:oMath>
            <w:r>
              <w:rPr>
                <w:sz w:val="19"/>
              </w:rPr>
              <w:t xml:space="preserve"> </w:t>
            </w:r>
            <w:r>
              <w:rPr>
                <w:sz w:val="19"/>
              </w:rPr>
              <w:t xml:space="preserve">solar,</w:t>
            </w:r>
            <w:r>
              <w:rPr>
                <w:sz w:val="19"/>
              </w:rPr>
              <w:t xml:space="preserve"> </w:t>
            </w:r>
            <m:oMath>
              <m:sSub>
                <m:e>
                  <m:r>
                    <m:t>K</m:t>
                  </m:r>
                </m:e>
                <m:sub>
                  <m:r>
                    <m:rPr>
                      <m:sty m:val="p"/>
                    </m:rPr>
                    <m:t>e</m:t>
                  </m:r>
                </m:sub>
              </m:sSub>
            </m:oMath>
            <w:r>
              <w:rPr>
                <w:sz w:val="19"/>
              </w:rPr>
              <w:t xml:space="preserve"> </w:t>
            </w:r>
            <w:r>
              <w:rPr>
                <w:sz w:val="19"/>
              </w:rPr>
              <w:t xml:space="preserve">electrolyser,</w:t>
            </w:r>
            <w:r>
              <w:rPr>
                <w:sz w:val="19"/>
              </w:rPr>
              <w:t xml:space="preserve"> </w:t>
            </w:r>
            <m:oMath>
              <m:sSub>
                <m:e>
                  <m:r>
                    <m:t>K</m:t>
                  </m:r>
                </m:e>
                <m:sub>
                  <m:r>
                    <m:rPr>
                      <m:sty m:val="p"/>
                    </m:rPr>
                    <m:t>f</m:t>
                  </m:r>
                </m:sub>
              </m:sSub>
            </m:oMath>
            <w:r>
              <w:rPr>
                <w:sz w:val="19"/>
              </w:rPr>
              <w:t xml:space="preserve"> </w:t>
            </w:r>
            <w:r>
              <w:rPr>
                <w:sz w:val="19"/>
              </w:rPr>
              <w:t xml:space="preserve">fuel cell,</w:t>
            </w:r>
            <w:r>
              <w:rPr>
                <w:sz w:val="19"/>
              </w:rPr>
              <w:t xml:space="preserve"> </w:t>
            </w:r>
            <m:oMath>
              <m:sSub>
                <m:e>
                  <m:r>
                    <m:t>K</m:t>
                  </m:r>
                </m:e>
                <m:sub>
                  <m:r>
                    <m:rPr>
                      <m:sty m:val="p"/>
                    </m:rPr>
                    <m:t>h</m:t>
                  </m:r>
                </m:sub>
              </m:sSub>
            </m:oMath>
            <w:r>
              <w:rPr>
                <w:sz w:val="19"/>
              </w:rPr>
              <w:t xml:space="preserve"> </w:t>
            </w:r>
            <w:r>
              <w:rPr>
                <w:sz w:val="19"/>
              </w:rPr>
              <w:t xml:space="preserve">hydrogen tank,</w:t>
            </w:r>
            <w:r>
              <w:rPr>
                <w:sz w:val="19"/>
              </w:rPr>
              <w:t xml:space="preserve"> </w:t>
            </w:r>
            <m:oMath>
              <m:sSub>
                <m:e>
                  <m:r>
                    <m:t>K</m:t>
                  </m:r>
                </m:e>
                <m:sub>
                  <m:r>
                    <m:rPr>
                      <m:sty m:val="p"/>
                    </m:rPr>
                    <m:t>g</m:t>
                  </m:r>
                </m:sub>
              </m:sSub>
            </m:oMath>
            <w:r>
              <w:rPr>
                <w:sz w:val="19"/>
              </w:rPr>
              <w:t xml:space="preserve"> </w:t>
            </w:r>
            <w:r>
              <w:rPr>
                <w:sz w:val="19"/>
              </w:rPr>
              <w:t xml:space="preserve">grid connection</w:t>
            </w:r>
          </w:p>
        </w:tc>
      </w:tr>
      <w:tr>
        <w:tc>
          <w:tcPr/>
          <w:p>
            <w:pPr>
              <w:pStyle w:val="Compact"/>
              <w:spacing w:before="40" w:after="40"/>
              <w:jc w:val="left"/>
            </w:pPr>
            <m:oMath>
              <m:sSubSup>
                <m:e>
                  <m:r>
                    <m:t>K</m:t>
                  </m:r>
                </m:e>
                <m:sub>
                  <m:r>
                    <m:rPr>
                      <m:sty m:val="p"/>
                    </m:rPr>
                    <m:t>b</m:t>
                  </m:r>
                </m:sub>
                <m:sup>
                  <m:r>
                    <m:t>P</m:t>
                  </m:r>
                </m:sup>
              </m:sSubSup>
              <m:r>
                <m:rPr>
                  <m:sty m:val="p"/>
                </m:rPr>
                <m:t>,</m:t>
              </m:r>
              <m:r>
                <m:t> </m:t>
              </m:r>
              <m:sSubSup>
                <m:e>
                  <m:r>
                    <m:t>K</m:t>
                  </m:r>
                </m:e>
                <m:sub>
                  <m:r>
                    <m:rPr>
                      <m:sty m:val="p"/>
                    </m:rPr>
                    <m:t>b</m:t>
                  </m:r>
                </m:sub>
                <m:sup>
                  <m:r>
                    <m:t>E</m:t>
                  </m:r>
                </m:sup>
              </m:sSubSup>
            </m:oMath>
          </w:p>
        </w:tc>
        <w:tc>
          <w:tcPr/>
          <w:p>
            <w:pPr>
              <w:pStyle w:val="Compact"/>
              <w:spacing w:before="40" w:after="40"/>
              <w:jc w:val="left"/>
            </w:pPr>
            <w:r>
              <w:rPr>
                <w:sz w:val="19"/>
              </w:rPr>
              <w:t xml:space="preserve">battery power rating (MW) and energy capacity (MWh), sized separately</w:t>
            </w:r>
          </w:p>
        </w:tc>
      </w:tr>
      <w:tr>
        <w:tc>
          <w:tcPr/>
          <w:p>
            <w:pPr>
              <w:pStyle w:val="Compact"/>
              <w:spacing w:before="40" w:after="40"/>
              <w:jc w:val="left"/>
            </w:pPr>
            <m:oMath>
              <m:sSubSup>
                <m:e>
                  <m:r>
                    <m:t>p</m:t>
                  </m:r>
                </m:e>
                <m:sub>
                  <m:r>
                    <m:t>t</m:t>
                  </m:r>
                </m:sub>
                <m:sup>
                  <m:r>
                    <m:rPr>
                      <m:sty m:val="p"/>
                    </m:rPr>
                    <m:t>w</m:t>
                  </m:r>
                </m:sup>
              </m:sSubSup>
              <m:r>
                <m:rPr>
                  <m:sty m:val="p"/>
                </m:rPr>
                <m:t>,</m:t>
              </m:r>
              <m:r>
                <m:t> </m:t>
              </m:r>
              <m:sSubSup>
                <m:e>
                  <m:r>
                    <m:t>p</m:t>
                  </m:r>
                </m:e>
                <m:sub>
                  <m:r>
                    <m:t>t</m:t>
                  </m:r>
                </m:sub>
                <m:sup>
                  <m:r>
                    <m:rPr>
                      <m:sty m:val="p"/>
                    </m:rPr>
                    <m:t>o</m:t>
                  </m:r>
                </m:sup>
              </m:sSubSup>
              <m:r>
                <m:rPr>
                  <m:sty m:val="p"/>
                </m:rPr>
                <m:t>,</m:t>
              </m:r>
              <m:r>
                <m:t> </m:t>
              </m:r>
              <m:sSubSup>
                <m:e>
                  <m:r>
                    <m:t>p</m:t>
                  </m:r>
                </m:e>
                <m:sub>
                  <m:r>
                    <m:t>t</m:t>
                  </m:r>
                </m:sub>
                <m:sup>
                  <m:r>
                    <m:rPr>
                      <m:sty m:val="p"/>
                    </m:rPr>
                    <m:t>s</m:t>
                  </m:r>
                </m:sup>
              </m:sSubSup>
            </m:oMath>
          </w:p>
        </w:tc>
        <w:tc>
          <w:tcPr/>
          <w:p>
            <w:pPr>
              <w:pStyle w:val="Compact"/>
              <w:spacing w:before="40" w:after="40"/>
              <w:jc w:val="left"/>
            </w:pPr>
            <w:r>
              <w:rPr>
                <w:sz w:val="19"/>
              </w:rPr>
              <w:t xml:space="preserve">onshore wind, offshore wind and solar output in period</w:t>
            </w:r>
            <w:r>
              <w:rPr>
                <w:sz w:val="19"/>
              </w:rPr>
              <w:t xml:space="preserve"> </w:t>
            </w:r>
            <m:oMath>
              <m:r>
                <m:t>t</m:t>
              </m:r>
            </m:oMath>
            <w:r>
              <w:rPr>
                <w:sz w:val="19"/>
              </w:rPr>
              <w:t xml:space="preserve"> </w:t>
            </w:r>
            <w:r>
              <w:rPr>
                <w:sz w:val="19"/>
              </w:rPr>
              <w:t xml:space="preserve">(MW)</w:t>
            </w:r>
          </w:p>
        </w:tc>
      </w:tr>
      <w:tr>
        <w:tc>
          <w:tcPr/>
          <w:p>
            <w:pPr>
              <w:pStyle w:val="Compact"/>
              <w:spacing w:before="40" w:after="40"/>
              <w:jc w:val="left"/>
            </w:pPr>
            <m:oMath>
              <m:sSubSup>
                <m:e>
                  <m:r>
                    <m:t>f</m:t>
                  </m:r>
                </m:e>
                <m:sub>
                  <m:r>
                    <m:t>t</m:t>
                  </m:r>
                </m:sub>
                <m:sup>
                  <m:r>
                    <m:rPr>
                      <m:sty m:val="p"/>
                    </m:rPr>
                    <m:t>w</m:t>
                  </m:r>
                </m:sup>
              </m:sSubSup>
              <m:r>
                <m:rPr>
                  <m:sty m:val="p"/>
                </m:rPr>
                <m:t>,</m:t>
              </m:r>
              <m:r>
                <m:t> </m:t>
              </m:r>
              <m:sSubSup>
                <m:e>
                  <m:r>
                    <m:t>f</m:t>
                  </m:r>
                </m:e>
                <m:sub>
                  <m:r>
                    <m:t>t</m:t>
                  </m:r>
                </m:sub>
                <m:sup>
                  <m:r>
                    <m:rPr>
                      <m:sty m:val="p"/>
                    </m:rPr>
                    <m:t>o</m:t>
                  </m:r>
                </m:sup>
              </m:sSubSup>
              <m:r>
                <m:rPr>
                  <m:sty m:val="p"/>
                </m:rPr>
                <m:t>,</m:t>
              </m:r>
              <m:r>
                <m:t> </m:t>
              </m:r>
              <m:sSubSup>
                <m:e>
                  <m:r>
                    <m:t>f</m:t>
                  </m:r>
                </m:e>
                <m:sub>
                  <m:r>
                    <m:t>t</m:t>
                  </m:r>
                </m:sub>
                <m:sup>
                  <m:r>
                    <m:rPr>
                      <m:sty m:val="p"/>
                    </m:rPr>
                    <m:t>s</m:t>
                  </m:r>
                </m:sup>
              </m:sSubSup>
            </m:oMath>
          </w:p>
        </w:tc>
        <w:tc>
          <w:tcPr/>
          <w:p>
            <w:pPr>
              <w:pStyle w:val="Compact"/>
              <w:spacing w:before="40" w:after="40"/>
              <w:jc w:val="left"/>
            </w:pPr>
            <w:r>
              <w:rPr>
                <w:sz w:val="19"/>
              </w:rPr>
              <w:t xml:space="preserve">capacity factors for the same three, from the site’s weather</w:t>
            </w:r>
          </w:p>
        </w:tc>
      </w:tr>
      <w:tr>
        <w:tc>
          <w:tcPr/>
          <w:p>
            <w:pPr>
              <w:pStyle w:val="Compact"/>
              <w:spacing w:before="40" w:after="40"/>
              <w:jc w:val="left"/>
            </w:pPr>
            <m:oMath>
              <m:sSubSup>
                <m:e>
                  <m:r>
                    <m:t>q</m:t>
                  </m:r>
                </m:e>
                <m:sub>
                  <m:r>
                    <m:t>t</m:t>
                  </m:r>
                </m:sub>
                <m:sup>
                  <m:r>
                    <m:rPr>
                      <m:sty m:val="p"/>
                    </m:rPr>
                    <m:t>c</m:t>
                  </m:r>
                </m:sup>
              </m:sSubSup>
              <m:r>
                <m:rPr>
                  <m:sty m:val="p"/>
                </m:rPr>
                <m:t>,</m:t>
              </m:r>
              <m:r>
                <m:t> </m:t>
              </m:r>
              <m:sSubSup>
                <m:e>
                  <m:r>
                    <m:t>q</m:t>
                  </m:r>
                </m:e>
                <m:sub>
                  <m:r>
                    <m:t>t</m:t>
                  </m:r>
                </m:sub>
                <m:sup>
                  <m:r>
                    <m:rPr>
                      <m:sty m:val="p"/>
                    </m:rPr>
                    <m:t>d</m:t>
                  </m:r>
                </m:sup>
              </m:sSubSup>
              <m:r>
                <m:rPr>
                  <m:sty m:val="p"/>
                </m:rPr>
                <m:t>,</m:t>
              </m:r>
              <m:r>
                <m:t> </m:t>
              </m:r>
              <m:sSub>
                <m:e>
                  <m:r>
                    <m:t>S</m:t>
                  </m:r>
                </m:e>
                <m:sub>
                  <m:r>
                    <m:t>t</m:t>
                  </m:r>
                </m:sub>
              </m:sSub>
            </m:oMath>
          </w:p>
        </w:tc>
        <w:tc>
          <w:tcPr/>
          <w:p>
            <w:pPr>
              <w:pStyle w:val="Compact"/>
              <w:spacing w:before="40" w:after="40"/>
              <w:jc w:val="left"/>
            </w:pPr>
            <w:r>
              <w:rPr>
                <w:sz w:val="19"/>
              </w:rPr>
              <w:t xml:space="preserve">battery charge, discharge and state of charge</w:t>
            </w:r>
          </w:p>
        </w:tc>
      </w:tr>
      <w:tr>
        <w:tc>
          <w:tcPr/>
          <w:p>
            <w:pPr>
              <w:pStyle w:val="Compact"/>
              <w:spacing w:before="40" w:after="40"/>
              <w:jc w:val="left"/>
            </w:pPr>
            <m:oMath>
              <m:sSubSup>
                <m:e>
                  <m:r>
                    <m:t>p</m:t>
                  </m:r>
                </m:e>
                <m:sub>
                  <m:r>
                    <m:t>t</m:t>
                  </m:r>
                </m:sub>
                <m:sup>
                  <m:r>
                    <m:rPr>
                      <m:sty m:val="p"/>
                    </m:rPr>
                    <m:t>e</m:t>
                  </m:r>
                </m:sup>
              </m:sSubSup>
              <m:r>
                <m:rPr>
                  <m:sty m:val="p"/>
                </m:rPr>
                <m:t>,</m:t>
              </m:r>
              <m:r>
                <m:t> </m:t>
              </m:r>
              <m:sSubSup>
                <m:e>
                  <m:r>
                    <m:t>p</m:t>
                  </m:r>
                </m:e>
                <m:sub>
                  <m:r>
                    <m:t>t</m:t>
                  </m:r>
                </m:sub>
                <m:sup>
                  <m:r>
                    <m:rPr>
                      <m:sty m:val="p"/>
                    </m:rPr>
                    <m:t>f</m:t>
                  </m:r>
                </m:sup>
              </m:sSubSup>
              <m:r>
                <m:rPr>
                  <m:sty m:val="p"/>
                </m:rPr>
                <m:t>,</m:t>
              </m:r>
              <m:r>
                <m:t> </m:t>
              </m:r>
              <m:sSub>
                <m:e>
                  <m:r>
                    <m:t>M</m:t>
                  </m:r>
                </m:e>
                <m:sub>
                  <m:r>
                    <m:t>t</m:t>
                  </m:r>
                </m:sub>
              </m:sSub>
            </m:oMath>
          </w:p>
        </w:tc>
        <w:tc>
          <w:tcPr/>
          <w:p>
            <w:pPr>
              <w:pStyle w:val="Compact"/>
              <w:spacing w:before="40" w:after="40"/>
              <w:jc w:val="left"/>
            </w:pPr>
            <w:r>
              <w:rPr>
                <w:sz w:val="19"/>
              </w:rPr>
              <w:t xml:space="preserve">electrolyser draw, fuel-cell output, hydrogen inventory in the tank (kg)</w:t>
            </w:r>
          </w:p>
        </w:tc>
      </w:tr>
      <w:tr>
        <w:tc>
          <w:tcPr/>
          <w:p>
            <w:pPr>
              <w:pStyle w:val="Compact"/>
              <w:spacing w:before="40" w:after="40"/>
              <w:jc w:val="left"/>
            </w:pPr>
            <m:oMath>
              <m:sSub>
                <m:e>
                  <m:r>
                    <m:t>m</m:t>
                  </m:r>
                </m:e>
                <m:sub>
                  <m:r>
                    <m:t>k</m:t>
                  </m:r>
                  <m:r>
                    <m:rPr>
                      <m:sty m:val="p"/>
                    </m:rPr>
                    <m:t>,</m:t>
                  </m:r>
                  <m:r>
                    <m:t>t</m:t>
                  </m:r>
                </m:sub>
              </m:sSub>
            </m:oMath>
          </w:p>
        </w:tc>
        <w:tc>
          <w:tcPr/>
          <w:p>
            <w:pPr>
              <w:pStyle w:val="Compact"/>
              <w:spacing w:before="40" w:after="40"/>
              <w:jc w:val="left"/>
            </w:pPr>
            <w:r>
              <w:rPr>
                <w:sz w:val="19"/>
              </w:rPr>
              <w:t xml:space="preserve">hydrogen bought under contract</w:t>
            </w:r>
            <w:r>
              <w:rPr>
                <w:sz w:val="19"/>
              </w:rPr>
              <w:t xml:space="preserve"> </w:t>
            </w:r>
            <m:oMath>
              <m:r>
                <m:t>k</m:t>
              </m:r>
            </m:oMath>
            <w:r>
              <w:rPr>
                <w:sz w:val="19"/>
              </w:rPr>
              <w:t xml:space="preserve"> </w:t>
            </w:r>
            <w:r>
              <w:rPr>
                <w:sz w:val="19"/>
              </w:rPr>
              <w:t xml:space="preserve">(kg)</w:t>
            </w:r>
          </w:p>
        </w:tc>
      </w:tr>
      <w:tr>
        <w:tc>
          <w:tcPr/>
          <w:p>
            <w:pPr>
              <w:pStyle w:val="Compact"/>
              <w:spacing w:before="40" w:after="40"/>
              <w:jc w:val="left"/>
            </w:pPr>
            <m:oMath>
              <m:sSub>
                <m:e>
                  <m:r>
                    <m:t>i</m:t>
                  </m:r>
                </m:e>
                <m:sub>
                  <m:r>
                    <m:t>t</m:t>
                  </m:r>
                </m:sub>
              </m:sSub>
              <m:r>
                <m:rPr>
                  <m:sty m:val="p"/>
                </m:rPr>
                <m:t>,</m:t>
              </m:r>
              <m:r>
                <m:t> </m:t>
              </m:r>
              <m:sSub>
                <m:e>
                  <m:r>
                    <m:t>x</m:t>
                  </m:r>
                </m:e>
                <m:sub>
                  <m:r>
                    <m:t>t</m:t>
                  </m:r>
                </m:sub>
              </m:sSub>
              <m:r>
                <m:rPr>
                  <m:sty m:val="p"/>
                </m:rPr>
                <m:t>,</m:t>
              </m:r>
              <m:r>
                <m:t> </m:t>
              </m:r>
              <m:sSub>
                <m:e>
                  <m:r>
                    <m:t>u</m:t>
                  </m:r>
                </m:e>
                <m:sub>
                  <m:r>
                    <m:t>t</m:t>
                  </m:r>
                </m:sub>
              </m:sSub>
            </m:oMath>
          </w:p>
        </w:tc>
        <w:tc>
          <w:tcPr/>
          <w:p>
            <w:pPr>
              <w:pStyle w:val="Compact"/>
              <w:spacing w:before="40" w:after="40"/>
              <w:jc w:val="left"/>
            </w:pPr>
            <w:r>
              <w:rPr>
                <w:sz w:val="19"/>
              </w:rPr>
              <w:t xml:space="preserve">grid import, grid export, unserved load</w:t>
            </w:r>
          </w:p>
        </w:tc>
      </w:tr>
      <w:tr>
        <w:tc>
          <w:tcPr/>
          <w:p>
            <w:pPr>
              <w:pStyle w:val="Compact"/>
              <w:spacing w:before="40" w:after="40"/>
              <w:jc w:val="left"/>
            </w:pPr>
            <m:oMath>
              <m:sSub>
                <m:e>
                  <m:r>
                    <m:t>D</m:t>
                  </m:r>
                </m:e>
                <m:sub>
                  <m:r>
                    <m:t>t</m:t>
                  </m:r>
                </m:sub>
              </m:sSub>
            </m:oMath>
          </w:p>
        </w:tc>
        <w:tc>
          <w:tcPr/>
          <w:p>
            <w:pPr>
              <w:pStyle w:val="Compact"/>
              <w:spacing w:before="40" w:after="40"/>
              <w:jc w:val="left"/>
            </w:pPr>
            <w:r>
              <w:rPr>
                <w:sz w:val="19"/>
              </w:rPr>
              <w:t xml:space="preserve">facility demand — rated draw times overhead factor</w:t>
            </w:r>
          </w:p>
        </w:tc>
      </w:tr>
      <w:tr>
        <w:tc>
          <w:tcPr/>
          <w:p>
            <w:pPr>
              <w:pStyle w:val="Compact"/>
              <w:spacing w:before="40" w:after="40"/>
              <w:jc w:val="left"/>
            </w:pPr>
            <m:oMath>
              <m:sSub>
                <m:e>
                  <m:r>
                    <m:t>π</m:t>
                  </m:r>
                </m:e>
                <m:sub>
                  <m:r>
                    <m:t>t</m:t>
                  </m:r>
                </m:sub>
              </m:sSub>
            </m:oMath>
          </w:p>
        </w:tc>
        <w:tc>
          <w:tcPr/>
          <w:p>
            <w:pPr>
              <w:pStyle w:val="Compact"/>
              <w:spacing w:before="40" w:after="40"/>
              <w:jc w:val="left"/>
            </w:pPr>
            <w:r>
              <w:rPr>
                <w:sz w:val="19"/>
              </w:rPr>
              <w:t xml:space="preserve">wholesale price plus volumetric network charges (£/MWh)</w:t>
            </w:r>
          </w:p>
        </w:tc>
      </w:tr>
      <w:tr>
        <w:tc>
          <w:tcPr/>
          <w:p>
            <w:pPr>
              <w:pStyle w:val="Compact"/>
              <w:spacing w:before="40" w:after="40"/>
              <w:jc w:val="left"/>
            </w:pPr>
            <m:oMath>
              <m:sSub>
                <m:e>
                  <m:r>
                    <m:t>φ</m:t>
                  </m:r>
                </m:e>
                <m:sub>
                  <m:r>
                    <m:t>t</m:t>
                  </m:r>
                </m:sub>
              </m:sSub>
            </m:oMath>
          </w:p>
        </w:tc>
        <w:tc>
          <w:tcPr/>
          <w:p>
            <w:pPr>
              <w:pStyle w:val="Compact"/>
              <w:spacing w:before="40" w:after="40"/>
              <w:jc w:val="left"/>
            </w:pPr>
            <w:r>
              <w:rPr>
                <w:sz w:val="19"/>
              </w:rPr>
              <w:t xml:space="preserve">regional grid carbon intensity (kg CO₂e/MWh)</w:t>
            </w:r>
          </w:p>
        </w:tc>
      </w:tr>
      <w:tr>
        <w:tc>
          <w:tcPr/>
          <w:p>
            <w:pPr>
              <w:pStyle w:val="Compact"/>
              <w:spacing w:before="40" w:after="40"/>
              <w:jc w:val="left"/>
            </w:pPr>
            <m:oMath>
              <m:sSub>
                <m:e>
                  <m:r>
                    <m:t>c</m:t>
                  </m:r>
                </m:e>
                <m:sub>
                  <m:r>
                    <m:t>j</m:t>
                  </m:r>
                </m:sub>
              </m:sSub>
              <m:r>
                <m:rPr>
                  <m:sty m:val="p"/>
                </m:rPr>
                <m:t>,</m:t>
              </m:r>
              <m:r>
                <m:t> </m:t>
              </m:r>
              <m:sSub>
                <m:e>
                  <m:r>
                    <m:t>g</m:t>
                  </m:r>
                </m:e>
                <m:sub>
                  <m:r>
                    <m:t>j</m:t>
                  </m:r>
                </m:sub>
              </m:sSub>
            </m:oMath>
          </w:p>
        </w:tc>
        <w:tc>
          <w:tcPr/>
          <w:p>
            <w:pPr>
              <w:pStyle w:val="Compact"/>
              <w:spacing w:before="40" w:after="40"/>
              <w:jc w:val="left"/>
            </w:pPr>
            <w:r>
              <w:rPr>
                <w:sz w:val="19"/>
              </w:rPr>
              <w:t xml:space="preserve">annualised cost and annualised embodied carbon per unit of capacity</w:t>
            </w:r>
          </w:p>
        </w:tc>
      </w:tr>
      <w:tr>
        <w:tc>
          <w:tcPr/>
          <w:p>
            <w:pPr>
              <w:pStyle w:val="Compact"/>
              <w:spacing w:before="40" w:after="40"/>
              <w:jc w:val="left"/>
            </w:pPr>
            <m:oMath>
              <m:sSub>
                <m:e>
                  <m:r>
                    <m:t>A</m:t>
                  </m:r>
                </m:e>
                <m:sub>
                  <m:r>
                    <m:t>j</m:t>
                  </m:r>
                </m:sub>
              </m:sSub>
              <m:r>
                <m:rPr>
                  <m:sty m:val="p"/>
                </m:rPr>
                <m:t>,</m:t>
              </m:r>
              <m:r>
                <m:t> </m:t>
              </m:r>
              <m:sSub>
                <m:e>
                  <m:r>
                    <m:t>F</m:t>
                  </m:r>
                </m:e>
                <m:sub>
                  <m:r>
                    <m:t>j</m:t>
                  </m:r>
                </m:sub>
              </m:sSub>
              <m:r>
                <m:rPr>
                  <m:sty m:val="p"/>
                </m:rPr>
                <m:t>,</m:t>
              </m:r>
              <m:r>
                <m:t> </m:t>
              </m:r>
              <m:sSub>
                <m:e>
                  <m:r>
                    <m:t>r</m:t>
                  </m:r>
                </m:e>
                <m:sub>
                  <m:r>
                    <m:t>j</m:t>
                  </m:r>
                </m:sub>
              </m:sSub>
              <m:r>
                <m:rPr>
                  <m:sty m:val="p"/>
                </m:rPr>
                <m:t>,</m:t>
              </m:r>
              <m:r>
                <m:t> </m:t>
              </m:r>
              <m:sSub>
                <m:e>
                  <m:r>
                    <m:t>L</m:t>
                  </m:r>
                </m:e>
                <m:sub>
                  <m:r>
                    <m:t>j</m:t>
                  </m:r>
                </m:sub>
              </m:sSub>
            </m:oMath>
          </w:p>
        </w:tc>
        <w:tc>
          <w:tcPr/>
          <w:p>
            <w:pPr>
              <w:pStyle w:val="Compact"/>
              <w:spacing w:before="40" w:after="40"/>
              <w:jc w:val="left"/>
            </w:pPr>
            <w:r>
              <w:rPr>
                <w:sz w:val="19"/>
              </w:rPr>
              <w:t xml:space="preserve">capital cost, fixed operating cost, discount rate and life of asset</w:t>
            </w:r>
            <w:r>
              <w:rPr>
                <w:sz w:val="19"/>
              </w:rPr>
              <w:t xml:space="preserve"> </w:t>
            </w:r>
            <m:oMath>
              <m:r>
                <m:t>j</m:t>
              </m:r>
            </m:oMath>
          </w:p>
        </w:tc>
      </w:tr>
      <w:tr>
        <w:tc>
          <w:tcPr/>
          <w:p>
            <w:pPr>
              <w:pStyle w:val="Compact"/>
              <w:spacing w:before="40" w:after="40"/>
              <w:jc w:val="left"/>
            </w:pPr>
            <m:oMath>
              <m:sSub>
                <m:e>
                  <m:r>
                    <m:t>ρ</m:t>
                  </m:r>
                </m:e>
                <m:sub>
                  <m:r>
                    <m:t>k</m:t>
                  </m:r>
                </m:sub>
              </m:sSub>
              <m:r>
                <m:rPr>
                  <m:sty m:val="p"/>
                </m:rPr>
                <m:t>,</m:t>
              </m:r>
              <m:r>
                <m:t> </m:t>
              </m:r>
              <m:sSub>
                <m:e>
                  <m:r>
                    <m:t>γ</m:t>
                  </m:r>
                </m:e>
                <m:sub>
                  <m:r>
                    <m:t>k</m:t>
                  </m:r>
                </m:sub>
              </m:sSub>
            </m:oMath>
          </w:p>
        </w:tc>
        <w:tc>
          <w:tcPr/>
          <w:p>
            <w:pPr>
              <w:pStyle w:val="Compact"/>
              <w:spacing w:before="40" w:after="40"/>
              <w:jc w:val="left"/>
            </w:pPr>
            <w:r>
              <w:rPr>
                <w:sz w:val="19"/>
              </w:rPr>
              <w:t xml:space="preserve">price and gate-level carbon burden of bought hydrogen colour</w:t>
            </w:r>
            <w:r>
              <w:rPr>
                <w:sz w:val="19"/>
              </w:rPr>
              <w:t xml:space="preserve"> </w:t>
            </w:r>
            <m:oMath>
              <m:r>
                <m:t>k</m:t>
              </m:r>
            </m:oMath>
          </w:p>
        </w:tc>
      </w:tr>
      <w:tr>
        <w:tc>
          <w:tcPr/>
          <w:p>
            <w:pPr>
              <w:pStyle w:val="Compact"/>
              <w:spacing w:before="40" w:after="40"/>
              <w:jc w:val="left"/>
            </w:pPr>
            <m:oMath>
              <m:sSub>
                <m:e>
                  <m:r>
                    <m:t>κ</m:t>
                  </m:r>
                </m:e>
                <m:sub>
                  <m:r>
                    <m:rPr>
                      <m:sty m:val="p"/>
                    </m:rPr>
                    <m:t>e</m:t>
                  </m:r>
                </m:sub>
              </m:sSub>
              <m:r>
                <m:rPr>
                  <m:sty m:val="p"/>
                </m:rPr>
                <m:t>,</m:t>
              </m:r>
              <m:r>
                <m:t> </m:t>
              </m:r>
              <m:sSub>
                <m:e>
                  <m:r>
                    <m:t>κ</m:t>
                  </m:r>
                </m:e>
                <m:sub>
                  <m:r>
                    <m:rPr>
                      <m:sty m:val="p"/>
                    </m:rPr>
                    <m:t>f</m:t>
                  </m:r>
                </m:sub>
              </m:sSub>
            </m:oMath>
          </w:p>
        </w:tc>
        <w:tc>
          <w:tcPr/>
          <w:p>
            <w:pPr>
              <w:pStyle w:val="Compact"/>
              <w:spacing w:before="40" w:after="40"/>
              <w:jc w:val="left"/>
            </w:pPr>
            <w:r>
              <w:rPr>
                <w:sz w:val="19"/>
              </w:rPr>
              <w:t xml:space="preserve">kilograms of hydrogen made per MWh, and consumed per MWh</w:t>
            </w:r>
          </w:p>
        </w:tc>
      </w:tr>
      <w:tr>
        <w:tc>
          <w:tcPr/>
          <w:p>
            <w:pPr>
              <w:pStyle w:val="Compact"/>
              <w:spacing w:before="40" w:after="40"/>
              <w:jc w:val="left"/>
            </w:pPr>
            <m:oMath>
              <m:r>
                <m:t>η</m:t>
              </m:r>
              <m:r>
                <m:rPr>
                  <m:sty m:val="p"/>
                </m:rPr>
                <m:t>,</m:t>
              </m:r>
              <m:r>
                <m:t> </m:t>
              </m:r>
              <m:sSub>
                <m:e>
                  <m:r>
                    <m:t>λ</m:t>
                  </m:r>
                </m:e>
                <m:sub>
                  <m:r>
                    <m:rPr>
                      <m:sty m:val="p"/>
                    </m:rPr>
                    <m:t>b</m:t>
                  </m:r>
                </m:sub>
              </m:sSub>
              <m:r>
                <m:rPr>
                  <m:sty m:val="p"/>
                </m:rPr>
                <m:t>,</m:t>
              </m:r>
              <m:r>
                <m:t> </m:t>
              </m:r>
              <m:sSub>
                <m:e>
                  <m:r>
                    <m:t>λ</m:t>
                  </m:r>
                </m:e>
                <m:sub>
                  <m:r>
                    <m:rPr>
                      <m:sty m:val="p"/>
                    </m:rPr>
                    <m:t>h</m:t>
                  </m:r>
                </m:sub>
              </m:sSub>
            </m:oMath>
          </w:p>
        </w:tc>
        <w:tc>
          <w:tcPr/>
          <w:p>
            <w:pPr>
              <w:pStyle w:val="Compact"/>
              <w:spacing w:before="40" w:after="40"/>
              <w:jc w:val="left"/>
            </w:pPr>
            <w:r>
              <w:rPr>
                <w:sz w:val="19"/>
              </w:rPr>
              <w:t xml:space="preserve">one-way battery efficiency, battery standing loss, tank leakage</w:t>
            </w:r>
          </w:p>
        </w:tc>
      </w:tr>
      <w:tr>
        <w:tc>
          <w:tcPr/>
          <w:p>
            <w:pPr>
              <w:pStyle w:val="Compact"/>
              <w:spacing w:before="40" w:after="40"/>
              <w:jc w:val="left"/>
            </w:pPr>
            <m:oMath>
              <m:sSub>
                <m:e>
                  <m:r>
                    <m:t>C</m:t>
                  </m:r>
                </m:e>
                <m:sub>
                  <m:r>
                    <m:t>0</m:t>
                  </m:r>
                </m:sub>
              </m:sSub>
              <m:r>
                <m:rPr>
                  <m:sty m:val="p"/>
                </m:rPr>
                <m:t>,</m:t>
              </m:r>
              <m:r>
                <m:t> </m:t>
              </m:r>
              <m:sSub>
                <m:e>
                  <m:r>
                    <m:t>G</m:t>
                  </m:r>
                </m:e>
                <m:sub>
                  <m:r>
                    <m:t>0</m:t>
                  </m:r>
                </m:sub>
              </m:sSub>
            </m:oMath>
          </w:p>
        </w:tc>
        <w:tc>
          <w:tcPr/>
          <w:p>
            <w:pPr>
              <w:pStyle w:val="Compact"/>
              <w:spacing w:before="40" w:after="40"/>
              <w:jc w:val="left"/>
            </w:pPr>
            <w:r>
              <w:rPr>
                <w:sz w:val="19"/>
              </w:rPr>
              <w:t xml:space="preserve">fixed connection charges, and the facility’s own embodied burden</w:t>
            </w:r>
          </w:p>
        </w:tc>
      </w:tr>
      <w:tr>
        <w:tc>
          <w:tcPr/>
          <w:p>
            <w:pPr>
              <w:pStyle w:val="Compact"/>
              <w:spacing w:before="40" w:after="40"/>
              <w:jc w:val="left"/>
            </w:pPr>
            <m:oMath>
              <m:r>
                <m:t>V</m:t>
              </m:r>
              <m:r>
                <m:rPr>
                  <m:sty m:val="p"/>
                </m:rPr>
                <m:t>,</m:t>
              </m:r>
              <m:r>
                <m:t> </m:t>
              </m:r>
              <m:r>
                <m:t>α</m:t>
              </m:r>
            </m:oMath>
          </w:p>
        </w:tc>
        <w:tc>
          <w:tcPr/>
          <w:p>
            <w:pPr>
              <w:pStyle w:val="Compact"/>
              <w:spacing w:before="40" w:after="40"/>
              <w:jc w:val="left"/>
            </w:pPr>
            <w:r>
              <w:rPr>
                <w:sz w:val="19"/>
              </w:rPr>
              <w:t xml:space="preserve">value of lost load, and the permitted unserved fraction</w:t>
            </w:r>
          </w:p>
        </w:tc>
      </w:tr>
      <w:tr>
        <w:tc>
          <w:tcPr/>
          <w:p>
            <w:pPr>
              <w:pStyle w:val="Compact"/>
              <w:spacing w:before="40" w:after="40"/>
              <w:jc w:val="left"/>
            </w:pPr>
            <m:oMath>
              <m:sSub>
                <m:e>
                  <m:r>
                    <m:t>n</m:t>
                  </m:r>
                </m:e>
                <m:sub>
                  <m:r>
                    <m:rPr>
                      <m:sty m:val="p"/>
                    </m:rPr>
                    <m:t>s</m:t>
                  </m:r>
                </m:sub>
              </m:sSub>
              <m:r>
                <m:rPr>
                  <m:sty m:val="p"/>
                </m:rPr>
                <m:t>,</m:t>
              </m:r>
              <m:r>
                <m:t> </m:t>
              </m:r>
              <m:sSub>
                <m:e>
                  <m:r>
                    <m:t>n</m:t>
                  </m:r>
                </m:e>
                <m:sub>
                  <m:r>
                    <m:rPr>
                      <m:sty m:val="p"/>
                    </m:rPr>
                    <m:t>p</m:t>
                  </m:r>
                </m:sub>
              </m:sSub>
            </m:oMath>
          </w:p>
        </w:tc>
        <w:tc>
          <w:tcPr/>
          <w:p>
            <w:pPr>
              <w:pStyle w:val="Compact"/>
              <w:spacing w:before="40" w:after="40"/>
              <w:jc w:val="left"/>
            </w:pPr>
            <w:r>
              <w:rPr>
                <w:sz w:val="19"/>
              </w:rPr>
              <w:t xml:space="preserve">stack and balance-of-plant replacement rate (MW of kit replaced per year)</w:t>
            </w:r>
          </w:p>
        </w:tc>
      </w:tr>
      <w:tr>
        <w:tc>
          <w:tcPr/>
          <w:p>
            <w:pPr>
              <w:pStyle w:val="Compact"/>
              <w:spacing w:before="40" w:after="40"/>
              <w:jc w:val="left"/>
            </w:pPr>
            <m:oMath>
              <m:r>
                <m:t>T</m:t>
              </m:r>
              <m:r>
                <m:rPr>
                  <m:sty m:val="p"/>
                </m:rPr>
                <m:t>,</m:t>
              </m:r>
              <m:r>
                <m:t> </m:t>
              </m:r>
              <m:sSub>
                <m:e>
                  <m:r>
                    <m:t>L</m:t>
                  </m:r>
                </m:e>
                <m:sub>
                  <m:r>
                    <m:rPr>
                      <m:sty m:val="p"/>
                    </m:rPr>
                    <m:t>p</m:t>
                  </m:r>
                </m:sub>
              </m:sSub>
              <m:r>
                <m:rPr>
                  <m:sty m:val="p"/>
                </m:rPr>
                <m:t>,</m:t>
              </m:r>
              <m:r>
                <m:t> </m:t>
              </m:r>
              <m:sSub>
                <m:e>
                  <m:r>
                    <m:t>H</m:t>
                  </m:r>
                </m:e>
                <m:sub>
                  <m:r>
                    <m:rPr>
                      <m:sty m:val="p"/>
                    </m:rPr>
                    <m:t>s</m:t>
                  </m:r>
                </m:sub>
              </m:sSub>
              <m:r>
                <m:rPr>
                  <m:sty m:val="p"/>
                </m:rPr>
                <m:t>,</m:t>
              </m:r>
              <m:r>
                <m:t> </m:t>
              </m:r>
              <m:sSub>
                <m:e>
                  <m:r>
                    <m:t>H</m:t>
                  </m:r>
                </m:e>
                <m:sub>
                  <m:r>
                    <m:rPr>
                      <m:sty m:val="p"/>
                    </m:rPr>
                    <m:t>p</m:t>
                  </m:r>
                </m:sub>
              </m:sSub>
            </m:oMath>
          </w:p>
        </w:tc>
        <w:tc>
          <w:tcPr/>
          <w:p>
            <w:pPr>
              <w:pStyle w:val="Compact"/>
              <w:spacing w:before="40" w:after="40"/>
              <w:jc w:val="left"/>
            </w:pPr>
            <w:r>
              <w:rPr>
                <w:sz w:val="19"/>
              </w:rPr>
              <w:t xml:space="preserve">study horizon; balance-of-plant calendar life; stack and balance-of-plant duty-hour lives</w:t>
            </w:r>
          </w:p>
        </w:tc>
      </w:tr>
      <w:tr>
        <w:tc>
          <w:tcPr/>
          <w:p>
            <w:pPr>
              <w:pStyle w:val="Compact"/>
              <w:spacing w:before="40" w:after="40"/>
              <w:jc w:val="left"/>
            </w:pPr>
            <m:oMath>
              <m:sSub>
                <m:e>
                  <m:r>
                    <m:t>E</m:t>
                  </m:r>
                </m:e>
                <m:sub>
                  <m:r>
                    <m:rPr>
                      <m:sty m:val="p"/>
                    </m:rPr>
                    <m:t>f</m:t>
                  </m:r>
                </m:sub>
              </m:sSub>
            </m:oMath>
          </w:p>
        </w:tc>
        <w:tc>
          <w:tcPr/>
          <w:p>
            <w:pPr>
              <w:pStyle w:val="Compact"/>
              <w:spacing w:before="40" w:after="40"/>
              <w:jc w:val="left"/>
            </w:pPr>
            <w:r>
              <w:rPr>
                <w:sz w:val="19"/>
              </w:rPr>
              <w:t xml:space="preserve">annual energy through the fuel cell (MWh)</w:t>
            </w:r>
          </w:p>
        </w:tc>
      </w:tr>
      <w:tr>
        <w:tc>
          <w:tcPr/>
          <w:p>
            <w:pPr>
              <w:pStyle w:val="Compact"/>
              <w:spacing w:before="40" w:after="40"/>
              <w:jc w:val="left"/>
            </w:pPr>
            <m:oMath>
              <m:r>
                <m:t>Δ</m:t>
              </m:r>
              <m:r>
                <m:t>t</m:t>
              </m:r>
              <m:r>
                <m:rPr>
                  <m:sty m:val="p"/>
                </m:rPr>
                <m:t>=</m:t>
              </m:r>
              <m:r>
                <m:t>0.5</m:t>
              </m:r>
              <m:r>
                <m:t> </m:t>
              </m:r>
              <m:r>
                <m:rPr>
                  <m:nor/>
                  <m:sty m:val="p"/>
                </m:rPr>
                <m:t>h</m:t>
              </m:r>
            </m:oMath>
          </w:p>
        </w:tc>
        <w:tc>
          <w:tcPr/>
          <w:p>
            <w:pPr>
              <w:pStyle w:val="Compact"/>
              <w:spacing w:before="40" w:after="40"/>
              <w:jc w:val="left"/>
            </w:pPr>
            <w:r>
              <w:rPr>
                <w:sz w:val="19"/>
              </w:rPr>
              <w:t xml:space="preserve">settlement period length</w:t>
            </w:r>
          </w:p>
        </w:tc>
      </w:tr>
      <w:tr>
        <w:tc>
          <w:tcPr/>
          <w:p>
            <w:pPr>
              <w:pStyle w:val="Compact"/>
              <w:spacing w:before="40" w:after="40"/>
              <w:jc w:val="left"/>
            </w:pPr>
            <m:oMath>
              <m:r>
                <m:t>s</m:t>
              </m:r>
              <m:r>
                <m:rPr>
                  <m:sty m:val="p"/>
                </m:rPr>
                <m:t>=</m:t>
              </m:r>
              <m:r>
                <m:t>8760</m:t>
              </m:r>
              <m:r>
                <m:rPr>
                  <m:sty m:val="p"/>
                </m:rPr>
                <m:t>/</m:t>
              </m:r>
              <m:r>
                <m:t>H</m:t>
              </m:r>
            </m:oMath>
          </w:p>
        </w:tc>
        <w:tc>
          <w:tcPr/>
          <w:p>
            <w:pPr>
              <w:pStyle w:val="Compact"/>
              <w:spacing w:before="40" w:after="40"/>
              <w:jc w:val="left"/>
            </w:pPr>
            <w:r>
              <w:rPr>
                <w:sz w:val="19"/>
              </w:rPr>
              <w:t xml:space="preserve">scale factor annualising a window of</w:t>
            </w:r>
            <w:r>
              <w:rPr>
                <w:sz w:val="19"/>
              </w:rPr>
              <w:t xml:space="preserve"> </w:t>
            </w:r>
            <m:oMath>
              <m:r>
                <m:t>H</m:t>
              </m:r>
            </m:oMath>
            <w:r>
              <w:rPr>
                <w:sz w:val="19"/>
              </w:rPr>
              <w:t xml:space="preserve"> </w:t>
            </w:r>
            <w:r>
              <w:rPr>
                <w:sz w:val="19"/>
              </w:rPr>
              <w:t xml:space="preserve">hours</w:t>
            </w:r>
          </w:p>
        </w:tc>
      </w:tr>
    </w:tbl>
    <w:bookmarkEnd w:id="28"/>
    <w:bookmarkStart w:id="29" w:name="the-two-objectives"/>
    <w:p>
      <w:pPr>
        <w:pStyle w:val="Heading2"/>
      </w:pPr>
      <w:r>
        <w:t xml:space="preserve">5.2 The two objectives</w:t>
      </w:r>
    </w:p>
    <w:p>
      <w:pPr>
        <w:pStyle w:val="FirstParagraph"/>
      </w:pPr>
      <w:r>
        <w:t xml:space="preserve">Annualised cost:</w:t>
      </w:r>
    </w:p>
    <w:p>
      <w:pPr>
        <w:pStyle w:val="BodyText"/>
      </w:pPr>
      <m:oMathPara>
        <m:oMathParaPr>
          <m:jc m:val="center"/>
        </m:oMathParaPr>
        <m:oMath>
          <m:r>
            <m:rPr>
              <m:sty m:val="p"/>
            </m:rPr>
            <m:t>min</m:t>
          </m:r>
          <m:r>
            <m:t> </m:t>
          </m:r>
          <m:r>
            <m:t>C</m:t>
          </m:r>
          <m:r>
            <m:t> </m:t>
          </m:r>
          <m:r>
            <m:rPr>
              <m:sty m:val="p"/>
            </m:rPr>
            <m:t>=</m:t>
          </m:r>
          <m:r>
            <m:t> </m:t>
          </m:r>
          <m:nary>
            <m:naryPr>
              <m:chr m:val="∑"/>
              <m:limLoc m:val="undOvr"/>
              <m:subHide m:val="off"/>
              <m:supHide m:val="on"/>
            </m:naryPr>
            <m:sub>
              <m:r>
                <m:t>j</m:t>
              </m:r>
            </m:sub>
            <m:sup>
              <m:r>
                <m:t>​</m:t>
              </m:r>
            </m:sup>
            <m:e>
              <m:sSub>
                <m:e>
                  <m:r>
                    <m:t>c</m:t>
                  </m:r>
                </m:e>
                <m:sub>
                  <m:r>
                    <m:t>j</m:t>
                  </m:r>
                </m:sub>
              </m:sSub>
            </m:e>
          </m:nary>
          <m:r>
            <m:t> </m:t>
          </m:r>
          <m:sSub>
            <m:e>
              <m:r>
                <m:t>K</m:t>
              </m:r>
            </m:e>
            <m:sub>
              <m:r>
                <m:t>j</m:t>
              </m:r>
            </m:sub>
          </m:sSub>
          <m:r>
            <m:t> </m:t>
          </m:r>
          <m:r>
            <m:rPr>
              <m:sty m:val="p"/>
            </m:rPr>
            <m:t>+</m:t>
          </m:r>
          <m:r>
            <m:t> </m:t>
          </m:r>
          <m:sSub>
            <m:e>
              <m:r>
                <m:t>c</m:t>
              </m:r>
            </m:e>
            <m:sub>
              <m:r>
                <m:rPr>
                  <m:sty m:val="p"/>
                </m:rPr>
                <m:t>s</m:t>
              </m:r>
            </m:sub>
          </m:sSub>
          <m:r>
            <m:t> </m:t>
          </m:r>
          <m:sSub>
            <m:e>
              <m:r>
                <m:t>n</m:t>
              </m:r>
            </m:e>
            <m:sub>
              <m:r>
                <m:rPr>
                  <m:sty m:val="p"/>
                </m:rPr>
                <m:t>s</m:t>
              </m:r>
            </m:sub>
          </m:sSub>
          <m:r>
            <m:t> </m:t>
          </m:r>
          <m:r>
            <m:rPr>
              <m:sty m:val="p"/>
            </m:rPr>
            <m:t>+</m:t>
          </m:r>
          <m:r>
            <m:t> </m:t>
          </m:r>
          <m:sSub>
            <m:e>
              <m:r>
                <m:t>C</m:t>
              </m:r>
            </m:e>
            <m:sub>
              <m:r>
                <m:t>0</m:t>
              </m:r>
            </m:sub>
          </m:sSub>
          <m:r>
            <m:t> </m:t>
          </m:r>
          <m:r>
            <m:rPr>
              <m:sty m:val="p"/>
            </m:rPr>
            <m:t>+</m:t>
          </m:r>
          <m:r>
            <m:t> </m:t>
          </m:r>
          <m:r>
            <m:t>s</m:t>
          </m:r>
          <m:nary>
            <m:naryPr>
              <m:chr m:val="∑"/>
              <m:limLoc m:val="undOvr"/>
              <m:subHide m:val="off"/>
              <m:supHide m:val="on"/>
            </m:naryPr>
            <m:sub>
              <m:r>
                <m:t>t</m:t>
              </m:r>
            </m:sub>
            <m:sup>
              <m:r>
                <m:t>​</m:t>
              </m:r>
            </m:sup>
            <m:e>
              <m:d>
                <m:dPr>
                  <m:begChr m:val="["/>
                  <m:endChr m:val="]"/>
                  <m:sepChr m:val=""/>
                  <m:grow/>
                </m:dPr>
                <m:e>
                  <m:sSub>
                    <m:e>
                      <m:r>
                        <m:t>π</m:t>
                      </m:r>
                    </m:e>
                    <m:sub>
                      <m:r>
                        <m:t>t</m:t>
                      </m:r>
                    </m:sub>
                  </m:sSub>
                  <m:d>
                    <m:dPr>
                      <m:begChr m:val="("/>
                      <m:endChr m:val=")"/>
                      <m:sepChr m:val=""/>
                      <m:grow/>
                    </m:dPr>
                    <m:e>
                      <m:sSub>
                        <m:e>
                          <m:r>
                            <m:t>i</m:t>
                          </m:r>
                        </m:e>
                        <m:sub>
                          <m:r>
                            <m:t>t</m:t>
                          </m:r>
                        </m:sub>
                      </m:sSub>
                      <m:r>
                        <m:rPr>
                          <m:sty m:val="p"/>
                        </m:rPr>
                        <m:t>−</m:t>
                      </m:r>
                      <m:sSub>
                        <m:e>
                          <m:r>
                            <m:t>x</m:t>
                          </m:r>
                        </m:e>
                        <m:sub>
                          <m:r>
                            <m:t>t</m:t>
                          </m:r>
                        </m:sub>
                      </m:sSub>
                    </m:e>
                  </m:d>
                  <m:r>
                    <m:t>Δ</m:t>
                  </m:r>
                  <m:r>
                    <m:t>t</m:t>
                  </m:r>
                  <m:r>
                    <m:t> </m:t>
                  </m:r>
                  <m:r>
                    <m:rPr>
                      <m:sty m:val="p"/>
                    </m:rPr>
                    <m:t>+</m:t>
                  </m:r>
                  <m:r>
                    <m:t> </m:t>
                  </m:r>
                  <m:nary>
                    <m:naryPr>
                      <m:chr m:val="∑"/>
                      <m:limLoc m:val="undOvr"/>
                      <m:subHide m:val="off"/>
                      <m:supHide m:val="on"/>
                    </m:naryPr>
                    <m:sub>
                      <m:r>
                        <m:t>k</m:t>
                      </m:r>
                    </m:sub>
                    <m:sup>
                      <m:r>
                        <m:t>​</m:t>
                      </m:r>
                    </m:sup>
                    <m:e>
                      <m:sSub>
                        <m:e>
                          <m:r>
                            <m:t>ρ</m:t>
                          </m:r>
                        </m:e>
                        <m:sub>
                          <m:r>
                            <m:t>k</m:t>
                          </m:r>
                        </m:sub>
                      </m:sSub>
                    </m:e>
                  </m:nary>
                  <m:r>
                    <m:t> </m:t>
                  </m:r>
                  <m:sSub>
                    <m:e>
                      <m:r>
                        <m:t>m</m:t>
                      </m:r>
                    </m:e>
                    <m:sub>
                      <m:r>
                        <m:t>k</m:t>
                      </m:r>
                      <m:r>
                        <m:rPr>
                          <m:sty m:val="p"/>
                        </m:rPr>
                        <m:t>,</m:t>
                      </m:r>
                      <m:r>
                        <m:t>t</m:t>
                      </m:r>
                    </m:sub>
                  </m:sSub>
                  <m:r>
                    <m:t> </m:t>
                  </m:r>
                  <m:r>
                    <m:rPr>
                      <m:sty m:val="p"/>
                    </m:rPr>
                    <m:t>+</m:t>
                  </m:r>
                  <m:r>
                    <m:t> </m:t>
                  </m:r>
                  <m:r>
                    <m:t>V</m:t>
                  </m:r>
                  <m:sSub>
                    <m:e>
                      <m:r>
                        <m:t>u</m:t>
                      </m:r>
                    </m:e>
                    <m:sub>
                      <m:r>
                        <m:t>t</m:t>
                      </m:r>
                    </m:sub>
                  </m:sSub>
                  <m:r>
                    <m:t>Δ</m:t>
                  </m:r>
                  <m:r>
                    <m:t>t</m:t>
                  </m:r>
                </m:e>
              </m:d>
            </m:e>
          </m:nary>
        </m:oMath>
      </m:oMathPara>
    </w:p>
    <w:p>
      <w:pPr>
        <w:pStyle w:val="FirstParagraph"/>
      </w:pPr>
      <w:r>
        <w:t xml:space="preserve">Annual life-cycle carbon:</w:t>
      </w:r>
    </w:p>
    <w:p>
      <w:pPr>
        <w:pStyle w:val="BodyText"/>
      </w:pPr>
      <m:oMathPara>
        <m:oMathParaPr>
          <m:jc m:val="center"/>
        </m:oMathParaPr>
        <m:oMath>
          <m:r>
            <m:rPr>
              <m:sty m:val="p"/>
            </m:rPr>
            <m:t>min</m:t>
          </m:r>
          <m:r>
            <m:t> </m:t>
          </m:r>
          <m:r>
            <m:t>G</m:t>
          </m:r>
          <m:r>
            <m:t> </m:t>
          </m:r>
          <m:r>
            <m:rPr>
              <m:sty m:val="p"/>
            </m:rPr>
            <m:t>=</m:t>
          </m:r>
          <m:r>
            <m:t> </m:t>
          </m:r>
          <m:nary>
            <m:naryPr>
              <m:chr m:val="∑"/>
              <m:limLoc m:val="undOvr"/>
              <m:subHide m:val="off"/>
              <m:supHide m:val="on"/>
            </m:naryPr>
            <m:sub>
              <m:r>
                <m:t>j</m:t>
              </m:r>
            </m:sub>
            <m:sup>
              <m:r>
                <m:t>​</m:t>
              </m:r>
            </m:sup>
            <m:e>
              <m:sSub>
                <m:e>
                  <m:r>
                    <m:t>g</m:t>
                  </m:r>
                </m:e>
                <m:sub>
                  <m:r>
                    <m:t>j</m:t>
                  </m:r>
                </m:sub>
              </m:sSub>
            </m:e>
          </m:nary>
          <m:r>
            <m:t> </m:t>
          </m:r>
          <m:sSub>
            <m:e>
              <m:r>
                <m:t>K</m:t>
              </m:r>
            </m:e>
            <m:sub>
              <m:r>
                <m:t>j</m:t>
              </m:r>
            </m:sub>
          </m:sSub>
          <m:r>
            <m:t> </m:t>
          </m:r>
          <m:r>
            <m:rPr>
              <m:sty m:val="p"/>
            </m:rPr>
            <m:t>+</m:t>
          </m:r>
          <m:r>
            <m:t> </m:t>
          </m:r>
          <m:sSub>
            <m:e>
              <m:r>
                <m:t>g</m:t>
              </m:r>
            </m:e>
            <m:sub>
              <m:r>
                <m:rPr>
                  <m:sty m:val="p"/>
                </m:rPr>
                <m:t>p</m:t>
              </m:r>
            </m:sub>
          </m:sSub>
          <m:r>
            <m:t> </m:t>
          </m:r>
          <m:sSub>
            <m:e>
              <m:r>
                <m:t>n</m:t>
              </m:r>
            </m:e>
            <m:sub>
              <m:r>
                <m:rPr>
                  <m:sty m:val="p"/>
                </m:rPr>
                <m:t>p</m:t>
              </m:r>
            </m:sub>
          </m:sSub>
          <m:r>
            <m:t> </m:t>
          </m:r>
          <m:r>
            <m:rPr>
              <m:sty m:val="p"/>
            </m:rPr>
            <m:t>+</m:t>
          </m:r>
          <m:r>
            <m:t> </m:t>
          </m:r>
          <m:sSub>
            <m:e>
              <m:r>
                <m:t>g</m:t>
              </m:r>
            </m:e>
            <m:sub>
              <m:r>
                <m:rPr>
                  <m:sty m:val="p"/>
                </m:rPr>
                <m:t>s</m:t>
              </m:r>
            </m:sub>
          </m:sSub>
          <m:r>
            <m:t> </m:t>
          </m:r>
          <m:sSub>
            <m:e>
              <m:r>
                <m:t>n</m:t>
              </m:r>
            </m:e>
            <m:sub>
              <m:r>
                <m:rPr>
                  <m:sty m:val="p"/>
                </m:rPr>
                <m:t>s</m:t>
              </m:r>
            </m:sub>
          </m:sSub>
          <m:r>
            <m:t> </m:t>
          </m:r>
          <m:r>
            <m:rPr>
              <m:sty m:val="p"/>
            </m:rPr>
            <m:t>+</m:t>
          </m:r>
          <m:r>
            <m:t> </m:t>
          </m:r>
          <m:sSub>
            <m:e>
              <m:r>
                <m:t>G</m:t>
              </m:r>
            </m:e>
            <m:sub>
              <m:r>
                <m:t>0</m:t>
              </m:r>
            </m:sub>
          </m:sSub>
          <m:r>
            <m:t> </m:t>
          </m:r>
          <m:r>
            <m:rPr>
              <m:sty m:val="p"/>
            </m:rPr>
            <m:t>+</m:t>
          </m:r>
          <m:r>
            <m:t> </m:t>
          </m:r>
          <m:r>
            <m:t>s</m:t>
          </m:r>
          <m:nary>
            <m:naryPr>
              <m:chr m:val="∑"/>
              <m:limLoc m:val="undOvr"/>
              <m:subHide m:val="off"/>
              <m:supHide m:val="on"/>
            </m:naryPr>
            <m:sub>
              <m:r>
                <m:t>t</m:t>
              </m:r>
            </m:sub>
            <m:sup>
              <m:r>
                <m:t>​</m:t>
              </m:r>
            </m:sup>
            <m:e>
              <m:d>
                <m:dPr>
                  <m:begChr m:val="["/>
                  <m:endChr m:val="]"/>
                  <m:sepChr m:val=""/>
                  <m:grow/>
                </m:dPr>
                <m:e>
                  <m:sSub>
                    <m:e>
                      <m:r>
                        <m:t>φ</m:t>
                      </m:r>
                    </m:e>
                    <m:sub>
                      <m:r>
                        <m:t>t</m:t>
                      </m:r>
                    </m:sub>
                  </m:sSub>
                  <m:r>
                    <m:t> </m:t>
                  </m:r>
                  <m:sSub>
                    <m:e>
                      <m:r>
                        <m:t>i</m:t>
                      </m:r>
                    </m:e>
                    <m:sub>
                      <m:r>
                        <m:t>t</m:t>
                      </m:r>
                    </m:sub>
                  </m:sSub>
                  <m:r>
                    <m:t> </m:t>
                  </m:r>
                  <m:r>
                    <m:t>Δ</m:t>
                  </m:r>
                  <m:r>
                    <m:t>t</m:t>
                  </m:r>
                  <m:r>
                    <m:t> </m:t>
                  </m:r>
                  <m:r>
                    <m:rPr>
                      <m:sty m:val="p"/>
                    </m:rPr>
                    <m:t>+</m:t>
                  </m:r>
                  <m:r>
                    <m:t> </m:t>
                  </m:r>
                  <m:nary>
                    <m:naryPr>
                      <m:chr m:val="∑"/>
                      <m:limLoc m:val="undOvr"/>
                      <m:subHide m:val="off"/>
                      <m:supHide m:val="on"/>
                    </m:naryPr>
                    <m:sub>
                      <m:r>
                        <m:t>k</m:t>
                      </m:r>
                    </m:sub>
                    <m:sup>
                      <m:r>
                        <m:t>​</m:t>
                      </m:r>
                    </m:sup>
                    <m:e>
                      <m:sSub>
                        <m:e>
                          <m:r>
                            <m:t>γ</m:t>
                          </m:r>
                        </m:e>
                        <m:sub>
                          <m:r>
                            <m:t>k</m:t>
                          </m:r>
                        </m:sub>
                      </m:sSub>
                    </m:e>
                  </m:nary>
                  <m:r>
                    <m:t> </m:t>
                  </m:r>
                  <m:sSub>
                    <m:e>
                      <m:r>
                        <m:t>m</m:t>
                      </m:r>
                    </m:e>
                    <m:sub>
                      <m:r>
                        <m:t>k</m:t>
                      </m:r>
                      <m:r>
                        <m:rPr>
                          <m:sty m:val="p"/>
                        </m:rPr>
                        <m:t>,</m:t>
                      </m:r>
                      <m:r>
                        <m:t>t</m:t>
                      </m:r>
                    </m:sub>
                  </m:sSub>
                  <m:r>
                    <m:t> </m:t>
                  </m:r>
                  <m:r>
                    <m:rPr>
                      <m:sty m:val="p"/>
                    </m:rPr>
                    <m:t>+</m:t>
                  </m:r>
                  <m:r>
                    <m:t> </m:t>
                  </m:r>
                  <m:sSub>
                    <m:e>
                      <m:r>
                        <m:t>γ</m:t>
                      </m:r>
                    </m:e>
                    <m:sub>
                      <m:r>
                        <m:rPr>
                          <m:sty m:val="p"/>
                        </m:rPr>
                        <m:t>e</m:t>
                      </m:r>
                    </m:sub>
                  </m:sSub>
                  <m:r>
                    <m:t> </m:t>
                  </m:r>
                  <m:sSub>
                    <m:e>
                      <m:r>
                        <m:t>κ</m:t>
                      </m:r>
                    </m:e>
                    <m:sub>
                      <m:r>
                        <m:rPr>
                          <m:sty m:val="p"/>
                        </m:rPr>
                        <m:t>e</m:t>
                      </m:r>
                    </m:sub>
                  </m:sSub>
                  <m:r>
                    <m:t> </m:t>
                  </m:r>
                  <m:sSubSup>
                    <m:e>
                      <m:r>
                        <m:t>p</m:t>
                      </m:r>
                    </m:e>
                    <m:sub>
                      <m:r>
                        <m:t>t</m:t>
                      </m:r>
                    </m:sub>
                    <m:sup>
                      <m:r>
                        <m:rPr>
                          <m:sty m:val="p"/>
                        </m:rPr>
                        <m:t>e</m:t>
                      </m:r>
                    </m:sup>
                  </m:sSubSup>
                  <m:r>
                    <m:t>Δ</m:t>
                  </m:r>
                  <m:r>
                    <m:t>t</m:t>
                  </m:r>
                  <m:r>
                    <m:t> </m:t>
                  </m:r>
                  <m:r>
                    <m:rPr>
                      <m:sty m:val="p"/>
                    </m:rPr>
                    <m:t>+</m:t>
                  </m:r>
                  <m:r>
                    <m:t> </m:t>
                  </m:r>
                  <m:sSub>
                    <m:e>
                      <m:r>
                        <m:t>g</m:t>
                      </m:r>
                    </m:e>
                    <m:sub>
                      <m:r>
                        <m:rPr>
                          <m:sty m:val="p"/>
                        </m:rPr>
                        <m:t>f</m:t>
                      </m:r>
                    </m:sub>
                  </m:sSub>
                  <m:r>
                    <m:t> </m:t>
                  </m:r>
                  <m:sSubSup>
                    <m:e>
                      <m:r>
                        <m:t>p</m:t>
                      </m:r>
                    </m:e>
                    <m:sub>
                      <m:r>
                        <m:t>t</m:t>
                      </m:r>
                    </m:sub>
                    <m:sup>
                      <m:r>
                        <m:rPr>
                          <m:sty m:val="p"/>
                        </m:rPr>
                        <m:t>f</m:t>
                      </m:r>
                    </m:sup>
                  </m:sSubSup>
                  <m:r>
                    <m:t>Δ</m:t>
                  </m:r>
                  <m:r>
                    <m:t>t</m:t>
                  </m:r>
                </m:e>
              </m:d>
            </m:e>
          </m:nary>
        </m:oMath>
      </m:oMathPara>
    </w:p>
    <w:p>
      <w:pPr>
        <w:pStyle w:val="FirstParagraph"/>
      </w:pPr>
      <w:r>
        <w:t xml:space="preserve">The coefficients</w:t>
      </w:r>
      <w:r>
        <w:t xml:space="preserve"> </w:t>
      </w:r>
      <m:oMath>
        <m:sSub>
          <m:e>
            <m:r>
              <m:t>c</m:t>
            </m:r>
          </m:e>
          <m:sub>
            <m:r>
              <m:t>j</m:t>
            </m:r>
          </m:sub>
        </m:sSub>
      </m:oMath>
      <w:r>
        <w:t xml:space="preserve"> </w:t>
      </w:r>
      <w:r>
        <w:t xml:space="preserve">and</w:t>
      </w:r>
      <w:r>
        <w:t xml:space="preserve"> </w:t>
      </w:r>
      <m:oMath>
        <m:sSub>
          <m:e>
            <m:r>
              <m:t>g</m:t>
            </m:r>
          </m:e>
          <m:sub>
            <m:r>
              <m:t>j</m:t>
            </m:r>
          </m:sub>
        </m:sSub>
      </m:oMath>
      <w:r>
        <w:t xml:space="preserve"> </w:t>
      </w:r>
      <w:r>
        <w:t xml:space="preserve">are annualised £ per MW-year and kg CO₂e per MW-year. Costs are capital expenditure plus fixed operating cost at each technology’s own hurdle rate; embodied carbon is amortised over the asset’s life. The annualised cost of an asset is the standard capital recovery factor applied to its capital cost:</w:t>
      </w:r>
    </w:p>
    <w:p>
      <w:pPr>
        <w:pStyle w:val="BodyText"/>
      </w:pPr>
      <m:oMathPara>
        <m:oMathParaPr>
          <m:jc m:val="center"/>
        </m:oMathParaPr>
        <m:oMath>
          <m:sSub>
            <m:e>
              <m:r>
                <m:t>c</m:t>
              </m:r>
            </m:e>
            <m:sub>
              <m:r>
                <m:t>j</m:t>
              </m:r>
            </m:sub>
          </m:sSub>
          <m:r>
            <m:t> </m:t>
          </m:r>
          <m:r>
            <m:rPr>
              <m:sty m:val="p"/>
            </m:rPr>
            <m:t>=</m:t>
          </m:r>
          <m:r>
            <m:t> </m:t>
          </m:r>
          <m:sSub>
            <m:e>
              <m:r>
                <m:t>A</m:t>
              </m:r>
            </m:e>
            <m:sub>
              <m:r>
                <m:t>j</m:t>
              </m:r>
            </m:sub>
          </m:sSub>
          <m:r>
            <m:rPr>
              <m:sty m:val="p"/>
            </m:rPr>
            <m:t>⋅</m:t>
          </m:r>
          <m:f>
            <m:fPr>
              <m:type m:val="bar"/>
            </m:fPr>
            <m:num>
              <m:sSub>
                <m:e>
                  <m:r>
                    <m:t>r</m:t>
                  </m:r>
                </m:e>
                <m:sub>
                  <m:r>
                    <m:t>j</m:t>
                  </m:r>
                </m:sub>
              </m:sSub>
              <m:sSup>
                <m:e>
                  <m:d>
                    <m:dPr>
                      <m:begChr m:val="("/>
                      <m:endChr m:val=")"/>
                      <m:sepChr m:val=""/>
                      <m:grow/>
                    </m:dPr>
                    <m:e>
                      <m:r>
                        <m:t>1</m:t>
                      </m:r>
                      <m:r>
                        <m:rPr>
                          <m:sty m:val="p"/>
                        </m:rPr>
                        <m:t>+</m:t>
                      </m:r>
                      <m:sSub>
                        <m:e>
                          <m:r>
                            <m:t>r</m:t>
                          </m:r>
                        </m:e>
                        <m:sub>
                          <m:r>
                            <m:t>j</m:t>
                          </m:r>
                        </m:sub>
                      </m:sSub>
                    </m:e>
                  </m:d>
                </m:e>
                <m:sup>
                  <m:sSub>
                    <m:e>
                      <m:r>
                        <m:t>L</m:t>
                      </m:r>
                    </m:e>
                    <m:sub>
                      <m:r>
                        <m:t>j</m:t>
                      </m:r>
                    </m:sub>
                  </m:sSub>
                </m:sup>
              </m:sSup>
            </m:num>
            <m:den>
              <m:sSup>
                <m:e>
                  <m:d>
                    <m:dPr>
                      <m:begChr m:val="("/>
                      <m:endChr m:val=")"/>
                      <m:sepChr m:val=""/>
                      <m:grow/>
                    </m:dPr>
                    <m:e>
                      <m:r>
                        <m:t>1</m:t>
                      </m:r>
                      <m:r>
                        <m:rPr>
                          <m:sty m:val="p"/>
                        </m:rPr>
                        <m:t>+</m:t>
                      </m:r>
                      <m:sSub>
                        <m:e>
                          <m:r>
                            <m:t>r</m:t>
                          </m:r>
                        </m:e>
                        <m:sub>
                          <m:r>
                            <m:t>j</m:t>
                          </m:r>
                        </m:sub>
                      </m:sSub>
                    </m:e>
                  </m:d>
                </m:e>
                <m:sup>
                  <m:sSub>
                    <m:e>
                      <m:r>
                        <m:t>L</m:t>
                      </m:r>
                    </m:e>
                    <m:sub>
                      <m:r>
                        <m:t>j</m:t>
                      </m:r>
                    </m:sub>
                  </m:sSub>
                </m:sup>
              </m:sSup>
              <m:r>
                <m:rPr>
                  <m:sty m:val="p"/>
                </m:rPr>
                <m:t>−</m:t>
              </m:r>
              <m:r>
                <m:t>1</m:t>
              </m:r>
            </m:den>
          </m:f>
          <m:r>
            <m:t> </m:t>
          </m:r>
          <m:r>
            <m:rPr>
              <m:sty m:val="p"/>
            </m:rPr>
            <m:t>+</m:t>
          </m:r>
          <m:r>
            <m:t> </m:t>
          </m:r>
          <m:sSub>
            <m:e>
              <m:r>
                <m:t>F</m:t>
              </m:r>
            </m:e>
            <m:sub>
              <m:r>
                <m:t>j</m:t>
              </m:r>
            </m:sub>
          </m:sSub>
        </m:oMath>
      </m:oMathPara>
    </w:p>
    <w:p>
      <w:pPr>
        <w:pStyle w:val="FirstParagraph"/>
      </w:pPr>
      <w:r>
        <w:t xml:space="preserve">with</w:t>
      </w:r>
      <w:r>
        <w:t xml:space="preserve"> </w:t>
      </w:r>
      <m:oMath>
        <m:sSub>
          <m:e>
            <m:r>
              <m:t>r</m:t>
            </m:r>
          </m:e>
          <m:sub>
            <m:r>
              <m:t>j</m:t>
            </m:r>
          </m:sub>
        </m:sSub>
      </m:oMath>
      <w:r>
        <w:t xml:space="preserve"> </w:t>
      </w:r>
      <w:r>
        <w:t xml:space="preserve">the technology’s discount rate and</w:t>
      </w:r>
      <w:r>
        <w:t xml:space="preserve"> </w:t>
      </w:r>
      <m:oMath>
        <m:sSub>
          <m:e>
            <m:r>
              <m:t>L</m:t>
            </m:r>
          </m:e>
          <m:sub>
            <m:r>
              <m:t>j</m:t>
            </m:r>
          </m:sub>
        </m:sSub>
      </m:oMath>
      <w:r>
        <w:t xml:space="preserve"> </w:t>
      </w:r>
      <w:r>
        <w:t xml:space="preserve">its life in years.</w:t>
      </w:r>
      <w:r>
        <w:t xml:space="preserve"> </w:t>
      </w:r>
      <m:oMath>
        <m:sSub>
          <m:e>
            <m:r>
              <m:t>ρ</m:t>
            </m:r>
          </m:e>
          <m:sub>
            <m:r>
              <m:t>k</m:t>
            </m:r>
          </m:sub>
        </m:sSub>
      </m:oMath>
      <w:r>
        <w:t xml:space="preserve"> </w:t>
      </w:r>
      <w:r>
        <w:t xml:space="preserve">and</w:t>
      </w:r>
      <w:r>
        <w:t xml:space="preserve"> </w:t>
      </w:r>
      <m:oMath>
        <m:sSub>
          <m:e>
            <m:r>
              <m:t>γ</m:t>
            </m:r>
          </m:e>
          <m:sub>
            <m:r>
              <m:t>k</m:t>
            </m:r>
          </m:sub>
        </m:sSub>
      </m:oMath>
      <w:r>
        <w:t xml:space="preserve"> </w:t>
      </w:r>
      <w:r>
        <w:t xml:space="preserve">are the price and gate-level carbon burden of bought hydrogen colour</w:t>
      </w:r>
      <w:r>
        <w:t xml:space="preserve"> </w:t>
      </w:r>
      <m:oMath>
        <m:r>
          <m:t>k</m:t>
        </m:r>
      </m:oMath>
      <w:r>
        <w:t xml:space="preserve">;</w:t>
      </w:r>
      <w:r>
        <w:t xml:space="preserve"> </w:t>
      </w:r>
      <m:oMath>
        <m:sSub>
          <m:e>
            <m:r>
              <m:t>C</m:t>
            </m:r>
          </m:e>
          <m:sub>
            <m:r>
              <m:t>0</m:t>
            </m:r>
          </m:sub>
        </m:sSub>
      </m:oMath>
      <w:r>
        <w:t xml:space="preserve"> </w:t>
      </w:r>
      <w:r>
        <w:t xml:space="preserve">and</w:t>
      </w:r>
      <w:r>
        <w:t xml:space="preserve"> </w:t>
      </w:r>
      <m:oMath>
        <m:sSub>
          <m:e>
            <m:r>
              <m:t>G</m:t>
            </m:r>
          </m:e>
          <m:sub>
            <m:r>
              <m:t>0</m:t>
            </m:r>
          </m:sub>
        </m:sSub>
      </m:oMath>
      <w:r>
        <w:t xml:space="preserve"> </w:t>
      </w:r>
      <w:r>
        <w:t xml:space="preserve">carry the connection’s fixed charges and the facility’s own embodied burden;</w:t>
      </w:r>
      <w:r>
        <w:t xml:space="preserve"> </w:t>
      </w:r>
      <m:oMath>
        <m:r>
          <m:t>V</m:t>
        </m:r>
      </m:oMath>
      <w:r>
        <w:t xml:space="preserve"> </w:t>
      </w:r>
      <w:r>
        <w:t xml:space="preserve">is the penalty on unserved energy. The capacity sum</w:t>
      </w:r>
      <w:r>
        <w:t xml:space="preserve"> </w:t>
      </w:r>
      <m:oMath>
        <m:nary>
          <m:naryPr>
            <m:chr m:val="∑"/>
            <m:limLoc m:val="undOvr"/>
            <m:subHide m:val="off"/>
            <m:supHide m:val="on"/>
          </m:naryPr>
          <m:sub>
            <m:r>
              <m:t>j</m:t>
            </m:r>
          </m:sub>
          <m:sup>
            <m:r>
              <m:t>​</m:t>
            </m:r>
          </m:sup>
          <m:e>
            <m:sSub>
              <m:e>
                <m:r>
                  <m:t>g</m:t>
                </m:r>
              </m:e>
              <m:sub>
                <m:r>
                  <m:t>j</m:t>
                </m:r>
              </m:sub>
            </m:sSub>
          </m:e>
        </m:nary>
        <m:sSub>
          <m:e>
            <m:r>
              <m:t>K</m:t>
            </m:r>
          </m:e>
          <m:sub>
            <m:r>
              <m:t>j</m:t>
            </m:r>
          </m:sub>
        </m:sSub>
      </m:oMath>
      <w:r>
        <w:t xml:space="preserve"> </w:t>
      </w:r>
      <w:r>
        <w:t xml:space="preserve">includes the step-up transformers, charged on capacity rather than output, because a transformer is sized to the peak it must pass and does not care how many hours a year that happens.</w:t>
      </w:r>
    </w:p>
    <w:bookmarkEnd w:id="29"/>
    <w:bookmarkStart w:id="30" w:name="constraints"/>
    <w:p>
      <w:pPr>
        <w:pStyle w:val="Heading2"/>
      </w:pPr>
      <w:r>
        <w:t xml:space="preserve">5.3 Constraints</w:t>
      </w:r>
    </w:p>
    <w:p>
      <w:pPr>
        <w:pStyle w:val="FirstParagraph"/>
      </w:pPr>
      <w:r>
        <w:rPr>
          <w:bCs/>
          <w:b/>
        </w:rPr>
        <w:t xml:space="preserve">(1) Energy balance at the site busbar, in every period.</w:t>
      </w:r>
      <w:r>
        <w:t xml:space="preserve"> </w:t>
      </w:r>
      <w:r>
        <w:t xml:space="preserve">One node, no internal network:</w:t>
      </w:r>
    </w:p>
    <w:p>
      <w:pPr>
        <w:pStyle w:val="BodyText"/>
      </w:pPr>
      <m:oMathPara>
        <m:oMathParaPr>
          <m:jc m:val="center"/>
        </m:oMathParaPr>
        <m:oMath>
          <m:sSubSup>
            <m:e>
              <m:r>
                <m:t>p</m:t>
              </m:r>
            </m:e>
            <m:sub>
              <m:r>
                <m:t>t</m:t>
              </m:r>
            </m:sub>
            <m:sup>
              <m:r>
                <m:rPr>
                  <m:sty m:val="p"/>
                </m:rPr>
                <m:t>w</m:t>
              </m:r>
            </m:sup>
          </m:sSubSup>
          <m:r>
            <m:rPr>
              <m:sty m:val="p"/>
            </m:rPr>
            <m:t>+</m:t>
          </m:r>
          <m:sSubSup>
            <m:e>
              <m:r>
                <m:t>p</m:t>
              </m:r>
            </m:e>
            <m:sub>
              <m:r>
                <m:t>t</m:t>
              </m:r>
            </m:sub>
            <m:sup>
              <m:r>
                <m:rPr>
                  <m:sty m:val="p"/>
                </m:rPr>
                <m:t>o</m:t>
              </m:r>
            </m:sup>
          </m:sSubSup>
          <m:r>
            <m:rPr>
              <m:sty m:val="p"/>
            </m:rPr>
            <m:t>+</m:t>
          </m:r>
          <m:sSubSup>
            <m:e>
              <m:r>
                <m:t>p</m:t>
              </m:r>
            </m:e>
            <m:sub>
              <m:r>
                <m:t>t</m:t>
              </m:r>
            </m:sub>
            <m:sup>
              <m:r>
                <m:rPr>
                  <m:sty m:val="p"/>
                </m:rPr>
                <m:t>s</m:t>
              </m:r>
            </m:sup>
          </m:sSubSup>
          <m:r>
            <m:rPr>
              <m:sty m:val="p"/>
            </m:rPr>
            <m:t>+</m:t>
          </m:r>
          <m:sSubSup>
            <m:e>
              <m:r>
                <m:t>q</m:t>
              </m:r>
            </m:e>
            <m:sub>
              <m:r>
                <m:t>t</m:t>
              </m:r>
            </m:sub>
            <m:sup>
              <m:r>
                <m:rPr>
                  <m:sty m:val="p"/>
                </m:rPr>
                <m:t>d</m:t>
              </m:r>
            </m:sup>
          </m:sSubSup>
          <m:r>
            <m:rPr>
              <m:sty m:val="p"/>
            </m:rPr>
            <m:t>+</m:t>
          </m:r>
          <m:sSubSup>
            <m:e>
              <m:r>
                <m:t>p</m:t>
              </m:r>
            </m:e>
            <m:sub>
              <m:r>
                <m:t>t</m:t>
              </m:r>
            </m:sub>
            <m:sup>
              <m:r>
                <m:rPr>
                  <m:sty m:val="p"/>
                </m:rPr>
                <m:t>f</m:t>
              </m:r>
            </m:sup>
          </m:sSubSup>
          <m:r>
            <m:rPr>
              <m:sty m:val="p"/>
            </m:rPr>
            <m:t>+</m:t>
          </m:r>
          <m:sSub>
            <m:e>
              <m:r>
                <m:t>i</m:t>
              </m:r>
            </m:e>
            <m:sub>
              <m:r>
                <m:t>t</m:t>
              </m:r>
            </m:sub>
          </m:sSub>
          <m:r>
            <m:rPr>
              <m:sty m:val="p"/>
            </m:rPr>
            <m:t>+</m:t>
          </m:r>
          <m:sSub>
            <m:e>
              <m:r>
                <m:t>u</m:t>
              </m:r>
            </m:e>
            <m:sub>
              <m:r>
                <m:t>t</m:t>
              </m:r>
            </m:sub>
          </m:sSub>
          <m:r>
            <m:t> </m:t>
          </m:r>
          <m:r>
            <m:rPr>
              <m:sty m:val="p"/>
            </m:rPr>
            <m:t>−</m:t>
          </m:r>
          <m:r>
            <m:t> </m:t>
          </m:r>
          <m:sSubSup>
            <m:e>
              <m:r>
                <m:t>q</m:t>
              </m:r>
            </m:e>
            <m:sub>
              <m:r>
                <m:t>t</m:t>
              </m:r>
            </m:sub>
            <m:sup>
              <m:r>
                <m:rPr>
                  <m:sty m:val="p"/>
                </m:rPr>
                <m:t>c</m:t>
              </m:r>
            </m:sup>
          </m:sSubSup>
          <m:r>
            <m:t> </m:t>
          </m:r>
          <m:r>
            <m:rPr>
              <m:sty m:val="p"/>
            </m:rPr>
            <m:t>−</m:t>
          </m:r>
          <m:r>
            <m:t> </m:t>
          </m:r>
          <m:sSubSup>
            <m:e>
              <m:r>
                <m:t>p</m:t>
              </m:r>
            </m:e>
            <m:sub>
              <m:r>
                <m:t>t</m:t>
              </m:r>
            </m:sub>
            <m:sup>
              <m:r>
                <m:rPr>
                  <m:sty m:val="p"/>
                </m:rPr>
                <m:t>e</m:t>
              </m:r>
            </m:sup>
          </m:sSubSup>
          <m:r>
            <m:t> </m:t>
          </m:r>
          <m:r>
            <m:rPr>
              <m:sty m:val="p"/>
            </m:rPr>
            <m:t>−</m:t>
          </m:r>
          <m:r>
            <m:t> </m:t>
          </m:r>
          <m:sSub>
            <m:e>
              <m:r>
                <m:t>x</m:t>
              </m:r>
            </m:e>
            <m:sub>
              <m:r>
                <m:t>t</m:t>
              </m:r>
            </m:sub>
          </m:sSub>
          <m:r>
            <m:t> </m:t>
          </m:r>
          <m:r>
            <m:rPr>
              <m:sty m:val="p"/>
            </m:rPr>
            <m:t>=</m:t>
          </m:r>
          <m:r>
            <m:t> </m:t>
          </m:r>
          <m:sSub>
            <m:e>
              <m:r>
                <m:t>D</m:t>
              </m:r>
            </m:e>
            <m:sub>
              <m:r>
                <m:t>t</m:t>
              </m:r>
            </m:sub>
          </m:sSub>
          <m:r>
            <m:t>  </m:t>
          </m:r>
          <m:r>
            <m:rPr>
              <m:sty m:val="p"/>
            </m:rPr>
            <m:t>∀</m:t>
          </m:r>
          <m:r>
            <m:t> </m:t>
          </m:r>
          <m:r>
            <m:t>t</m:t>
          </m:r>
        </m:oMath>
      </m:oMathPara>
    </w:p>
    <w:p>
      <w:pPr>
        <w:pStyle w:val="FirstParagraph"/>
      </w:pPr>
      <w:r>
        <w:t xml:space="preserve">Generation that is not consumed is curtailed, because (2) is an inequality rather than an equality.</w:t>
      </w:r>
    </w:p>
    <w:p>
      <w:pPr>
        <w:pStyle w:val="BodyText"/>
      </w:pPr>
      <w:r>
        <w:rPr>
          <w:bCs/>
          <w:b/>
        </w:rPr>
        <w:t xml:space="preserve">(2) Resource availability.</w:t>
      </w:r>
      <w:r>
        <w:t xml:space="preserve"> </w:t>
      </w:r>
      <w:r>
        <w:t xml:space="preserve">Output cannot exceed what the weather allows:</w:t>
      </w:r>
    </w:p>
    <w:p>
      <w:pPr>
        <w:pStyle w:val="BodyText"/>
      </w:pPr>
      <m:oMathPara>
        <m:oMathParaPr>
          <m:jc m:val="center"/>
        </m:oMathParaPr>
        <m:oMath>
          <m:sSubSup>
            <m:e>
              <m:r>
                <m:t>p</m:t>
              </m:r>
            </m:e>
            <m:sub>
              <m:r>
                <m:t>t</m:t>
              </m:r>
            </m:sub>
            <m:sup>
              <m:r>
                <m:rPr>
                  <m:sty m:val="p"/>
                </m:rPr>
                <m:t>w</m:t>
              </m:r>
            </m:sup>
          </m:sSubSup>
          <m:r>
            <m:rPr>
              <m:sty m:val="p"/>
            </m:rPr>
            <m:t>≤</m:t>
          </m:r>
          <m:sSubSup>
            <m:e>
              <m:r>
                <m:t>f</m:t>
              </m:r>
            </m:e>
            <m:sub>
              <m:r>
                <m:t>t</m:t>
              </m:r>
            </m:sub>
            <m:sup>
              <m:r>
                <m:rPr>
                  <m:sty m:val="p"/>
                </m:rPr>
                <m:t>w</m:t>
              </m:r>
            </m:sup>
          </m:sSubSup>
          <m:r>
            <m:t> </m:t>
          </m:r>
          <m:sSub>
            <m:e>
              <m:r>
                <m:t>K</m:t>
              </m:r>
            </m:e>
            <m:sub>
              <m:r>
                <m:rPr>
                  <m:sty m:val="p"/>
                </m:rPr>
                <m:t>w</m:t>
              </m:r>
            </m:sub>
          </m:sSub>
          <m:r>
            <m:rPr>
              <m:sty m:val="p"/>
            </m:rPr>
            <m:t>,</m:t>
          </m:r>
          <m:r>
            <m:t>  </m:t>
          </m:r>
          <m:sSubSup>
            <m:e>
              <m:r>
                <m:t>p</m:t>
              </m:r>
            </m:e>
            <m:sub>
              <m:r>
                <m:t>t</m:t>
              </m:r>
            </m:sub>
            <m:sup>
              <m:r>
                <m:rPr>
                  <m:sty m:val="p"/>
                </m:rPr>
                <m:t>o</m:t>
              </m:r>
            </m:sup>
          </m:sSubSup>
          <m:r>
            <m:rPr>
              <m:sty m:val="p"/>
            </m:rPr>
            <m:t>≤</m:t>
          </m:r>
          <m:sSubSup>
            <m:e>
              <m:r>
                <m:t>f</m:t>
              </m:r>
            </m:e>
            <m:sub>
              <m:r>
                <m:t>t</m:t>
              </m:r>
            </m:sub>
            <m:sup>
              <m:r>
                <m:rPr>
                  <m:sty m:val="p"/>
                </m:rPr>
                <m:t>o</m:t>
              </m:r>
            </m:sup>
          </m:sSubSup>
          <m:r>
            <m:t> </m:t>
          </m:r>
          <m:sSub>
            <m:e>
              <m:r>
                <m:t>K</m:t>
              </m:r>
            </m:e>
            <m:sub>
              <m:r>
                <m:rPr>
                  <m:sty m:val="p"/>
                </m:rPr>
                <m:t>o</m:t>
              </m:r>
            </m:sub>
          </m:sSub>
          <m:r>
            <m:rPr>
              <m:sty m:val="p"/>
            </m:rPr>
            <m:t>,</m:t>
          </m:r>
          <m:r>
            <m:t>  </m:t>
          </m:r>
          <m:sSubSup>
            <m:e>
              <m:r>
                <m:t>p</m:t>
              </m:r>
            </m:e>
            <m:sub>
              <m:r>
                <m:t>t</m:t>
              </m:r>
            </m:sub>
            <m:sup>
              <m:r>
                <m:rPr>
                  <m:sty m:val="p"/>
                </m:rPr>
                <m:t>s</m:t>
              </m:r>
            </m:sup>
          </m:sSubSup>
          <m:r>
            <m:rPr>
              <m:sty m:val="p"/>
            </m:rPr>
            <m:t>≤</m:t>
          </m:r>
          <m:sSubSup>
            <m:e>
              <m:r>
                <m:t>f</m:t>
              </m:r>
            </m:e>
            <m:sub>
              <m:r>
                <m:t>t</m:t>
              </m:r>
            </m:sub>
            <m:sup>
              <m:r>
                <m:rPr>
                  <m:sty m:val="p"/>
                </m:rPr>
                <m:t>s</m:t>
              </m:r>
            </m:sup>
          </m:sSubSup>
          <m:r>
            <m:t> </m:t>
          </m:r>
          <m:sSub>
            <m:e>
              <m:r>
                <m:t>K</m:t>
              </m:r>
            </m:e>
            <m:sub>
              <m:r>
                <m:rPr>
                  <m:sty m:val="p"/>
                </m:rPr>
                <m:t>s</m:t>
              </m:r>
            </m:sub>
          </m:sSub>
        </m:oMath>
      </m:oMathPara>
    </w:p>
    <w:p>
      <w:pPr>
        <w:pStyle w:val="FirstParagraph"/>
      </w:pPr>
      <w:r>
        <w:rPr>
          <w:bCs/>
          <w:b/>
        </w:rPr>
        <w:t xml:space="preserve">(3–5) Battery.</w:t>
      </w:r>
      <w:r>
        <w:t xml:space="preserve"> </w:t>
      </w:r>
      <w:r>
        <w:t xml:space="preserve">Power and energy are sized separately, and the state of charge carries across the window:</w:t>
      </w:r>
    </w:p>
    <w:p>
      <w:pPr>
        <w:pStyle w:val="BodyText"/>
      </w:pPr>
      <m:oMathPara>
        <m:oMathParaPr>
          <m:jc m:val="center"/>
        </m:oMathParaPr>
        <m:oMath>
          <m:sSubSup>
            <m:e>
              <m:r>
                <m:t>q</m:t>
              </m:r>
            </m:e>
            <m:sub>
              <m:r>
                <m:t>t</m:t>
              </m:r>
            </m:sub>
            <m:sup>
              <m:r>
                <m:rPr>
                  <m:sty m:val="p"/>
                </m:rPr>
                <m:t>c</m:t>
              </m:r>
            </m:sup>
          </m:sSubSup>
          <m:r>
            <m:rPr>
              <m:sty m:val="p"/>
            </m:rPr>
            <m:t>,</m:t>
          </m:r>
          <m:r>
            <m:t> </m:t>
          </m:r>
          <m:sSubSup>
            <m:e>
              <m:r>
                <m:t>q</m:t>
              </m:r>
            </m:e>
            <m:sub>
              <m:r>
                <m:t>t</m:t>
              </m:r>
            </m:sub>
            <m:sup>
              <m:r>
                <m:rPr>
                  <m:sty m:val="p"/>
                </m:rPr>
                <m:t>d</m:t>
              </m:r>
            </m:sup>
          </m:sSubSup>
          <m:r>
            <m:t> </m:t>
          </m:r>
          <m:r>
            <m:rPr>
              <m:sty m:val="p"/>
            </m:rPr>
            <m:t>≤</m:t>
          </m:r>
          <m:r>
            <m:t> </m:t>
          </m:r>
          <m:sSubSup>
            <m:e>
              <m:r>
                <m:t>K</m:t>
              </m:r>
            </m:e>
            <m:sub>
              <m:r>
                <m:rPr>
                  <m:sty m:val="p"/>
                </m:rPr>
                <m:t>b</m:t>
              </m:r>
            </m:sub>
            <m:sup>
              <m:r>
                <m:t>P</m:t>
              </m:r>
            </m:sup>
          </m:sSubSup>
          <m:r>
            <m:rPr>
              <m:sty m:val="p"/>
            </m:rPr>
            <m:t>,</m:t>
          </m:r>
          <m:r>
            <m:t>  </m:t>
          </m:r>
          <m:sSub>
            <m:e>
              <m:r>
                <m:t>S</m:t>
              </m:r>
            </m:e>
            <m:sub>
              <m:r>
                <m:t>t</m:t>
              </m:r>
            </m:sub>
          </m:sSub>
          <m:r>
            <m:t> </m:t>
          </m:r>
          <m:r>
            <m:rPr>
              <m:sty m:val="p"/>
            </m:rPr>
            <m:t>≤</m:t>
          </m:r>
          <m:r>
            <m:t> </m:t>
          </m:r>
          <m:sSubSup>
            <m:e>
              <m:r>
                <m:t>K</m:t>
              </m:r>
            </m:e>
            <m:sub>
              <m:r>
                <m:rPr>
                  <m:sty m:val="p"/>
                </m:rPr>
                <m:t>b</m:t>
              </m:r>
            </m:sub>
            <m:sup>
              <m:r>
                <m:t>E</m:t>
              </m:r>
            </m:sup>
          </m:sSubSup>
        </m:oMath>
      </m:oMathPara>
    </w:p>
    <w:p>
      <w:pPr>
        <w:pStyle w:val="FirstParagraph"/>
      </w:pPr>
      <m:oMathPara>
        <m:oMathParaPr>
          <m:jc m:val="center"/>
        </m:oMathParaPr>
        <m:oMath>
          <m:sSub>
            <m:e>
              <m:r>
                <m:t>S</m:t>
              </m:r>
            </m:e>
            <m:sub>
              <m:r>
                <m:t>t</m:t>
              </m:r>
            </m:sub>
          </m:sSub>
          <m:r>
            <m:t> </m:t>
          </m:r>
          <m:r>
            <m:rPr>
              <m:sty m:val="p"/>
            </m:rPr>
            <m:t>=</m:t>
          </m:r>
          <m:r>
            <m:t> </m:t>
          </m:r>
          <m:d>
            <m:dPr>
              <m:begChr m:val="("/>
              <m:endChr m:val=")"/>
              <m:sepChr m:val=""/>
              <m:grow/>
            </m:dPr>
            <m:e>
              <m:r>
                <m:t>1</m:t>
              </m:r>
              <m:r>
                <m:rPr>
                  <m:sty m:val="p"/>
                </m:rPr>
                <m:t>−</m:t>
              </m:r>
              <m:sSub>
                <m:e>
                  <m:r>
                    <m:t>λ</m:t>
                  </m:r>
                </m:e>
                <m:sub>
                  <m:r>
                    <m:rPr>
                      <m:sty m:val="p"/>
                    </m:rPr>
                    <m:t>b</m:t>
                  </m:r>
                </m:sub>
              </m:sSub>
              <m:r>
                <m:t>Δ</m:t>
              </m:r>
              <m:r>
                <m:t>t</m:t>
              </m:r>
            </m:e>
          </m:d>
          <m:sSub>
            <m:e>
              <m:r>
                <m:t>S</m:t>
              </m:r>
            </m:e>
            <m:sub>
              <m:r>
                <m:t>t</m:t>
              </m:r>
              <m:r>
                <m:rPr>
                  <m:sty m:val="p"/>
                </m:rPr>
                <m:t>−</m:t>
              </m:r>
              <m:r>
                <m:t>1</m:t>
              </m:r>
            </m:sub>
          </m:sSub>
          <m:r>
            <m:t> </m:t>
          </m:r>
          <m:r>
            <m:rPr>
              <m:sty m:val="p"/>
            </m:rPr>
            <m:t>+</m:t>
          </m:r>
          <m:r>
            <m:t> </m:t>
          </m:r>
          <m:r>
            <m:t>Δ</m:t>
          </m:r>
          <m:r>
            <m:t>t</m:t>
          </m:r>
          <m:d>
            <m:dPr>
              <m:begChr m:val="("/>
              <m:endChr m:val=")"/>
              <m:sepChr m:val=""/>
              <m:grow/>
            </m:dPr>
            <m:e>
              <m:r>
                <m:t>η</m:t>
              </m:r>
              <m:r>
                <m:t> </m:t>
              </m:r>
              <m:sSubSup>
                <m:e>
                  <m:r>
                    <m:t>q</m:t>
                  </m:r>
                </m:e>
                <m:sub>
                  <m:r>
                    <m:t>t</m:t>
                  </m:r>
                </m:sub>
                <m:sup>
                  <m:r>
                    <m:rPr>
                      <m:sty m:val="p"/>
                    </m:rPr>
                    <m:t>c</m:t>
                  </m:r>
                </m:sup>
              </m:sSubSup>
              <m:r>
                <m:rPr>
                  <m:sty m:val="p"/>
                </m:rPr>
                <m:t>−</m:t>
              </m:r>
              <m:f>
                <m:fPr>
                  <m:type m:val="bar"/>
                </m:fPr>
                <m:num>
                  <m:sSubSup>
                    <m:e>
                      <m:r>
                        <m:t>q</m:t>
                      </m:r>
                    </m:e>
                    <m:sub>
                      <m:r>
                        <m:t>t</m:t>
                      </m:r>
                    </m:sub>
                    <m:sup>
                      <m:r>
                        <m:rPr>
                          <m:sty m:val="p"/>
                        </m:rPr>
                        <m:t>d</m:t>
                      </m:r>
                    </m:sup>
                  </m:sSubSup>
                </m:num>
                <m:den>
                  <m:r>
                    <m:t>η</m:t>
                  </m:r>
                </m:den>
              </m:f>
            </m:e>
          </m:d>
          <m:r>
            <m:rPr>
              <m:sty m:val="p"/>
            </m:rPr>
            <m:t>,</m:t>
          </m:r>
          <m:r>
            <m:t>  </m:t>
          </m:r>
          <m:r>
            <m:t>η</m:t>
          </m:r>
          <m:r>
            <m:rPr>
              <m:sty m:val="p"/>
            </m:rPr>
            <m:t>=</m:t>
          </m:r>
          <m:rad>
            <m:radPr>
              <m:degHide m:val="on"/>
            </m:radPr>
            <m:deg/>
            <m:e>
              <m:sSub>
                <m:e>
                  <m:r>
                    <m:t>η</m:t>
                  </m:r>
                </m:e>
                <m:sub>
                  <m:r>
                    <m:t>0</m:t>
                  </m:r>
                </m:sub>
              </m:sSub>
            </m:e>
          </m:rad>
        </m:oMath>
      </m:oMathPara>
    </w:p>
    <w:p>
      <w:pPr>
        <w:pStyle w:val="FirstParagraph"/>
      </w:pPr>
      <w:r>
        <w:t xml:space="preserve">cyclic over the window, so the model cannot finance itself by draining a battery it never refills.</w:t>
      </w:r>
    </w:p>
    <w:p>
      <w:pPr>
        <w:pStyle w:val="BodyText"/>
      </w:pPr>
      <w:r>
        <w:rPr>
          <w:bCs/>
          <w:b/>
        </w:rPr>
        <w:t xml:space="preserve">(6–8) Hydrogen.</w:t>
      </w:r>
      <w:r>
        <w:t xml:space="preserve"> </w:t>
      </w:r>
      <w:r>
        <w:t xml:space="preserve">The electrolyser, fuel cell and tank are three separately sized assets on one mass balance:</w:t>
      </w:r>
    </w:p>
    <w:p>
      <w:pPr>
        <w:pStyle w:val="BodyText"/>
      </w:pPr>
      <m:oMathPara>
        <m:oMathParaPr>
          <m:jc m:val="center"/>
        </m:oMathParaPr>
        <m:oMath>
          <m:sSubSup>
            <m:e>
              <m:r>
                <m:t>p</m:t>
              </m:r>
            </m:e>
            <m:sub>
              <m:r>
                <m:t>t</m:t>
              </m:r>
            </m:sub>
            <m:sup>
              <m:r>
                <m:rPr>
                  <m:sty m:val="p"/>
                </m:rPr>
                <m:t>e</m:t>
              </m:r>
            </m:sup>
          </m:sSubSup>
          <m:r>
            <m:rPr>
              <m:sty m:val="p"/>
            </m:rPr>
            <m:t>≤</m:t>
          </m:r>
          <m:sSub>
            <m:e>
              <m:r>
                <m:t>K</m:t>
              </m:r>
            </m:e>
            <m:sub>
              <m:r>
                <m:rPr>
                  <m:sty m:val="p"/>
                </m:rPr>
                <m:t>e</m:t>
              </m:r>
            </m:sub>
          </m:sSub>
          <m:r>
            <m:rPr>
              <m:sty m:val="p"/>
            </m:rPr>
            <m:t>,</m:t>
          </m:r>
          <m:r>
            <m:t>  </m:t>
          </m:r>
          <m:sSubSup>
            <m:e>
              <m:r>
                <m:t>p</m:t>
              </m:r>
            </m:e>
            <m:sub>
              <m:r>
                <m:t>t</m:t>
              </m:r>
            </m:sub>
            <m:sup>
              <m:r>
                <m:rPr>
                  <m:sty m:val="p"/>
                </m:rPr>
                <m:t>f</m:t>
              </m:r>
            </m:sup>
          </m:sSubSup>
          <m:r>
            <m:rPr>
              <m:sty m:val="p"/>
            </m:rPr>
            <m:t>≤</m:t>
          </m:r>
          <m:sSub>
            <m:e>
              <m:r>
                <m:t>K</m:t>
              </m:r>
            </m:e>
            <m:sub>
              <m:r>
                <m:rPr>
                  <m:sty m:val="p"/>
                </m:rPr>
                <m:t>f</m:t>
              </m:r>
            </m:sub>
          </m:sSub>
          <m:r>
            <m:rPr>
              <m:sty m:val="p"/>
            </m:rPr>
            <m:t>,</m:t>
          </m:r>
          <m:r>
            <m:t>  </m:t>
          </m:r>
          <m:sSub>
            <m:e>
              <m:r>
                <m:t>M</m:t>
              </m:r>
            </m:e>
            <m:sub>
              <m:r>
                <m:t>t</m:t>
              </m:r>
            </m:sub>
          </m:sSub>
          <m:r>
            <m:rPr>
              <m:sty m:val="p"/>
            </m:rPr>
            <m:t>≤</m:t>
          </m:r>
          <m:sSub>
            <m:e>
              <m:r>
                <m:t>K</m:t>
              </m:r>
            </m:e>
            <m:sub>
              <m:r>
                <m:rPr>
                  <m:sty m:val="p"/>
                </m:rPr>
                <m:t>h</m:t>
              </m:r>
            </m:sub>
          </m:sSub>
        </m:oMath>
      </m:oMathPara>
    </w:p>
    <w:p>
      <w:pPr>
        <w:pStyle w:val="FirstParagraph"/>
      </w:pPr>
      <m:oMathPara>
        <m:oMathParaPr>
          <m:jc m:val="center"/>
        </m:oMathParaPr>
        <m:oMath>
          <m:sSub>
            <m:e>
              <m:r>
                <m:t>M</m:t>
              </m:r>
            </m:e>
            <m:sub>
              <m:r>
                <m:t>t</m:t>
              </m:r>
            </m:sub>
          </m:sSub>
          <m:r>
            <m:t> </m:t>
          </m:r>
          <m:r>
            <m:rPr>
              <m:sty m:val="p"/>
            </m:rPr>
            <m:t>=</m:t>
          </m:r>
          <m:r>
            <m:t> </m:t>
          </m:r>
          <m:d>
            <m:dPr>
              <m:begChr m:val="("/>
              <m:endChr m:val=")"/>
              <m:sepChr m:val=""/>
              <m:grow/>
            </m:dPr>
            <m:e>
              <m:r>
                <m:t>1</m:t>
              </m:r>
              <m:r>
                <m:rPr>
                  <m:sty m:val="p"/>
                </m:rPr>
                <m:t>−</m:t>
              </m:r>
              <m:sSub>
                <m:e>
                  <m:r>
                    <m:t>λ</m:t>
                  </m:r>
                </m:e>
                <m:sub>
                  <m:r>
                    <m:rPr>
                      <m:sty m:val="p"/>
                    </m:rPr>
                    <m:t>h</m:t>
                  </m:r>
                </m:sub>
              </m:sSub>
              <m:r>
                <m:t>Δ</m:t>
              </m:r>
              <m:r>
                <m:t>t</m:t>
              </m:r>
            </m:e>
          </m:d>
          <m:sSub>
            <m:e>
              <m:r>
                <m:t>M</m:t>
              </m:r>
            </m:e>
            <m:sub>
              <m:r>
                <m:t>t</m:t>
              </m:r>
              <m:r>
                <m:rPr>
                  <m:sty m:val="p"/>
                </m:rPr>
                <m:t>−</m:t>
              </m:r>
              <m:r>
                <m:t>1</m:t>
              </m:r>
            </m:sub>
          </m:sSub>
          <m:r>
            <m:t> </m:t>
          </m:r>
          <m:r>
            <m:rPr>
              <m:sty m:val="p"/>
            </m:rPr>
            <m:t>+</m:t>
          </m:r>
          <m:r>
            <m:t> </m:t>
          </m:r>
          <m:sSub>
            <m:e>
              <m:r>
                <m:t>κ</m:t>
              </m:r>
            </m:e>
            <m:sub>
              <m:r>
                <m:rPr>
                  <m:sty m:val="p"/>
                </m:rPr>
                <m:t>e</m:t>
              </m:r>
            </m:sub>
          </m:sSub>
          <m:r>
            <m:t> </m:t>
          </m:r>
          <m:sSubSup>
            <m:e>
              <m:r>
                <m:t>p</m:t>
              </m:r>
            </m:e>
            <m:sub>
              <m:r>
                <m:t>t</m:t>
              </m:r>
            </m:sub>
            <m:sup>
              <m:r>
                <m:rPr>
                  <m:sty m:val="p"/>
                </m:rPr>
                <m:t>e</m:t>
              </m:r>
            </m:sup>
          </m:sSubSup>
          <m:r>
            <m:t> </m:t>
          </m:r>
          <m:r>
            <m:t>Δ</m:t>
          </m:r>
          <m:r>
            <m:t>t</m:t>
          </m:r>
          <m:r>
            <m:t> </m:t>
          </m:r>
          <m:r>
            <m:rPr>
              <m:sty m:val="p"/>
            </m:rPr>
            <m:t>+</m:t>
          </m:r>
          <m:r>
            <m:t> </m:t>
          </m:r>
          <m:nary>
            <m:naryPr>
              <m:chr m:val="∑"/>
              <m:limLoc m:val="undOvr"/>
              <m:subHide m:val="off"/>
              <m:supHide m:val="on"/>
            </m:naryPr>
            <m:sub>
              <m:r>
                <m:t>k</m:t>
              </m:r>
            </m:sub>
            <m:sup>
              <m:r>
                <m:t>​</m:t>
              </m:r>
            </m:sup>
            <m:e>
              <m:sSub>
                <m:e>
                  <m:r>
                    <m:t>m</m:t>
                  </m:r>
                </m:e>
                <m:sub>
                  <m:r>
                    <m:t>k</m:t>
                  </m:r>
                  <m:r>
                    <m:rPr>
                      <m:sty m:val="p"/>
                    </m:rPr>
                    <m:t>,</m:t>
                  </m:r>
                  <m:r>
                    <m:t>t</m:t>
                  </m:r>
                </m:sub>
              </m:sSub>
            </m:e>
          </m:nary>
          <m:r>
            <m:t> </m:t>
          </m:r>
          <m:r>
            <m:rPr>
              <m:sty m:val="p"/>
            </m:rPr>
            <m:t>−</m:t>
          </m:r>
          <m:r>
            <m:t> </m:t>
          </m:r>
          <m:sSub>
            <m:e>
              <m:r>
                <m:t>κ</m:t>
              </m:r>
            </m:e>
            <m:sub>
              <m:r>
                <m:rPr>
                  <m:sty m:val="p"/>
                </m:rPr>
                <m:t>f</m:t>
              </m:r>
            </m:sub>
          </m:sSub>
          <m:r>
            <m:t> </m:t>
          </m:r>
          <m:sSubSup>
            <m:e>
              <m:r>
                <m:t>p</m:t>
              </m:r>
            </m:e>
            <m:sub>
              <m:r>
                <m:t>t</m:t>
              </m:r>
            </m:sub>
            <m:sup>
              <m:r>
                <m:rPr>
                  <m:sty m:val="p"/>
                </m:rPr>
                <m:t>f</m:t>
              </m:r>
            </m:sup>
          </m:sSubSup>
          <m:r>
            <m:t> </m:t>
          </m:r>
          <m:r>
            <m:t>Δ</m:t>
          </m:r>
          <m:r>
            <m:t>t</m:t>
          </m:r>
        </m:oMath>
      </m:oMathPara>
    </w:p>
    <w:p>
      <w:pPr>
        <w:pStyle w:val="FirstParagraph"/>
      </w:pPr>
      <w:r>
        <w:t xml:space="preserve">also cyclic, with</w:t>
      </w:r>
      <w:r>
        <w:t xml:space="preserve"> </w:t>
      </w:r>
      <m:oMath>
        <m:sSub>
          <m:e>
            <m:r>
              <m:t>κ</m:t>
            </m:r>
          </m:e>
          <m:sub>
            <m:r>
              <m:rPr>
                <m:sty m:val="p"/>
              </m:rPr>
              <m:t>e</m:t>
            </m:r>
          </m:sub>
        </m:sSub>
      </m:oMath>
      <w:r>
        <w:t xml:space="preserve"> </w:t>
      </w:r>
      <w:r>
        <w:t xml:space="preserve">and</w:t>
      </w:r>
      <w:r>
        <w:t xml:space="preserve"> </w:t>
      </w:r>
      <m:oMath>
        <m:sSub>
          <m:e>
            <m:r>
              <m:t>κ</m:t>
            </m:r>
          </m:e>
          <m:sub>
            <m:r>
              <m:rPr>
                <m:sty m:val="p"/>
              </m:rPr>
              <m:t>f</m:t>
            </m:r>
          </m:sub>
        </m:sSub>
      </m:oMath>
      <w:r>
        <w:t xml:space="preserve"> </w:t>
      </w:r>
      <w:r>
        <w:t xml:space="preserve">the kilograms of hydrogen produced and consumed per MWh.</w:t>
      </w:r>
    </w:p>
    <w:p>
      <w:pPr>
        <w:pStyle w:val="BodyText"/>
      </w:pPr>
      <w:r>
        <w:rPr>
          <w:bCs/>
          <w:b/>
        </w:rPr>
        <w:t xml:space="preserve">(9) Grid connection.</w:t>
      </w:r>
      <w:r>
        <w:t xml:space="preserve"> </w:t>
      </w:r>
      <w:r>
        <w:t xml:space="preserve">The connection is itself a sized asset, bounded above by whatever the network operator will actually offer:</w:t>
      </w:r>
    </w:p>
    <w:p>
      <w:pPr>
        <w:pStyle w:val="BodyText"/>
      </w:pPr>
      <m:oMathPara>
        <m:oMathParaPr>
          <m:jc m:val="center"/>
        </m:oMathParaPr>
        <m:oMath>
          <m:sSub>
            <m:e>
              <m:r>
                <m:t>i</m:t>
              </m:r>
            </m:e>
            <m:sub>
              <m:r>
                <m:t>t</m:t>
              </m:r>
            </m:sub>
          </m:sSub>
          <m:r>
            <m:t> </m:t>
          </m:r>
          <m:r>
            <m:rPr>
              <m:sty m:val="p"/>
            </m:rPr>
            <m:t>≤</m:t>
          </m:r>
          <m:r>
            <m:t> </m:t>
          </m:r>
          <m:sSub>
            <m:e>
              <m:r>
                <m:t>K</m:t>
              </m:r>
            </m:e>
            <m:sub>
              <m:r>
                <m:rPr>
                  <m:sty m:val="p"/>
                </m:rPr>
                <m:t>g</m:t>
              </m:r>
            </m:sub>
          </m:sSub>
          <m:r>
            <m:t> </m:t>
          </m:r>
          <m:r>
            <m:rPr>
              <m:sty m:val="p"/>
            </m:rPr>
            <m:t>≤</m:t>
          </m:r>
          <m:r>
            <m:t> </m:t>
          </m:r>
          <m:sSub>
            <m:e>
              <m:bar>
                <m:barPr>
                  <m:pos m:val="top"/>
                </m:barPr>
                <m:e>
                  <m:r>
                    <m:t>K</m:t>
                  </m:r>
                </m:e>
              </m:bar>
            </m:e>
            <m:sub>
              <m:r>
                <m:rPr>
                  <m:sty m:val="p"/>
                </m:rPr>
                <m:t>g</m:t>
              </m:r>
            </m:sub>
          </m:sSub>
          <m:r>
            <m:rPr>
              <m:sty m:val="p"/>
            </m:rPr>
            <m:t>,</m:t>
          </m:r>
          <m:r>
            <m:t>  </m:t>
          </m:r>
          <m:sSub>
            <m:e>
              <m:r>
                <m:t>x</m:t>
              </m:r>
            </m:e>
            <m:sub>
              <m:r>
                <m:t>t</m:t>
              </m:r>
            </m:sub>
          </m:sSub>
          <m:r>
            <m:t> </m:t>
          </m:r>
          <m:r>
            <m:rPr>
              <m:sty m:val="p"/>
            </m:rPr>
            <m:t>≤</m:t>
          </m:r>
          <m:r>
            <m:t> </m:t>
          </m:r>
          <m:sSub>
            <m:e>
              <m:r>
                <m:t>K</m:t>
              </m:r>
            </m:e>
            <m:sub>
              <m:r>
                <m:rPr>
                  <m:sty m:val="p"/>
                </m:rPr>
                <m:t>g</m:t>
              </m:r>
            </m:sub>
          </m:sSub>
        </m:oMath>
      </m:oMathPara>
    </w:p>
    <w:p>
      <w:pPr>
        <w:pStyle w:val="FirstParagraph"/>
      </w:pPr>
      <w:r>
        <w:t xml:space="preserve">The second inequality applies only where export is permitted; otherwise</w:t>
      </w:r>
      <w:r>
        <w:t xml:space="preserve"> </w:t>
      </w:r>
      <m:oMath>
        <m:sSub>
          <m:e>
            <m:r>
              <m:t>x</m:t>
            </m:r>
          </m:e>
          <m:sub>
            <m:r>
              <m:t>t</m:t>
            </m:r>
          </m:sub>
        </m:sSub>
      </m:oMath>
      <w:r>
        <w:t xml:space="preserve"> </w:t>
      </w:r>
      <w:r>
        <w:t xml:space="preserve">is fixed at zero.</w:t>
      </w:r>
    </w:p>
    <w:p>
      <w:pPr>
        <w:pStyle w:val="BodyText"/>
      </w:pPr>
      <w:r>
        <w:rPr>
          <w:bCs/>
          <w:b/>
        </w:rPr>
        <w:t xml:space="preserve">(10) Reliability.</w:t>
      </w:r>
      <w:r>
        <w:t xml:space="preserve"> </w:t>
      </w:r>
      <w:r>
        <w:t xml:space="preserve">Unserved energy is capped at a stated fraction</w:t>
      </w:r>
      <w:r>
        <w:t xml:space="preserve"> </w:t>
      </w:r>
      <m:oMath>
        <m:r>
          <m:t>α</m:t>
        </m:r>
      </m:oMath>
      <w:r>
        <w:t xml:space="preserve"> </w:t>
      </w:r>
      <w:r>
        <w:t xml:space="preserve">of annual demand:</w:t>
      </w:r>
    </w:p>
    <w:p>
      <w:pPr>
        <w:pStyle w:val="BodyText"/>
      </w:pPr>
      <m:oMathPara>
        <m:oMathParaPr>
          <m:jc m:val="center"/>
        </m:oMathParaPr>
        <m:oMath>
          <m:nary>
            <m:naryPr>
              <m:chr m:val="∑"/>
              <m:limLoc m:val="undOvr"/>
              <m:subHide m:val="off"/>
              <m:supHide m:val="on"/>
            </m:naryPr>
            <m:sub>
              <m:r>
                <m:t>t</m:t>
              </m:r>
            </m:sub>
            <m:sup>
              <m:r>
                <m:t>​</m:t>
              </m:r>
            </m:sup>
            <m:e>
              <m:sSub>
                <m:e>
                  <m:r>
                    <m:t>u</m:t>
                  </m:r>
                </m:e>
                <m:sub>
                  <m:r>
                    <m:t>t</m:t>
                  </m:r>
                </m:sub>
              </m:sSub>
            </m:e>
          </m:nary>
          <m:r>
            <m:t> </m:t>
          </m:r>
          <m:r>
            <m:t>Δ</m:t>
          </m:r>
          <m:r>
            <m:t>t</m:t>
          </m:r>
          <m:r>
            <m:t> </m:t>
          </m:r>
          <m:r>
            <m:rPr>
              <m:sty m:val="p"/>
            </m:rPr>
            <m:t>≤</m:t>
          </m:r>
          <m:r>
            <m:t> </m:t>
          </m:r>
          <m:r>
            <m:t>α</m:t>
          </m:r>
          <m:nary>
            <m:naryPr>
              <m:chr m:val="∑"/>
              <m:limLoc m:val="undOvr"/>
              <m:subHide m:val="off"/>
              <m:supHide m:val="on"/>
            </m:naryPr>
            <m:sub>
              <m:r>
                <m:t>t</m:t>
              </m:r>
            </m:sub>
            <m:sup>
              <m:r>
                <m:t>​</m:t>
              </m:r>
            </m:sup>
            <m:e>
              <m:sSub>
                <m:e>
                  <m:r>
                    <m:t>D</m:t>
                  </m:r>
                </m:e>
                <m:sub>
                  <m:r>
                    <m:t>t</m:t>
                  </m:r>
                </m:sub>
              </m:sSub>
            </m:e>
          </m:nary>
          <m:r>
            <m:t> </m:t>
          </m:r>
          <m:r>
            <m:t>Δ</m:t>
          </m:r>
          <m:r>
            <m:t>t</m:t>
          </m:r>
        </m:oMath>
      </m:oMathPara>
    </w:p>
    <w:p>
      <w:pPr>
        <w:pStyle w:val="FirstParagraph"/>
      </w:pPr>
      <w:r>
        <w:rPr>
          <w:bCs/>
          <w:b/>
        </w:rPr>
        <w:t xml:space="preserve">(11) Replacements.</w:t>
      </w:r>
      <w:r>
        <w:t xml:space="preserve"> </w:t>
      </w:r>
      <w:r>
        <w:t xml:space="preserve">Stacks and balance-of-plant wear out on whichever comes first, calendar life or duty hours. Because the solver minimises a cost that rises with the replacement rate, a maximum of two terms can be written as a pair of inequalities and stays linear:</w:t>
      </w:r>
    </w:p>
    <w:p>
      <w:pPr>
        <w:pStyle w:val="BodyText"/>
      </w:pPr>
      <m:oMathPara>
        <m:oMathParaPr>
          <m:jc m:val="center"/>
        </m:oMathParaPr>
        <m:oMath>
          <m:sSub>
            <m:e>
              <m:r>
                <m:t>n</m:t>
              </m:r>
            </m:e>
            <m:sub>
              <m:r>
                <m:rPr>
                  <m:sty m:val="p"/>
                </m:rPr>
                <m:t>s</m:t>
              </m:r>
            </m:sub>
          </m:sSub>
          <m:r>
            <m:t> </m:t>
          </m:r>
          <m:r>
            <m:rPr>
              <m:sty m:val="p"/>
            </m:rPr>
            <m:t>≥</m:t>
          </m:r>
          <m:r>
            <m:t> </m:t>
          </m:r>
          <m:f>
            <m:fPr>
              <m:type m:val="bar"/>
            </m:fPr>
            <m:num>
              <m:sSub>
                <m:e>
                  <m:r>
                    <m:t>K</m:t>
                  </m:r>
                </m:e>
                <m:sub>
                  <m:r>
                    <m:rPr>
                      <m:sty m:val="p"/>
                    </m:rPr>
                    <m:t>f</m:t>
                  </m:r>
                </m:sub>
              </m:sSub>
            </m:num>
            <m:den>
              <m:r>
                <m:t>T</m:t>
              </m:r>
            </m:den>
          </m:f>
          <m:r>
            <m:rPr>
              <m:sty m:val="p"/>
            </m:rPr>
            <m:t>,</m:t>
          </m:r>
          <m:r>
            <m:t>  </m:t>
          </m:r>
          <m:sSub>
            <m:e>
              <m:r>
                <m:t>n</m:t>
              </m:r>
            </m:e>
            <m:sub>
              <m:r>
                <m:rPr>
                  <m:sty m:val="p"/>
                </m:rPr>
                <m:t>s</m:t>
              </m:r>
            </m:sub>
          </m:sSub>
          <m:r>
            <m:t> </m:t>
          </m:r>
          <m:r>
            <m:rPr>
              <m:sty m:val="p"/>
            </m:rPr>
            <m:t>≥</m:t>
          </m:r>
          <m:r>
            <m:t> </m:t>
          </m:r>
          <m:f>
            <m:fPr>
              <m:type m:val="bar"/>
            </m:fPr>
            <m:num>
              <m:sSub>
                <m:e>
                  <m:r>
                    <m:t>E</m:t>
                  </m:r>
                </m:e>
                <m:sub>
                  <m:r>
                    <m:rPr>
                      <m:sty m:val="p"/>
                    </m:rPr>
                    <m:t>f</m:t>
                  </m:r>
                </m:sub>
              </m:sSub>
            </m:num>
            <m:den>
              <m:sSub>
                <m:e>
                  <m:r>
                    <m:t>H</m:t>
                  </m:r>
                </m:e>
                <m:sub>
                  <m:r>
                    <m:rPr>
                      <m:sty m:val="p"/>
                    </m:rPr>
                    <m:t>s</m:t>
                  </m:r>
                </m:sub>
              </m:sSub>
            </m:den>
          </m:f>
          <m:r>
            <m:rPr>
              <m:sty m:val="p"/>
            </m:rPr>
            <m:t>,</m:t>
          </m:r>
          <m:r>
            <m:t>  </m:t>
          </m:r>
          <m:sSub>
            <m:e>
              <m:r>
                <m:t>n</m:t>
              </m:r>
            </m:e>
            <m:sub>
              <m:r>
                <m:rPr>
                  <m:sty m:val="p"/>
                </m:rPr>
                <m:t>p</m:t>
              </m:r>
            </m:sub>
          </m:sSub>
          <m:r>
            <m:t> </m:t>
          </m:r>
          <m:r>
            <m:rPr>
              <m:sty m:val="p"/>
            </m:rPr>
            <m:t>≥</m:t>
          </m:r>
          <m:r>
            <m:t> </m:t>
          </m:r>
          <m:f>
            <m:fPr>
              <m:type m:val="bar"/>
            </m:fPr>
            <m:num>
              <m:sSub>
                <m:e>
                  <m:r>
                    <m:t>K</m:t>
                  </m:r>
                </m:e>
                <m:sub>
                  <m:r>
                    <m:rPr>
                      <m:sty m:val="p"/>
                    </m:rPr>
                    <m:t>f</m:t>
                  </m:r>
                </m:sub>
              </m:sSub>
            </m:num>
            <m:den>
              <m:sSub>
                <m:e>
                  <m:r>
                    <m:t>L</m:t>
                  </m:r>
                </m:e>
                <m:sub>
                  <m:r>
                    <m:rPr>
                      <m:sty m:val="p"/>
                    </m:rPr>
                    <m:t>p</m:t>
                  </m:r>
                </m:sub>
              </m:sSub>
            </m:den>
          </m:f>
          <m:r>
            <m:rPr>
              <m:sty m:val="p"/>
            </m:rPr>
            <m:t>,</m:t>
          </m:r>
          <m:r>
            <m:t>  </m:t>
          </m:r>
          <m:sSub>
            <m:e>
              <m:r>
                <m:t>n</m:t>
              </m:r>
            </m:e>
            <m:sub>
              <m:r>
                <m:rPr>
                  <m:sty m:val="p"/>
                </m:rPr>
                <m:t>p</m:t>
              </m:r>
            </m:sub>
          </m:sSub>
          <m:r>
            <m:t> </m:t>
          </m:r>
          <m:r>
            <m:rPr>
              <m:sty m:val="p"/>
            </m:rPr>
            <m:t>≥</m:t>
          </m:r>
          <m:r>
            <m:t> </m:t>
          </m:r>
          <m:f>
            <m:fPr>
              <m:type m:val="bar"/>
            </m:fPr>
            <m:num>
              <m:sSub>
                <m:e>
                  <m:r>
                    <m:t>E</m:t>
                  </m:r>
                </m:e>
                <m:sub>
                  <m:r>
                    <m:rPr>
                      <m:sty m:val="p"/>
                    </m:rPr>
                    <m:t>f</m:t>
                  </m:r>
                </m:sub>
              </m:sSub>
            </m:num>
            <m:den>
              <m:sSub>
                <m:e>
                  <m:r>
                    <m:t>H</m:t>
                  </m:r>
                </m:e>
                <m:sub>
                  <m:r>
                    <m:rPr>
                      <m:sty m:val="p"/>
                    </m:rPr>
                    <m:t>p</m:t>
                  </m:r>
                </m:sub>
              </m:sSub>
            </m:den>
          </m:f>
        </m:oMath>
      </m:oMathPara>
    </w:p>
    <w:bookmarkEnd w:id="30"/>
    <w:bookmarkStart w:id="31" w:name="tracing-the-trade-off-curve"/>
    <w:p>
      <w:pPr>
        <w:pStyle w:val="Heading2"/>
      </w:pPr>
      <w:r>
        <w:t xml:space="preserve">5.4 Tracing the trade-off curve</w:t>
      </w:r>
    </w:p>
    <w:p>
      <w:pPr>
        <w:pStyle w:val="FirstParagraph"/>
      </w:pPr>
      <w:r>
        <w:t xml:space="preserve">The two objectives are optimised against each other by the</w:t>
      </w:r>
      <w:r>
        <w:t xml:space="preserve"> </w:t>
      </w:r>
      <m:oMath>
        <m:r>
          <m:t>ε</m:t>
        </m:r>
      </m:oMath>
      <w:r>
        <w:t xml:space="preserve">-constraint method: minimise one while holding the other below a moving bound.</w:t>
      </w:r>
    </w:p>
    <w:p>
      <w:pPr>
        <w:pStyle w:val="BodyText"/>
      </w:pPr>
      <m:oMathPara>
        <m:oMathParaPr>
          <m:jc m:val="center"/>
        </m:oMathParaPr>
        <m:oMath>
          <m:r>
            <m:rPr>
              <m:sty m:val="p"/>
            </m:rPr>
            <m:t>min</m:t>
          </m:r>
          <m:r>
            <m:t> </m:t>
          </m:r>
          <m:r>
            <m:t>C</m:t>
          </m:r>
          <m:r>
            <m:t> </m:t>
          </m:r>
          <m:r>
            <m:rPr>
              <m:sty m:val="p"/>
            </m:rPr>
            <m:t>s</m:t>
          </m:r>
          <m:r>
            <m:rPr>
              <m:sty m:val="p"/>
            </m:rPr>
            <m:t>.</m:t>
          </m:r>
          <m:r>
            <m:rPr>
              <m:sty m:val="p"/>
            </m:rPr>
            <m:t>t</m:t>
          </m:r>
          <m:r>
            <m:rPr>
              <m:sty m:val="p"/>
            </m:rPr>
            <m:t>.</m:t>
          </m:r>
          <m:r>
            <m:t> </m:t>
          </m:r>
          <m:r>
            <m:t>G</m:t>
          </m:r>
          <m:r>
            <m:t> </m:t>
          </m:r>
          <m:r>
            <m:rPr>
              <m:sty m:val="p"/>
            </m:rPr>
            <m:t>≤</m:t>
          </m:r>
          <m:r>
            <m:t> </m:t>
          </m:r>
          <m:sSup>
            <m:e>
              <m:r>
                <m:t>G</m:t>
              </m:r>
            </m:e>
            <m:sup>
              <m:r>
                <m:rPr>
                  <m:sty m:val="p"/>
                </m:rPr>
                <m:t>max</m:t>
              </m:r>
            </m:sup>
          </m:sSup>
          <m:r>
            <m:rPr>
              <m:sty m:val="p"/>
            </m:rPr>
            <m:t>,</m:t>
          </m:r>
          <m:r>
            <m:t>  </m:t>
          </m:r>
          <m:sSup>
            <m:e>
              <m:r>
                <m:t>G</m:t>
              </m:r>
            </m:e>
            <m:sup>
              <m:r>
                <m:rPr>
                  <m:sty m:val="p"/>
                </m:rPr>
                <m:t>min</m:t>
              </m:r>
            </m:sup>
          </m:sSup>
          <m:r>
            <m:t> </m:t>
          </m:r>
          <m:r>
            <m:rPr>
              <m:sty m:val="p"/>
            </m:rPr>
            <m:t>≤</m:t>
          </m:r>
          <m:r>
            <m:t> </m:t>
          </m:r>
          <m:sSup>
            <m:e>
              <m:r>
                <m:t>G</m:t>
              </m:r>
            </m:e>
            <m:sup>
              <m:r>
                <m:rPr>
                  <m:sty m:val="p"/>
                </m:rPr>
                <m:t>max</m:t>
              </m:r>
            </m:sup>
          </m:sSup>
          <m:r>
            <m:t> </m:t>
          </m:r>
          <m:r>
            <m:rPr>
              <m:sty m:val="p"/>
            </m:rPr>
            <m:t>≤</m:t>
          </m:r>
          <m:r>
            <m:t> </m:t>
          </m:r>
          <m:r>
            <m:t>G</m:t>
          </m:r>
          <m:r>
            <m:t>​</m:t>
          </m:r>
          <m:d>
            <m:dPr>
              <m:begChr m:val="("/>
              <m:endChr m:val=")"/>
              <m:sepChr m:val=""/>
              <m:grow/>
            </m:dPr>
            <m:e>
              <m:sSup>
                <m:e>
                  <m:r>
                    <m:t>C</m:t>
                  </m:r>
                </m:e>
                <m:sup>
                  <m:r>
                    <m:rPr>
                      <m:sty m:val="p"/>
                    </m:rPr>
                    <m:t>min</m:t>
                  </m:r>
                </m:sup>
              </m:sSup>
            </m:e>
          </m:d>
        </m:oMath>
      </m:oMathPara>
    </w:p>
    <w:p>
      <w:pPr>
        <w:pStyle w:val="FirstParagraph"/>
      </w:pPr>
      <w:r>
        <w:t xml:space="preserve">Sweeping</w:t>
      </w:r>
      <w:r>
        <w:t xml:space="preserve"> </w:t>
      </w:r>
      <m:oMath>
        <m:sSup>
          <m:e>
            <m:r>
              <m:t>G</m:t>
            </m:r>
          </m:e>
          <m:sup>
            <m:r>
              <m:rPr>
                <m:sty m:val="p"/>
              </m:rPr>
              <m:t>max</m:t>
            </m:r>
          </m:sup>
        </m:sSup>
      </m:oMath>
      <w:r>
        <w:t xml:space="preserve"> </w:t>
      </w:r>
      <w:r>
        <w:t xml:space="preserve">from the lowest achievable carbon up to the carbon of the cheapest build traces the frontier</w:t>
      </w:r>
      <w:r>
        <w:t xml:space="preserve"> </w:t>
      </w:r>
      <w:r>
        <w:rPr>
          <w:bCs/>
          <w:b/>
        </w:rPr>
        <w:t xml:space="preserve">exactly</w:t>
      </w:r>
      <w:r>
        <w:t xml:space="preserve">, point by point, rather than sampling it. Each point is a certified optimum of a convex problem, not the best result a search happened to reach. A final tie-break minimising</w:t>
      </w:r>
      <w:r>
        <w:t xml:space="preserve"> </w:t>
      </w:r>
      <m:oMath>
        <m:sSub>
          <m:e>
            <m:r>
              <m:t>K</m:t>
            </m:r>
          </m:e>
          <m:sub>
            <m:r>
              <m:rPr>
                <m:sty m:val="p"/>
              </m:rPr>
              <m:t>g</m:t>
            </m:r>
          </m:sub>
        </m:sSub>
      </m:oMath>
      <w:r>
        <w:t xml:space="preserve"> </w:t>
      </w:r>
      <w:r>
        <w:t xml:space="preserve">resolves the degenerate cases where the connection is otherwise unpriced.</w:t>
      </w:r>
    </w:p>
    <w:bookmarkEnd w:id="31"/>
    <w:bookmarkStart w:id="32" w:name="running-strategies-as-constraints"/>
    <w:p>
      <w:pPr>
        <w:pStyle w:val="Heading2"/>
      </w:pPr>
      <w:r>
        <w:t xml:space="preserve">5.5 Running strategies as constraints</w:t>
      </w:r>
    </w:p>
    <w:p>
      <w:pPr>
        <w:pStyle w:val="FirstParagraph"/>
      </w:pPr>
      <w:r>
        <w:t xml:space="preserve">How the electrolyser is operated is imposed as extra constraints rather than chosen as a separate algorithm, so the penalty of a mode of operation can be read straight off the objective:</w:t>
      </w:r>
    </w:p>
    <w:p>
      <w:pPr>
        <w:numPr>
          <w:ilvl w:val="0"/>
          <w:numId w:val="1004"/>
        </w:numPr>
        <w:pStyle w:val="Compact"/>
      </w:pPr>
      <w:r>
        <w:rPr>
          <w:bCs/>
          <w:b/>
        </w:rPr>
        <w:t xml:space="preserve">Baseload</w:t>
      </w:r>
      <w:r>
        <w:t xml:space="preserve"> </w:t>
      </w:r>
      <w:r>
        <w:t xml:space="preserve">— an 80 % per-period floor on electrolyser draw and an 85 % annual capacity factor.</w:t>
      </w:r>
    </w:p>
    <w:p>
      <w:pPr>
        <w:numPr>
          <w:ilvl w:val="0"/>
          <w:numId w:val="1004"/>
        </w:numPr>
        <w:pStyle w:val="Compact"/>
      </w:pPr>
      <w:r>
        <w:rPr>
          <w:bCs/>
          <w:b/>
        </w:rPr>
        <w:t xml:space="preserve">Flexible (islanded)</w:t>
      </w:r>
      <w:r>
        <w:t xml:space="preserve"> </w:t>
      </w:r>
      <w:r>
        <w:t xml:space="preserve">— annual electrolyser energy capped at available generation minus served demand.</w:t>
      </w:r>
    </w:p>
    <w:p>
      <w:pPr>
        <w:numPr>
          <w:ilvl w:val="0"/>
          <w:numId w:val="1004"/>
        </w:numPr>
        <w:pStyle w:val="Compact"/>
      </w:pPr>
      <w:r>
        <w:rPr>
          <w:bCs/>
          <w:b/>
        </w:rPr>
        <w:t xml:space="preserve">Free</w:t>
      </w:r>
      <w:r>
        <w:t xml:space="preserve"> </w:t>
      </w:r>
      <w:r>
        <w:t xml:space="preserve">— no additional constraint; the solver decides.</w:t>
      </w:r>
    </w:p>
    <w:bookmarkEnd w:id="32"/>
    <w:bookmarkStart w:id="33" w:name="what-the-linear-form-costs-you"/>
    <w:p>
      <w:pPr>
        <w:pStyle w:val="Heading2"/>
      </w:pPr>
      <w:r>
        <w:t xml:space="preserve">5.6 What the linear form costs you</w:t>
      </w:r>
    </w:p>
    <w:p>
      <w:pPr>
        <w:pStyle w:val="FirstParagraph"/>
      </w:pPr>
      <w:r>
        <w:t xml:space="preserve">Every one of these is a known limitation:</w:t>
      </w:r>
    </w:p>
    <w:p>
      <w:pPr>
        <w:numPr>
          <w:ilvl w:val="0"/>
          <w:numId w:val="1005"/>
        </w:numPr>
        <w:pStyle w:val="Compact"/>
      </w:pPr>
      <w:r>
        <w:rPr>
          <w:bCs/>
          <w:b/>
        </w:rPr>
        <w:t xml:space="preserve">Perfect foresight</w:t>
      </w:r>
      <w:r>
        <w:t xml:space="preserve"> </w:t>
      </w:r>
      <w:r>
        <w:t xml:space="preserve">over the whole window. The model knows the year’s weather and prices in advance. The myopic re-dispatch is run alongside it.</w:t>
      </w:r>
    </w:p>
    <w:p>
      <w:pPr>
        <w:numPr>
          <w:ilvl w:val="0"/>
          <w:numId w:val="1005"/>
        </w:numPr>
        <w:pStyle w:val="Compact"/>
      </w:pPr>
      <w:r>
        <w:rPr>
          <w:bCs/>
          <w:b/>
        </w:rPr>
        <w:t xml:space="preserve">No minimum-load binaries.</w:t>
      </w:r>
      <w:r>
        <w:t xml:space="preserve"> </w:t>
      </w:r>
      <w:r>
        <w:t xml:space="preserve">The electrolyser may run at 1 % of rating. Adding unit commitment would make the problem a mixed-integer one and cost the exactness of the frontier.</w:t>
      </w:r>
    </w:p>
    <w:p>
      <w:pPr>
        <w:numPr>
          <w:ilvl w:val="0"/>
          <w:numId w:val="1005"/>
        </w:numPr>
        <w:pStyle w:val="Compact"/>
      </w:pPr>
      <w:r>
        <w:rPr>
          <w:bCs/>
          <w:b/>
        </w:rPr>
        <w:t xml:space="preserve">One node.</w:t>
      </w:r>
      <w:r>
        <w:t xml:space="preserve"> </w:t>
      </w:r>
      <w:r>
        <w:t xml:space="preserve">No internal network, no transmission limits within the site.</w:t>
      </w:r>
    </w:p>
    <w:p>
      <w:pPr>
        <w:numPr>
          <w:ilvl w:val="0"/>
          <w:numId w:val="1005"/>
        </w:numPr>
        <w:pStyle w:val="Compact"/>
      </w:pPr>
      <w:r>
        <w:rPr>
          <w:bCs/>
          <w:b/>
        </w:rPr>
        <w:t xml:space="preserve">A value of lost load of £100,000/MWh</w:t>
      </w:r>
      <w:r>
        <w:t xml:space="preserve">, which is a diagnostic penalty that makes infeasibility legible, not a market number.</w:t>
      </w:r>
    </w:p>
    <w:bookmarkEnd w:id="33"/>
    <w:bookmarkStart w:id="34" w:name="scale-and-solver"/>
    <w:p>
      <w:pPr>
        <w:pStyle w:val="Heading2"/>
      </w:pPr>
      <w:r>
        <w:t xml:space="preserve">5.7 Scale and solver</w:t>
      </w:r>
    </w:p>
    <w:p>
      <w:pPr>
        <w:pStyle w:val="FirstParagraph"/>
      </w:pPr>
      <w:r>
        <w:t xml:space="preserve">Roughly 17,500 half-hourly steps per year, solved with HiGHS through</w:t>
      </w:r>
      <w:r>
        <w:t xml:space="preserve"> </w:t>
      </w:r>
      <w:r>
        <w:rPr>
          <w:rStyle w:val="VerbatimChar"/>
        </w:rPr>
        <w:t xml:space="preserve">linopy</w:t>
      </w:r>
      <w:r>
        <w:t xml:space="preserve">. Full chronology is kept deliberately: sampled</w:t>
      </w:r>
      <w:r>
        <w:t xml:space="preserve"> </w:t>
      </w:r>
      <w:r>
        <w:t xml:space="preserve">“</w:t>
      </w:r>
      <w:r>
        <w:t xml:space="preserve">representative day</w:t>
      </w:r>
      <w:r>
        <w:t xml:space="preserve">”</w:t>
      </w:r>
      <w:r>
        <w:t xml:space="preserve"> </w:t>
      </w:r>
      <w:r>
        <w:t xml:space="preserve">files are refused by</w:t>
      </w:r>
      <w:r>
        <w:t xml:space="preserve"> </w:t>
      </w:r>
      <w:r>
        <w:rPr>
          <w:rStyle w:val="VerbatimChar"/>
        </w:rPr>
        <w:t xml:space="preserve">profiles.py</w:t>
      </w:r>
      <w:r>
        <w:t xml:space="preserve">, because a dispatch that carries battery and tank state cannot use them. This matters more than it sounds — representative days break the inter-day and seasonal linkage that a hydrogen tank exists to exploit, and would systematically undervalue it (Poncelet et al., 2016).</w:t>
      </w:r>
    </w:p>
    <w:bookmarkEnd w:id="34"/>
    <w:bookmarkEnd w:id="35"/>
    <w:bookmarkStart w:id="36" w:name="where-the-carbon-numbers-come-from"/>
    <w:p>
      <w:pPr>
        <w:pStyle w:val="Heading1"/>
      </w:pPr>
      <w:r>
        <w:t xml:space="preserve">6. Where the carbon numbers come from</w:t>
      </w:r>
    </w:p>
    <w:p>
      <w:pPr>
        <w:pStyle w:val="FirstParagraph"/>
      </w:pPr>
      <w:r>
        <w:t xml:space="preserve">This is the part that distinguishes the model from a conventional energy design tool, and it is worth stating plainly.</w:t>
      </w:r>
    </w:p>
    <w:p>
      <w:pPr>
        <w:pStyle w:val="BodyText"/>
      </w:pPr>
      <w:r>
        <w:t xml:space="preserve">Most design tools compute emissions as</w:t>
      </w:r>
      <w:r>
        <w:t xml:space="preserve"> </w:t>
      </w:r>
      <w:r>
        <w:rPr>
          <w:iCs/>
          <w:i/>
        </w:rPr>
        <w:t xml:space="preserve">emission factor</w:t>
      </w:r>
      <w:r>
        <w:rPr>
          <w:iCs/>
          <w:i/>
        </w:rPr>
        <w:t xml:space="preserve"> </w:t>
      </w:r>
      <m:oMath>
        <m:r>
          <m:rPr>
            <m:sty m:val="p"/>
          </m:rPr>
          <m:t>×</m:t>
        </m:r>
      </m:oMath>
      <w:r>
        <w:rPr>
          <w:iCs/>
          <w:i/>
        </w:rPr>
        <w:t xml:space="preserve"> </w:t>
      </w:r>
      <w:r>
        <w:rPr>
          <w:iCs/>
          <w:i/>
        </w:rPr>
        <w:t xml:space="preserve">energy</w:t>
      </w:r>
      <w:r>
        <w:t xml:space="preserve">: a number per kWh of grid import, and perhaps one per litre of fuel. Nothing is counted for building the equipment. On that basis a wind farm and a battery are free of carbon, which is the wrong answer to the question a developer is actually asking.</w:t>
      </w:r>
    </w:p>
    <w:p>
      <w:pPr>
        <w:pStyle w:val="BodyText"/>
      </w:pPr>
      <w:r>
        <w:t xml:space="preserve">Here, every carbon coefficient is produced by a life-cycle inventory in Brightway on ecoinvent 3.9.1, decomposed out of ecoinvent’s per-kWh activities into a</w:t>
      </w:r>
      <w:r>
        <w:t xml:space="preserve"> </w:t>
      </w:r>
      <w:r>
        <w:rPr>
          <w:bCs/>
          <w:b/>
        </w:rPr>
        <w:t xml:space="preserve">per-MW-installed</w:t>
      </w:r>
      <w:r>
        <w:t xml:space="preserve"> </w:t>
      </w:r>
      <w:r>
        <w:t xml:space="preserve">embodied burden that the optimiser can attach to a capacity variable. The result is that the objective</w:t>
      </w:r>
      <w:r>
        <w:t xml:space="preserve"> </w:t>
      </w:r>
      <m:oMath>
        <m:r>
          <m:t>G</m:t>
        </m:r>
      </m:oMath>
      <w:r>
        <w:t xml:space="preserve"> </w:t>
      </w:r>
      <w:r>
        <w:t xml:space="preserve">contains both terms — what the kit cost to build, amortised over its life, and what it emits in operation — and the output splits them, so it is visible whether an option is genuinely cleaner or has merely moved its burden upstream into a supply chain.</w:t>
      </w:r>
    </w:p>
    <w:p>
      <w:pPr>
        <w:pStyle w:val="BodyText"/>
      </w:pPr>
      <w:r>
        <w:t xml:space="preserve">The coefficients are checked. Each module re-reads its values from Brightway and compares them against the figures pinned in the code; the renewables decomposition is re-amortised back to ecoinvent’s own published per-kWh score; scenario cases are checked for monotonicity. These checks have caught real errors, including a case-pairing bug inherited from the DESNZ reports’ own scenario convention.</w:t>
      </w:r>
    </w:p>
    <w:bookmarkEnd w:id="36"/>
    <w:bookmarkStart w:id="37" w:name="what-has-been-validated"/>
    <w:p>
      <w:pPr>
        <w:pStyle w:val="Heading1"/>
      </w:pPr>
      <w:r>
        <w:t xml:space="preserve">7. What has been validated</w:t>
      </w:r>
    </w:p>
    <w:p>
      <w:pPr>
        <w:pStyle w:val="FirstParagraph"/>
      </w:pPr>
      <w:r>
        <w:rPr>
          <w:rStyle w:val="VerbatimChar"/>
        </w:rPr>
        <w:t xml:space="preserve">tests/</w:t>
      </w:r>
      <w:r>
        <w:t xml:space="preserve"> </w:t>
      </w:r>
      <w:r>
        <w:t xml:space="preserve">covers the model’s internal invariants — energy balances close, storage stays bounded, hydrogen mass is conserved.</w:t>
      </w:r>
      <w:r>
        <w:t xml:space="preserve"> </w:t>
      </w:r>
      <w:r>
        <w:rPr>
          <w:rStyle w:val="VerbatimChar"/>
        </w:rPr>
        <w:t xml:space="preserve">optimisation/validate.py</w:t>
      </w:r>
      <w:r>
        <w:t xml:space="preserve"> </w:t>
      </w:r>
      <w:r>
        <w:t xml:space="preserve">asks the harder question: do the answers agree with things established independently of the linear programme? Nine benchmarks, all currently passing:</w:t>
      </w:r>
    </w:p>
    <w:tbl>
      <w:tblPr>
        <w:tblStyle w:val="Table"/>
        <w:tblW w:type="pct" w:w="5000"/>
        <w:tblLayout w:type="autofit"/>
        <w:tblLook w:firstRow="1" w:lastRow="0" w:firstColumn="0" w:lastColumn="0" w:noHBand="0" w:noVBand="0" w:val="0020"/>
        <w:jc w:val="start"/>
        <w:tblBorders>
          <w:top w:val="single" w:sz="8" w:space="0" w:color="0B3D5C"/>
          <w:left w:val="none" w:sz="0" w:space="0" w:color="auto"/>
          <w:bottom w:val="single" w:sz="8" w:space="0" w:color="D6DBDF"/>
          <w:right w:val="none" w:sz="0" w:space="0" w:color="auto"/>
          <w:insideH w:val="single" w:sz="4" w:space="0" w:color="E3E7EA"/>
          <w:insideV w:val="none" w:sz="0" w:space="0" w:color="auto"/>
        </w:tblBorders>
      </w:tblPr>
      <w:tblGrid>
        <w:gridCol w:w="2640"/>
        <w:gridCol w:w="2640"/>
        <w:gridCol w:w="2640"/>
      </w:tblGrid>
      <w:tr>
        <w:trPr>
          <w:tblHeader w:val="true"/>
          <w:tblHeader w:val="true"/>
        </w:trPr>
        <w:tc>
          <w:tcPr>
            <w:shd w:val="clear" w:fill="EDF2F5"/>
          </w:tcPr>
          <w:p>
            <w:pPr>
              <w:pStyle w:val="Compact"/>
              <w:spacing w:before="80" w:after="80"/>
              <w:jc w:val="left"/>
            </w:pPr>
            <w:r>
              <w:rPr>
                <w:b/>
                <w:color w:val="0B3D5C"/>
                <w:sz w:val="19"/>
              </w:rPr>
              <w:t xml:space="preserve">Benchmark</w:t>
            </w:r>
          </w:p>
        </w:tc>
        <w:tc>
          <w:tcPr>
            <w:shd w:val="clear" w:fill="EDF2F5"/>
          </w:tcPr>
          <w:p>
            <w:pPr>
              <w:pStyle w:val="Compact"/>
              <w:spacing w:before="80" w:after="80"/>
              <w:jc w:val="left"/>
            </w:pPr>
            <w:r>
              <w:rPr>
                <w:b/>
                <w:color w:val="0B3D5C"/>
                <w:sz w:val="19"/>
              </w:rPr>
              <w:t xml:space="preserve">What it guards</w:t>
            </w:r>
          </w:p>
        </w:tc>
        <w:tc>
          <w:tcPr>
            <w:shd w:val="clear" w:fill="EDF2F5"/>
          </w:tcPr>
          <w:p>
            <w:pPr>
              <w:pStyle w:val="Compact"/>
              <w:spacing w:before="80" w:after="80"/>
              <w:jc w:val="left"/>
            </w:pPr>
            <w:r>
              <w:rPr>
                <w:b/>
                <w:color w:val="0B3D5C"/>
                <w:sz w:val="19"/>
              </w:rPr>
              <w:t xml:space="preserve">Result</w:t>
            </w:r>
          </w:p>
        </w:tc>
      </w:tr>
      <w:tr>
        <w:tc>
          <w:tcPr/>
          <w:p>
            <w:pPr>
              <w:pStyle w:val="Compact"/>
              <w:spacing w:before="40" w:after="40"/>
              <w:jc w:val="left"/>
            </w:pPr>
            <w:r>
              <w:rPr>
                <w:sz w:val="19"/>
              </w:rPr>
              <w:t xml:space="preserve">Electrolyser embodied carbon</w:t>
            </w:r>
          </w:p>
        </w:tc>
        <w:tc>
          <w:tcPr/>
          <w:p>
            <w:pPr>
              <w:pStyle w:val="Compact"/>
              <w:spacing w:before="40" w:after="40"/>
              <w:jc w:val="left"/>
            </w:pPr>
            <w:r>
              <w:rPr>
                <w:sz w:val="19"/>
              </w:rPr>
              <w:t xml:space="preserve">The decomposition every hydrogen result depends on</w:t>
            </w:r>
          </w:p>
        </w:tc>
        <w:tc>
          <w:tcPr/>
          <w:p>
            <w:pPr>
              <w:pStyle w:val="Compact"/>
              <w:spacing w:before="40" w:after="40"/>
              <w:jc w:val="left"/>
            </w:pPr>
            <w:r>
              <w:rPr>
                <w:sz w:val="19"/>
              </w:rPr>
              <w:t xml:space="preserve">Three inventories reconstruct the foreground’s own figure; worst relative error 2.3 × 10⁻⁵</w:t>
            </w:r>
          </w:p>
        </w:tc>
      </w:tr>
      <w:tr>
        <w:tc>
          <w:tcPr/>
          <w:p>
            <w:pPr>
              <w:pStyle w:val="Compact"/>
              <w:spacing w:before="40" w:after="40"/>
              <w:jc w:val="left"/>
            </w:pPr>
            <w:r>
              <w:rPr>
                <w:sz w:val="19"/>
              </w:rPr>
              <w:t xml:space="preserve">Hydrogen round-trip efficiency</w:t>
            </w:r>
          </w:p>
        </w:tc>
        <w:tc>
          <w:tcPr/>
          <w:p>
            <w:pPr>
              <w:pStyle w:val="Compact"/>
              <w:spacing w:before="40" w:after="40"/>
              <w:jc w:val="left"/>
            </w:pPr>
            <w:r>
              <w:rPr>
                <w:sz w:val="19"/>
              </w:rPr>
              <w:t xml:space="preserve">Chain-wide sanity on efficiencies and unit conversions</w:t>
            </w:r>
          </w:p>
        </w:tc>
        <w:tc>
          <w:tcPr/>
          <w:p>
            <w:pPr>
              <w:pStyle w:val="Compact"/>
              <w:spacing w:before="40" w:after="40"/>
              <w:jc w:val="left"/>
            </w:pPr>
            <w:r>
              <w:rPr>
                <w:sz w:val="19"/>
              </w:rPr>
              <w:t xml:space="preserve">29.3 % — 54.0 kWh in per kg, 15.8 kWh out</w:t>
            </w:r>
          </w:p>
        </w:tc>
      </w:tr>
      <w:tr>
        <w:tc>
          <w:tcPr/>
          <w:p>
            <w:pPr>
              <w:pStyle w:val="Compact"/>
              <w:spacing w:before="40" w:after="40"/>
              <w:jc w:val="left"/>
            </w:pPr>
            <w:r>
              <w:rPr>
                <w:sz w:val="19"/>
              </w:rPr>
              <w:t xml:space="preserve">Grid-only reproduces the standalone baseline</w:t>
            </w:r>
          </w:p>
        </w:tc>
        <w:tc>
          <w:tcPr/>
          <w:p>
            <w:pPr>
              <w:pStyle w:val="Compact"/>
              <w:spacing w:before="40" w:after="40"/>
              <w:jc w:val="left"/>
            </w:pPr>
            <w:r>
              <w:rPr>
                <w:sz w:val="19"/>
              </w:rPr>
              <w:t xml:space="preserve">Two unrelated routes to the same number</w:t>
            </w:r>
          </w:p>
        </w:tc>
        <w:tc>
          <w:tcPr/>
          <w:p>
            <w:pPr>
              <w:pStyle w:val="Compact"/>
              <w:spacing w:before="40" w:after="40"/>
              <w:jc w:val="left"/>
            </w:pPr>
            <w:r>
              <w:rPr>
                <w:sz w:val="19"/>
              </w:rPr>
              <w:t xml:space="preserve">16,014 t/yr both ways — 0.003 % apart</w:t>
            </w:r>
          </w:p>
        </w:tc>
      </w:tr>
      <w:tr>
        <w:tc>
          <w:tcPr/>
          <w:p>
            <w:pPr>
              <w:pStyle w:val="Compact"/>
              <w:spacing w:before="40" w:after="40"/>
              <w:jc w:val="left"/>
            </w:pPr>
            <w:r>
              <w:rPr>
                <w:sz w:val="19"/>
              </w:rPr>
              <w:t xml:space="preserve">Frontier ordering</w:t>
            </w:r>
          </w:p>
        </w:tc>
        <w:tc>
          <w:tcPr/>
          <w:p>
            <w:pPr>
              <w:pStyle w:val="Compact"/>
              <w:spacing w:before="40" w:after="40"/>
              <w:jc w:val="left"/>
            </w:pPr>
            <w:r>
              <w:rPr>
                <w:sz w:val="19"/>
              </w:rPr>
              <w:t xml:space="preserve">The defining property of the two anchors</w:t>
            </w:r>
          </w:p>
        </w:tc>
        <w:tc>
          <w:tcPr/>
          <w:p>
            <w:pPr>
              <w:pStyle w:val="Compact"/>
              <w:spacing w:before="40" w:after="40"/>
              <w:jc w:val="left"/>
            </w:pPr>
            <w:r>
              <w:rPr>
                <w:sz w:val="19"/>
              </w:rPr>
              <w:t xml:space="preserve">Cheapest £4.90 m / 6,605 t; cleanest £10.98 m / 3,019 t</w:t>
            </w:r>
          </w:p>
        </w:tc>
      </w:tr>
      <w:tr>
        <w:tc>
          <w:tcPr/>
          <w:p>
            <w:pPr>
              <w:pStyle w:val="Compact"/>
              <w:spacing w:before="40" w:after="40"/>
              <w:jc w:val="left"/>
            </w:pPr>
            <w:r>
              <w:rPr>
                <w:sz w:val="19"/>
              </w:rPr>
              <w:t xml:space="preserve">Grid-charged hydrogen arbitrage</w:t>
            </w:r>
          </w:p>
        </w:tc>
        <w:tc>
          <w:tcPr/>
          <w:p>
            <w:pPr>
              <w:pStyle w:val="Compact"/>
              <w:spacing w:before="40" w:after="40"/>
              <w:jc w:val="left"/>
            </w:pPr>
            <w:r>
              <w:rPr>
                <w:sz w:val="19"/>
              </w:rPr>
              <w:t xml:space="preserve">An analytic prediction the solver can contradict</w:t>
            </w:r>
          </w:p>
        </w:tc>
        <w:tc>
          <w:tcPr/>
          <w:p>
            <w:pPr>
              <w:pStyle w:val="Compact"/>
              <w:spacing w:before="40" w:after="40"/>
              <w:jc w:val="left"/>
            </w:pPr>
            <w:r>
              <w:rPr>
                <w:sz w:val="19"/>
              </w:rPr>
              <w:t xml:space="preserve">Round-trip penalty 3.41×, grid carbon spread 3.11×, electrolyser built: none</w:t>
            </w:r>
          </w:p>
        </w:tc>
      </w:tr>
      <w:tr>
        <w:tc>
          <w:tcPr/>
          <w:p>
            <w:pPr>
              <w:pStyle w:val="Compact"/>
              <w:spacing w:before="40" w:after="40"/>
              <w:jc w:val="left"/>
            </w:pPr>
            <w:r>
              <w:rPr>
                <w:sz w:val="19"/>
              </w:rPr>
              <w:t xml:space="preserve">Islanded with no generation</w:t>
            </w:r>
          </w:p>
        </w:tc>
        <w:tc>
          <w:tcPr/>
          <w:p>
            <w:pPr>
              <w:pStyle w:val="Compact"/>
              <w:spacing w:before="40" w:after="40"/>
              <w:jc w:val="left"/>
            </w:pPr>
            <w:r>
              <w:rPr>
                <w:sz w:val="19"/>
              </w:rPr>
              <w:t xml:space="preserve">A degenerate case must fail loudly, not crash</w:t>
            </w:r>
          </w:p>
        </w:tc>
        <w:tc>
          <w:tcPr/>
          <w:p>
            <w:pPr>
              <w:pStyle w:val="Compact"/>
              <w:spacing w:before="40" w:after="40"/>
              <w:jc w:val="left"/>
            </w:pPr>
            <w:r>
              <w:rPr>
                <w:sz w:val="19"/>
              </w:rPr>
              <w:t xml:space="preserve">100 % of demand surfaced as unserved</w:t>
            </w:r>
          </w:p>
        </w:tc>
      </w:tr>
      <w:tr>
        <w:tc>
          <w:tcPr/>
          <w:p>
            <w:pPr>
              <w:pStyle w:val="Compact"/>
              <w:spacing w:before="40" w:after="40"/>
              <w:jc w:val="left"/>
            </w:pPr>
            <w:r>
              <w:rPr>
                <w:sz w:val="19"/>
              </w:rPr>
              <w:t xml:space="preserve">Free zero-carbon grid</w:t>
            </w:r>
          </w:p>
        </w:tc>
        <w:tc>
          <w:tcPr/>
          <w:p>
            <w:pPr>
              <w:pStyle w:val="Compact"/>
              <w:spacing w:before="40" w:after="40"/>
              <w:jc w:val="left"/>
            </w:pPr>
            <w:r>
              <w:rPr>
                <w:sz w:val="19"/>
              </w:rPr>
              <w:t xml:space="preserve">The opposite degenerate case</w:t>
            </w:r>
          </w:p>
        </w:tc>
        <w:tc>
          <w:tcPr/>
          <w:p>
            <w:pPr>
              <w:pStyle w:val="Compact"/>
              <w:spacing w:before="40" w:after="40"/>
              <w:jc w:val="left"/>
            </w:pPr>
            <w:r>
              <w:rPr>
                <w:sz w:val="19"/>
              </w:rPr>
              <w:t xml:space="preserve">Nothing built; largest capacity 0.00</w:t>
            </w:r>
          </w:p>
        </w:tc>
      </w:tr>
      <w:tr>
        <w:tc>
          <w:tcPr/>
          <w:p>
            <w:pPr>
              <w:pStyle w:val="Compact"/>
              <w:spacing w:before="40" w:after="40"/>
              <w:jc w:val="left"/>
            </w:pPr>
            <w:r>
              <w:rPr>
                <w:sz w:val="19"/>
              </w:rPr>
              <w:t xml:space="preserve">Delivered cost per MWh</w:t>
            </w:r>
          </w:p>
        </w:tc>
        <w:tc>
          <w:tcPr/>
          <w:p>
            <w:pPr>
              <w:pStyle w:val="Compact"/>
              <w:spacing w:before="40" w:after="40"/>
              <w:jc w:val="left"/>
            </w:pPr>
            <w:r>
              <w:rPr>
                <w:sz w:val="19"/>
              </w:rPr>
              <w:t xml:space="preserve">Units and annualisation smell test</w:t>
            </w:r>
          </w:p>
        </w:tc>
        <w:tc>
          <w:tcPr/>
          <w:p>
            <w:pPr>
              <w:pStyle w:val="Compact"/>
              <w:spacing w:before="40" w:after="40"/>
              <w:jc w:val="left"/>
            </w:pPr>
            <w:r>
              <w:rPr>
                <w:sz w:val="19"/>
              </w:rPr>
              <w:t xml:space="preserve">£76.49/MWh to IT load, against £103.09/MWh grid-only</w:t>
            </w:r>
          </w:p>
        </w:tc>
      </w:tr>
      <w:tr>
        <w:tc>
          <w:tcPr/>
          <w:p>
            <w:pPr>
              <w:pStyle w:val="Compact"/>
              <w:spacing w:before="40" w:after="40"/>
              <w:jc w:val="left"/>
            </w:pPr>
            <w:r>
              <w:rPr>
                <w:sz w:val="19"/>
              </w:rPr>
              <w:t xml:space="preserve">Superset control is no worse</w:t>
            </w:r>
          </w:p>
        </w:tc>
        <w:tc>
          <w:tcPr/>
          <w:p>
            <w:pPr>
              <w:pStyle w:val="Compact"/>
              <w:spacing w:before="40" w:after="40"/>
              <w:jc w:val="left"/>
            </w:pPr>
            <w:r>
              <w:rPr>
                <w:sz w:val="19"/>
              </w:rPr>
              <w:t xml:space="preserve">The architectures must agree on bounds and coefficients</w:t>
            </w:r>
          </w:p>
        </w:tc>
        <w:tc>
          <w:tcPr/>
          <w:p>
            <w:pPr>
              <w:pStyle w:val="Compact"/>
              <w:spacing w:before="40" w:after="40"/>
              <w:jc w:val="left"/>
            </w:pPr>
            <w:r>
              <w:rPr>
                <w:sz w:val="19"/>
              </w:rPr>
              <w:t xml:space="preserve">Control £4.898 m equals the best sub-architecture</w:t>
            </w:r>
          </w:p>
        </w:tc>
      </w:tr>
    </w:tbl>
    <w:p>
      <w:pPr>
        <w:pStyle w:val="BodyText"/>
      </w:pPr>
      <w:r>
        <w:t xml:space="preserve">The run behind these figures is Central London, 2025, 7.31 MW draw. Two of them are worth reading twice: the cheapest build delivers power at</w:t>
      </w:r>
      <w:r>
        <w:t xml:space="preserve"> </w:t>
      </w:r>
      <w:r>
        <w:rPr>
          <w:bCs/>
          <w:b/>
        </w:rPr>
        <w:t xml:space="preserve">£76.49/MWh against £103.09/MWh for grid-only</w:t>
      </w:r>
      <w:r>
        <w:t xml:space="preserve">, and at</w:t>
      </w:r>
      <w:r>
        <w:t xml:space="preserve"> </w:t>
      </w:r>
      <w:r>
        <w:rPr>
          <w:bCs/>
          <w:b/>
        </w:rPr>
        <w:t xml:space="preserve">6,605 tCO₂e/yr against a 16,014 t grid-only baseline</w:t>
      </w:r>
      <w:r>
        <w:t xml:space="preserve">. On this site and this year, the optimised build is cheaper</w:t>
      </w:r>
      <w:r>
        <w:t xml:space="preserve"> </w:t>
      </w:r>
      <w:r>
        <w:rPr>
          <w:iCs/>
          <w:i/>
        </w:rPr>
        <w:t xml:space="preserve">and</w:t>
      </w:r>
      <w:r>
        <w:t xml:space="preserve"> </w:t>
      </w:r>
      <w:r>
        <w:t xml:space="preserve">substantially cleaner than simply buying a bigger connection — which is the commercial argument in a single line.</w:t>
      </w:r>
    </w:p>
    <w:p>
      <w:pPr>
        <w:pStyle w:val="BodyText"/>
      </w:pPr>
      <w:r>
        <w:t xml:space="preserve">What the benchmarks do</w:t>
      </w:r>
      <w:r>
        <w:t xml:space="preserve"> </w:t>
      </w:r>
      <w:r>
        <w:rPr>
          <w:bCs/>
          <w:b/>
        </w:rPr>
        <w:t xml:space="preserve">not</w:t>
      </w:r>
      <w:r>
        <w:t xml:space="preserve"> </w:t>
      </w:r>
      <w:r>
        <w:t xml:space="preserve">cover is equally important, and is recorded in</w:t>
      </w:r>
      <w:r>
        <w:t xml:space="preserve"> </w:t>
      </w:r>
      <w:r>
        <w:rPr>
          <w:rStyle w:val="VerbatimChar"/>
        </w:rPr>
        <w:t xml:space="preserve">VALIDATION.md</w:t>
      </w:r>
      <w:r>
        <w:t xml:space="preserve">: perfect foresight is untested against a myopic operator for a full configuration; fuel-cell and vessel capital costs carry spreads of 4.5× and 2× with no UK source; only the London grid series is cached, so other regions’ results are not yet meaningful; and there is no unit commitment.</w:t>
      </w:r>
    </w:p>
    <w:bookmarkEnd w:id="37"/>
    <w:bookmarkStart w:id="38" w:name="future-direction-forecasting"/>
    <w:p>
      <w:pPr>
        <w:pStyle w:val="Heading1"/>
      </w:pPr>
      <w:r>
        <w:t xml:space="preserve">8. Future direction: forecasting</w:t>
      </w:r>
    </w:p>
    <w:p>
      <w:pPr>
        <w:pStyle w:val="FirstParagraph"/>
      </w:pPr>
      <w:r>
        <w:t xml:space="preserve">Every coefficient is a 2023-real-price snapshot and every answer is a single year, while a facility designed now runs into the 2050s. Nothing below is committed — these are the options for turning that snapshot into a forecast.</w:t>
      </w:r>
    </w:p>
    <w:tbl>
      <w:tblPr>
        <w:tblStyle w:val="Table"/>
        <w:tblW w:type="pct" w:w="5000"/>
        <w:tblLook w:firstRow="1" w:lastRow="0" w:firstColumn="0" w:lastColumn="0" w:noHBand="0" w:noVBand="0" w:val="0020"/>
        <w:jc w:val="start"/>
        <w:tblBorders>
          <w:top w:val="single" w:sz="8" w:space="0" w:color="0B3D5C"/>
          <w:left w:val="none" w:sz="0" w:space="0" w:color="auto"/>
          <w:bottom w:val="single" w:sz="8" w:space="0" w:color="D6DBDF"/>
          <w:right w:val="none" w:sz="0" w:space="0" w:color="auto"/>
          <w:insideH w:val="single" w:sz="4" w:space="0" w:color="E3E7EA"/>
          <w:insideV w:val="none" w:sz="0" w:space="0" w:color="auto"/>
        </w:tblBorders>
        <w:tblLayout w:type="fixed"/>
      </w:tblPr>
      <w:tblGrid>
        <w:gridCol w:w="2232"/>
        <w:gridCol w:w="7128"/>
      </w:tblGrid>
      <w:tr>
        <w:trPr>
          <w:tblHeader w:val="true"/>
          <w:tblHeader w:val="true"/>
        </w:trPr>
        <w:tc>
          <w:tcPr>
            <w:tcW w:type="dxa" w:w="2232"/>
            <w:shd w:val="clear" w:fill="EDF2F5"/>
          </w:tcPr>
          <w:p>
            <w:pPr>
              <w:pStyle w:val="Compact"/>
              <w:spacing w:before="80" w:after="80"/>
              <w:jc w:val="left"/>
            </w:pPr>
            <w:r>
              <w:rPr>
                <w:b/>
                <w:color w:val="0B3D5C"/>
                <w:sz w:val="19"/>
              </w:rPr>
              <w:t xml:space="preserve">Option</w:t>
            </w:r>
          </w:p>
        </w:tc>
        <w:tc>
          <w:tcPr>
            <w:tcW w:type="dxa" w:w="7128"/>
            <w:shd w:val="clear" w:fill="EDF2F5"/>
          </w:tcPr>
          <w:p>
            <w:pPr>
              <w:pStyle w:val="Compact"/>
              <w:spacing w:before="80" w:after="80"/>
              <w:jc w:val="left"/>
            </w:pPr>
            <w:r>
              <w:rPr>
                <w:b/>
                <w:color w:val="0B3D5C"/>
                <w:sz w:val="19"/>
              </w:rPr>
              <w:t xml:space="preserve">What it would change, and the data behind it</w:t>
            </w:r>
          </w:p>
        </w:tc>
      </w:tr>
      <w:tr>
        <w:tc>
          <w:tcPr>
            <w:tcW w:type="dxa" w:w="2232"/>
          </w:tcPr>
          <w:p>
            <w:pPr>
              <w:pStyle w:val="Compact"/>
              <w:spacing w:before="40" w:after="40"/>
              <w:jc w:val="left"/>
            </w:pPr>
            <w:r>
              <w:rPr>
                <w:bCs/>
                <w:b/>
                <w:sz w:val="19"/>
              </w:rPr>
              <w:t xml:space="preserve">Forward grid carbon and price</w:t>
            </w:r>
          </w:p>
        </w:tc>
        <w:tc>
          <w:tcPr>
            <w:tcW w:type="dxa" w:w="7128"/>
          </w:tcPr>
          <w:p>
            <w:pPr>
              <w:pStyle w:val="Compact"/>
              <w:spacing w:before="40" w:after="40"/>
              <w:jc w:val="left"/>
            </w:pPr>
            <w:r>
              <w:rPr>
                <w:sz w:val="19"/>
              </w:rPr>
              <w:t xml:space="preserve">Imports scored against the grid the facility will actually see. NESO FES 2025: 118 gCO₂/kWh in 2024, −37 to +26 by 2050 across four pathways. DESNZ traded carbon values run £29/tCO₂e in 2025 to £235 in 2050.</w:t>
            </w:r>
          </w:p>
        </w:tc>
      </w:tr>
      <w:tr>
        <w:tc>
          <w:tcPr>
            <w:tcW w:type="dxa" w:w="2232"/>
          </w:tcPr>
          <w:p>
            <w:pPr>
              <w:pStyle w:val="Compact"/>
              <w:spacing w:before="40" w:after="40"/>
              <w:jc w:val="left"/>
            </w:pPr>
            <w:r>
              <w:rPr>
                <w:bCs/>
                <w:b/>
                <w:sz w:val="19"/>
              </w:rPr>
              <w:t xml:space="preserve">Falling equipment costs</w:t>
            </w:r>
          </w:p>
        </w:tc>
        <w:tc>
          <w:tcPr>
            <w:tcW w:type="dxa" w:w="7128"/>
          </w:tcPr>
          <w:p>
            <w:pPr>
              <w:pStyle w:val="Compact"/>
              <w:spacing w:before="40" w:after="40"/>
              <w:jc w:val="left"/>
            </w:pPr>
            <w:r>
              <w:rPr>
                <w:sz w:val="19"/>
              </w:rPr>
              <w:t xml:space="preserve">Answers</w:t>
            </w:r>
            <w:r>
              <w:rPr>
                <w:sz w:val="19"/>
              </w:rPr>
              <w:t xml:space="preserve"> </w:t>
            </w:r>
            <w:r>
              <w:rPr>
                <w:iCs/>
                <w:i/>
                <w:sz w:val="19"/>
              </w:rPr>
              <w:t xml:space="preserve">when</w:t>
            </w:r>
            <w:r>
              <w:rPr>
                <w:sz w:val="19"/>
              </w:rPr>
              <w:t xml:space="preserve"> </w:t>
            </w:r>
            <w:r>
              <w:rPr>
                <w:sz w:val="19"/>
              </w:rPr>
              <w:t xml:space="preserve">to build, not only whether. Learning rates per doubling: solar 23 %, wind 12 %, Li-ion 16 %, alkaline 18 %, PEM 32 % — contested, and none published for tanks, so a band not a point.</w:t>
            </w:r>
          </w:p>
        </w:tc>
      </w:tr>
      <w:tr>
        <w:tc>
          <w:tcPr>
            <w:tcW w:type="dxa" w:w="2232"/>
          </w:tcPr>
          <w:p>
            <w:pPr>
              <w:pStyle w:val="Compact"/>
              <w:spacing w:before="40" w:after="40"/>
              <w:jc w:val="left"/>
            </w:pPr>
            <w:r>
              <w:rPr>
                <w:bCs/>
                <w:b/>
                <w:sz w:val="19"/>
              </w:rPr>
              <w:t xml:space="preserve">Forward-dated inventories</w:t>
            </w:r>
          </w:p>
        </w:tc>
        <w:tc>
          <w:tcPr>
            <w:tcW w:type="dxa" w:w="7128"/>
          </w:tcPr>
          <w:p>
            <w:pPr>
              <w:pStyle w:val="Compact"/>
              <w:spacing w:before="40" w:after="40"/>
              <w:jc w:val="left"/>
            </w:pPr>
            <w:r>
              <w:rPr>
                <w:sz w:val="19"/>
              </w:rPr>
              <w:t xml:space="preserve">Embodied carbon falls as the factories making the kit decarbonise.</w:t>
            </w:r>
            <w:r>
              <w:rPr>
                <w:sz w:val="19"/>
              </w:rPr>
              <w:t xml:space="preserve"> </w:t>
            </w:r>
            <w:r>
              <w:rPr>
                <w:rStyle w:val="VerbatimChar"/>
                <w:sz w:val="19"/>
              </w:rPr>
              <w:t xml:space="preserve">premise</w:t>
            </w:r>
            <w:r>
              <w:rPr>
                <w:sz w:val="19"/>
              </w:rPr>
              <w:t xml:space="preserve"> </w:t>
            </w:r>
            <w:r>
              <w:rPr>
                <w:sz w:val="19"/>
              </w:rPr>
              <w:t xml:space="preserve">rewrites ecoinvent for a future year, free and built on Brightway.</w:t>
            </w:r>
          </w:p>
        </w:tc>
      </w:tr>
      <w:tr>
        <w:tc>
          <w:tcPr>
            <w:tcW w:type="dxa" w:w="2232"/>
          </w:tcPr>
          <w:p>
            <w:pPr>
              <w:pStyle w:val="Compact"/>
              <w:spacing w:before="40" w:after="40"/>
              <w:jc w:val="left"/>
            </w:pPr>
            <w:r>
              <w:rPr>
                <w:bCs/>
                <w:b/>
                <w:sz w:val="19"/>
              </w:rPr>
              <w:t xml:space="preserve">Marginal rather than average grid carbon</w:t>
            </w:r>
          </w:p>
        </w:tc>
        <w:tc>
          <w:tcPr>
            <w:tcW w:type="dxa" w:w="7128"/>
          </w:tcPr>
          <w:p>
            <w:pPr>
              <w:pStyle w:val="Compact"/>
              <w:spacing w:before="40" w:after="40"/>
              <w:jc w:val="left"/>
            </w:pPr>
            <w:r>
              <w:rPr>
                <w:sz w:val="19"/>
              </w:rPr>
              <w:t xml:space="preserve">Changes what avoiding an import is worth. Hawkes: GB long-run marginal 0.26–0.53 kgCO₂/kWh now, near zero by 2035, against 0.69 short-run.</w:t>
            </w:r>
          </w:p>
        </w:tc>
      </w:tr>
    </w:tbl>
    <w:p>
      <w:pPr>
        <w:pStyle w:val="BodyText"/>
      </w:pPr>
      <w:r>
        <w:t xml:space="preserve">The first changes the most and is the cheapest to build: a system sized against a 250 gCO₂/kWh grid is over-built for one heading toward zero, and</w:t>
      </w:r>
      <w:r>
        <w:t xml:space="preserve"> </w:t>
      </w:r>
      <w:r>
        <w:rPr>
          <w:rStyle w:val="VerbatimChar"/>
        </w:rPr>
        <w:t xml:space="preserve">h2_prices.py</w:t>
      </w:r>
      <w:r>
        <w:t xml:space="preserve"> </w:t>
      </w:r>
      <w:r>
        <w:t xml:space="preserve">already parses the FES workbook.</w:t>
      </w:r>
    </w:p>
    <w:bookmarkEnd w:id="38"/>
    <w:bookmarkStart w:id="39" w:name="the-immediate-worklist"/>
    <w:p>
      <w:pPr>
        <w:pStyle w:val="Heading1"/>
      </w:pPr>
      <w:r>
        <w:t xml:space="preserve">9. The immediate worklist</w:t>
      </w:r>
    </w:p>
    <w:p>
      <w:pPr>
        <w:pStyle w:val="FirstParagraph"/>
      </w:pPr>
      <w:r>
        <w:t xml:space="preserve">Ahead of the dynamic work, the near-term list (</w:t>
      </w:r>
      <w:r>
        <w:rPr>
          <w:rStyle w:val="VerbatimChar"/>
        </w:rPr>
        <w:t xml:space="preserve">TODO.md</w:t>
      </w:r>
      <w:r>
        <w:t xml:space="preserve">) closes the inputs on which the hydrogen cost axis still turns, so the dynamic outlook is built on a defensible static base:</w:t>
      </w:r>
    </w:p>
    <w:p>
      <w:pPr>
        <w:numPr>
          <w:ilvl w:val="0"/>
          <w:numId w:val="1006"/>
        </w:numPr>
        <w:pStyle w:val="Compact"/>
      </w:pPr>
      <w:r>
        <w:rPr>
          <w:bCs/>
          <w:b/>
        </w:rPr>
        <w:t xml:space="preserve">Fuel cell capital cost, and a per-replacement stack cost.</w:t>
      </w:r>
      <w:r>
        <w:t xml:space="preserve"> </w:t>
      </w:r>
      <w:r>
        <w:t xml:space="preserve">Until this closes, the cost axis of every hydrogen architecture carries a roughly 4× range with a known-direction bias, and cost-optimal builds over-run the fuel cell for free.</w:t>
      </w:r>
    </w:p>
    <w:p>
      <w:pPr>
        <w:numPr>
          <w:ilvl w:val="0"/>
          <w:numId w:val="1006"/>
        </w:numPr>
        <w:pStyle w:val="Compact"/>
      </w:pPr>
      <w:r>
        <w:rPr>
          <w:bCs/>
          <w:b/>
        </w:rPr>
        <w:t xml:space="preserve">SOEC capital and operating cost</w:t>
      </w:r>
      <w:r>
        <w:t xml:space="preserve">, currently a PEM multiple with no source. Carbon-only SOEC results are a defensible partial result meanwhile; cost-optimal SOEC is not.</w:t>
      </w:r>
    </w:p>
    <w:p>
      <w:pPr>
        <w:numPr>
          <w:ilvl w:val="0"/>
          <w:numId w:val="1006"/>
        </w:numPr>
        <w:pStyle w:val="Compact"/>
      </w:pPr>
      <w:r>
        <w:rPr>
          <w:bCs/>
          <w:b/>
        </w:rPr>
        <w:t xml:space="preserve">Electrolyser consumables.</w:t>
      </w:r>
      <w:r>
        <w:t xml:space="preserve"> </w:t>
      </w:r>
      <w:r>
        <w:t xml:space="preserve">SOEC’s external heat and water demand are charged in carbon and free in cost, so the cost objective prefers SOEC partly for a reason that does not exist.</w:t>
      </w:r>
    </w:p>
    <w:p>
      <w:pPr>
        <w:numPr>
          <w:ilvl w:val="0"/>
          <w:numId w:val="1006"/>
        </w:numPr>
        <w:pStyle w:val="Compact"/>
      </w:pPr>
      <w:r>
        <w:rPr>
          <w:bCs/>
          <w:b/>
        </w:rPr>
        <w:t xml:space="preserve">Sweep the two storage loss terms.</w:t>
      </w:r>
      <w:r>
        <w:t xml:space="preserve"> </w:t>
      </w:r>
      <w:r>
        <w:t xml:space="preserve">Battery standing loss and tank leakage are both pinned at zero and push in opposite directions, so the hydrogen-versus-battery seasonal result is currently unbounded rather than conservative.</w:t>
      </w:r>
    </w:p>
    <w:p>
      <w:pPr>
        <w:numPr>
          <w:ilvl w:val="0"/>
          <w:numId w:val="1006"/>
        </w:numPr>
        <w:pStyle w:val="Compact"/>
      </w:pPr>
      <w:r>
        <w:rPr>
          <w:bCs/>
          <w:b/>
        </w:rPr>
        <w:t xml:space="preserve">Report the two large assumed scalars as bands rather than points</w:t>
      </w:r>
      <w:r>
        <w:t xml:space="preserve"> </w:t>
      </w:r>
      <w:r>
        <w:t xml:space="preserve">— the green-hydrogen grid share and the transmission-connected flag. The transmission/distribution threshold alone swings the network bill from £270k to £4.67m a year.</w:t>
      </w:r>
    </w:p>
    <w:bookmarkEnd w:id="39"/>
    <w:bookmarkStart w:id="40" w:name="references"/>
    <w:p>
      <w:pPr>
        <w:pStyle w:val="Heading1"/>
      </w:pPr>
      <w:r>
        <w:t xml:space="preserve">10. References</w:t>
      </w:r>
    </w:p>
    <w:p>
      <w:pPr>
        <w:pStyle w:val="FirstParagraph"/>
      </w:pPr>
      <w:r>
        <w:t xml:space="preserve">DESNZ.</w:t>
      </w:r>
      <w:r>
        <w:t xml:space="preserve"> </w:t>
      </w:r>
      <w:r>
        <w:rPr>
          <w:iCs/>
          <w:i/>
        </w:rPr>
        <w:t xml:space="preserve">Traded carbon values used for modelling purposes, 2025</w:t>
      </w:r>
      <w:r>
        <w:t xml:space="preserve">;</w:t>
      </w:r>
      <w:r>
        <w:t xml:space="preserve"> </w:t>
      </w:r>
      <w:r>
        <w:rPr>
          <w:iCs/>
          <w:i/>
        </w:rPr>
        <w:t xml:space="preserve">Energy and emissions projections: 2024 to 2050</w:t>
      </w:r>
      <w:r>
        <w:t xml:space="preserve">;</w:t>
      </w:r>
      <w:r>
        <w:t xml:space="preserve"> </w:t>
      </w:r>
      <w:r>
        <w:rPr>
          <w:iCs/>
          <w:i/>
        </w:rPr>
        <w:t xml:space="preserve">Fossil fuel price assumptions</w:t>
      </w:r>
      <w:r>
        <w:t xml:space="preserve">.</w:t>
      </w:r>
    </w:p>
    <w:p>
      <w:pPr>
        <w:pStyle w:val="BodyText"/>
      </w:pPr>
      <w:r>
        <w:t xml:space="preserve">Galletti, A. et al. (2025). Learning in green hydrogen production: Insights from a novel European dataset.</w:t>
      </w:r>
      <w:r>
        <w:t xml:space="preserve"> </w:t>
      </w:r>
      <w:r>
        <w:rPr>
          <w:iCs/>
          <w:i/>
        </w:rPr>
        <w:t xml:space="preserve">International Journal of Hydrogen Energy</w:t>
      </w:r>
      <w:r>
        <w:t xml:space="preserve">, 148, 149812.</w:t>
      </w:r>
    </w:p>
    <w:p>
      <w:pPr>
        <w:pStyle w:val="BodyText"/>
      </w:pPr>
      <w:r>
        <w:t xml:space="preserve">Hawkes, A. D. (2014). Long-run marginal CO₂ emissions factors in national electricity systems.</w:t>
      </w:r>
      <w:r>
        <w:t xml:space="preserve"> </w:t>
      </w:r>
      <w:r>
        <w:rPr>
          <w:iCs/>
          <w:i/>
        </w:rPr>
        <w:t xml:space="preserve">Applied Energy</w:t>
      </w:r>
      <w:r>
        <w:t xml:space="preserve">, 125, 197–205.</w:t>
      </w:r>
    </w:p>
    <w:p>
      <w:pPr>
        <w:pStyle w:val="BodyText"/>
      </w:pPr>
      <w:r>
        <w:t xml:space="preserve">Mutel, C. (2017). Brightway: An open source framework for Life Cycle Assessment.</w:t>
      </w:r>
      <w:r>
        <w:t xml:space="preserve"> </w:t>
      </w:r>
      <w:r>
        <w:rPr>
          <w:iCs/>
          <w:i/>
        </w:rPr>
        <w:t xml:space="preserve">Journal of Open Source Software</w:t>
      </w:r>
      <w:r>
        <w:t xml:space="preserve">, 2(12), 236.</w:t>
      </w:r>
    </w:p>
    <w:p>
      <w:pPr>
        <w:pStyle w:val="BodyText"/>
      </w:pPr>
      <w:r>
        <w:t xml:space="preserve">NESO (2025).</w:t>
      </w:r>
      <w:r>
        <w:t xml:space="preserve"> </w:t>
      </w:r>
      <w:r>
        <w:rPr>
          <w:iCs/>
          <w:i/>
        </w:rPr>
        <w:t xml:space="preserve">Future Energy Scenarios 2025</w:t>
      </w:r>
      <w:r>
        <w:t xml:space="preserve"> </w:t>
      </w:r>
      <w:r>
        <w:t xml:space="preserve">and</w:t>
      </w:r>
      <w:r>
        <w:t xml:space="preserve"> </w:t>
      </w:r>
      <w:r>
        <w:rPr>
          <w:iCs/>
          <w:i/>
        </w:rPr>
        <w:t xml:space="preserve">FES 2025 Data Workbook</w:t>
      </w:r>
      <w:r>
        <w:t xml:space="preserve">.</w:t>
      </w:r>
    </w:p>
    <w:p>
      <w:pPr>
        <w:pStyle w:val="BodyText"/>
      </w:pPr>
      <w:r>
        <w:t xml:space="preserve">Nordhaus, W. D. (2014). The perils of the learning model for modeling endogenous technological change.</w:t>
      </w:r>
      <w:r>
        <w:t xml:space="preserve"> </w:t>
      </w:r>
      <w:r>
        <w:rPr>
          <w:iCs/>
          <w:i/>
        </w:rPr>
        <w:t xml:space="preserve">The Energy Journal</w:t>
      </w:r>
      <w:r>
        <w:t xml:space="preserve">, 35(1), 1–13.</w:t>
      </w:r>
    </w:p>
    <w:p>
      <w:pPr>
        <w:pStyle w:val="BodyText"/>
      </w:pPr>
      <w:r>
        <w:t xml:space="preserve">Poncelet, K. et al. (2016). Impact of the level of temporal and operational detail in energy-system planning models.</w:t>
      </w:r>
      <w:r>
        <w:t xml:space="preserve"> </w:t>
      </w:r>
      <w:r>
        <w:rPr>
          <w:iCs/>
          <w:i/>
        </w:rPr>
        <w:t xml:space="preserve">Applied Energy</w:t>
      </w:r>
      <w:r>
        <w:t xml:space="preserve">, 162, 631–643.</w:t>
      </w:r>
    </w:p>
    <w:p>
      <w:pPr>
        <w:pStyle w:val="BodyText"/>
      </w:pPr>
      <w:r>
        <w:t xml:space="preserve">Rubin, E. S. et al. (2015). A review of learning rates for electricity supply technologies.</w:t>
      </w:r>
      <w:r>
        <w:t xml:space="preserve"> </w:t>
      </w:r>
      <w:r>
        <w:rPr>
          <w:iCs/>
          <w:i/>
        </w:rPr>
        <w:t xml:space="preserve">Energy Policy</w:t>
      </w:r>
      <w:r>
        <w:t xml:space="preserve">, 86, 198–218.</w:t>
      </w:r>
    </w:p>
    <w:p>
      <w:pPr>
        <w:pStyle w:val="BodyText"/>
      </w:pPr>
      <w:r>
        <w:t xml:space="preserve">Sacchi, R. et al. (2022). PRospective EnvironMental Impact asSEment (premise).</w:t>
      </w:r>
      <w:r>
        <w:t xml:space="preserve"> </w:t>
      </w:r>
      <w:r>
        <w:rPr>
          <w:iCs/>
          <w:i/>
        </w:rPr>
        <w:t xml:space="preserve">Renewable and Sustainable Energy Reviews</w:t>
      </w:r>
      <w:r>
        <w:t xml:space="preserve">, 160, 112311.</w:t>
      </w:r>
    </w:p>
    <w:p>
      <w:pPr>
        <w:pStyle w:val="BodyText"/>
      </w:pPr>
      <w:r>
        <w:t xml:space="preserve">Schmidt, O. et al. (2017). The future cost of electrical energy storage based on experience rates.</w:t>
      </w:r>
      <w:r>
        <w:t xml:space="preserve"> </w:t>
      </w:r>
      <w:r>
        <w:rPr>
          <w:iCs/>
          <w:i/>
        </w:rPr>
        <w:t xml:space="preserve">Nature Energy</w:t>
      </w:r>
      <w:r>
        <w:t xml:space="preserve">, 2, 17110.</w:t>
      </w:r>
    </w:p>
    <w:p>
      <w:pPr>
        <w:pStyle w:val="BodyText"/>
      </w:pPr>
      <w:r>
        <w:t xml:space="preserve">Way, R., Ives, M. C., Mealy, P. &amp; Farmer, J. D. (2022). Empirically grounded technology forecasts and the energy transition.</w:t>
      </w:r>
      <w:r>
        <w:t xml:space="preserve"> </w:t>
      </w:r>
      <w:r>
        <w:rPr>
          <w:iCs/>
          <w:i/>
        </w:rPr>
        <w:t xml:space="preserve">Joule</w:t>
      </w:r>
      <w:r>
        <w:t xml:space="preserve">, 6(9), 2057–2082.</w:t>
      </w:r>
    </w:p>
    <w:bookmarkEnd w:id="40"/>
    <w:sectPr>
      <w:footerReference w:type="default" r:id="rId9"/>
      <w:pgMar w:bottom="1296" w:left="1440" w:right="1440"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
      <w:rPr>
        <w:rFonts w:ascii="Calibri" w:hAnsi="Calibri"/>
        <w:color w:val="7A848C"/>
        <w:sz w:val="17"/>
      </w:rPr>
      <w:t>The grid-constrained load optimiser — technical overview</w:t>
      <w:tab/>
    </w:r>
    <w:r>
      <w:rPr>
        <w:rFonts w:ascii="Calibri" w:hAnsi="Calibri"/>
        <w:color w:val="7A848C"/>
        <w:sz w:val="17"/>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before="0" w:line="283" w:lineRule="auto"/>
    </w:pPr>
    <w:rPr>
      <w:rFonts w:ascii="Calibri" w:cs="Calibri" w:eastAsia="Calibri" w:hAnsi="Calibri"/>
      <w:color w:val="1A1A1A"/>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0"/>
      <w:jc w:val="center"/>
    </w:pPr>
    <w:rPr>
      <w:rFonts w:ascii="Calibri" w:asciiTheme="majorHAnsi" w:cs="Calibri" w:cstheme="majorBidi" w:eastAsia="Calibri" w:eastAsiaTheme="majorEastAsia" w:hAnsi="Calibri" w:hAnsiTheme="majorHAnsi"/>
      <w:b/>
      <w:bCs/>
      <w:i w:val="0"/>
      <w:color w:val="0B3D5C"/>
      <w:sz w:val="52"/>
      <w:szCs w:val="36"/>
    </w:rPr>
  </w:style>
  <w:style w:styleId="Subtitle" w:type="paragraph">
    <w:name w:val="Subtitle"/>
    <w:basedOn w:val="Title"/>
    <w:next w:val="BodyText"/>
    <w:qFormat/>
    <w:pPr>
      <w:keepNext/>
      <w:keepLines/>
      <w:spacing w:after="360" w:before="0"/>
      <w:jc w:val="center"/>
    </w:pPr>
    <w:rPr>
      <w:rFonts w:ascii="Calibri" w:cs="Calibri" w:eastAsia="Calibri" w:hAnsi="Calibri"/>
      <w:b w:val="0"/>
      <w:i w:val="0"/>
      <w:color w:val="5A636B"/>
      <w:sz w:val="25"/>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20"/>
      <w:ind w:firstLine="0" w:left="317" w:right="480"/>
    </w:pPr>
    <w:rPr>
      <w:rFonts w:ascii="Calibri" w:cs="Calibri" w:eastAsia="Calibri" w:hAnsi="Calibri"/>
      <w:i w:val="0"/>
      <w:color w:val="223344"/>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9"/>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cs="Calibri" w:eastAsia="Calibri" w:hAnsi="Calibri"/>
      <w:b w:val="0"/>
      <w:i/>
      <w:color w:val="5A636B"/>
      <w:sz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grid-constrained load optimiser</dc:title>
  <dc:creator/>
  <cp:keywords/>
  <dcterms:created xsi:type="dcterms:W3CDTF">2026-09-17T12:00:23Z</dcterms:created>
  <dcterms:modified xsi:type="dcterms:W3CDTF">2026-09-17T12:00:23Z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What the model is, what it includes, who it is for, how the linear programme works, and where it goes next — September 2026</vt:lpwstr>
  </property>
</Properties>
</file>