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this</w:t>
      </w:r>
      <w:r>
        <w:t xml:space="preserve"> </w:t>
      </w:r>
      <w:r>
        <w:t xml:space="preserve">is</w:t>
      </w:r>
      <w:r>
        <w:t xml:space="preserve"> </w:t>
      </w:r>
      <w:r>
        <w:t xml:space="preserve">for,</w:t>
      </w:r>
      <w:r>
        <w:t xml:space="preserve"> </w:t>
      </w:r>
      <w:r>
        <w:t xml:space="preserve">and</w:t>
      </w:r>
      <w:r>
        <w:t xml:space="preserve"> </w:t>
      </w:r>
      <w:r>
        <w:t xml:space="preserve">why</w:t>
      </w:r>
      <w:r>
        <w:t xml:space="preserve"> </w:t>
      </w:r>
      <w:r>
        <w:t xml:space="preserve">they</w:t>
      </w:r>
      <w:r>
        <w:t xml:space="preserve"> </w:t>
      </w:r>
      <w:r>
        <w:t xml:space="preserve">would</w:t>
      </w:r>
      <w:r>
        <w:t xml:space="preserve"> </w:t>
      </w:r>
      <w:r>
        <w:t xml:space="preserve">pay</w:t>
      </w:r>
    </w:p>
    <w:p>
      <w:pPr>
        <w:pStyle w:val="Subtitle"/>
      </w:pPr>
      <w:r>
        <w:t xml:space="preserve">Commercial</w:t>
      </w:r>
      <w:r>
        <w:t xml:space="preserve"> </w:t>
      </w:r>
      <w:r>
        <w:t xml:space="preserve">brief</w:t>
      </w:r>
      <w:r>
        <w:t xml:space="preserve"> </w:t>
      </w:r>
      <w:r>
        <w:t xml:space="preserve">for</w:t>
      </w:r>
      <w:r>
        <w:t xml:space="preserve"> </w:t>
      </w:r>
      <w:r>
        <w:t xml:space="preserve">the</w:t>
      </w:r>
      <w:r>
        <w:t xml:space="preserve"> </w:t>
      </w:r>
      <w:r>
        <w:t xml:space="preserve">grid-constrained</w:t>
      </w:r>
      <w:r>
        <w:t xml:space="preserve"> </w:t>
      </w:r>
      <w:r>
        <w:t xml:space="preserve">load</w:t>
      </w:r>
      <w:r>
        <w:t xml:space="preserve"> </w:t>
      </w:r>
      <w:r>
        <w:t xml:space="preserve">optimiser</w:t>
      </w:r>
      <w:r>
        <w:t xml:space="preserve"> </w:t>
      </w:r>
      <w:r>
        <w:t xml:space="preserve">—</w:t>
      </w:r>
      <w:r>
        <w:t xml:space="preserve"> </w:t>
      </w:r>
      <w:r>
        <w:t xml:space="preserve">September</w:t>
      </w:r>
      <w:r>
        <w:t xml:space="preserve"> </w:t>
      </w:r>
      <w:r>
        <w:t xml:space="preserve">2026</w:t>
      </w:r>
    </w:p>
    <w:bookmarkStart w:id="20" w:name="executive-summary"/>
    <w:p>
      <w:pPr>
        <w:pStyle w:val="Heading1"/>
      </w:pPr>
      <w:r>
        <w:t xml:space="preserve">Executive summary</w:t>
      </w:r>
    </w:p>
    <w:p>
      <w:pPr>
        <w:pStyle w:val="FirstParagraph"/>
      </w:pPr>
      <w:r>
        <w:t xml:space="preserve">A large new electricity load can no longer simply ask for a grid connection and get one. Great Britain’s connections queue stands at</w:t>
      </w:r>
      <w:r>
        <w:t xml:space="preserve"> </w:t>
      </w:r>
      <w:r>
        <w:rPr>
          <w:bCs/>
          <w:b/>
        </w:rPr>
        <w:t xml:space="preserve">738 GW</w:t>
      </w:r>
      <w:r>
        <w:t xml:space="preserve">, its demand side tripled from 41 GW to 125 GW in seven months, and developers are being quoted connection dates</w:t>
      </w:r>
      <w:r>
        <w:t xml:space="preserve"> </w:t>
      </w:r>
      <w:r>
        <w:rPr>
          <w:bCs/>
          <w:b/>
        </w:rPr>
        <w:t xml:space="preserve">“</w:t>
      </w:r>
      <w:r>
        <w:rPr>
          <w:bCs/>
          <w:b/>
        </w:rPr>
        <w:t xml:space="preserve">in 2037 and beyond</w:t>
      </w:r>
      <w:r>
        <w:rPr>
          <w:bCs/>
          <w:b/>
        </w:rPr>
        <w:t xml:space="preserve">”</w:t>
      </w:r>
      <w:r>
        <w:t xml:space="preserve">. Around</w:t>
      </w:r>
      <w:r>
        <w:t xml:space="preserve"> </w:t>
      </w:r>
      <w:r>
        <w:rPr>
          <w:bCs/>
          <w:b/>
        </w:rPr>
        <w:t xml:space="preserve">86 GW</w:t>
      </w:r>
      <w:r>
        <w:t xml:space="preserve"> </w:t>
      </w:r>
      <w:r>
        <w:t xml:space="preserve">of approved transmission demand is phased into 2030–2035, and roughly</w:t>
      </w:r>
      <w:r>
        <w:t xml:space="preserve"> </w:t>
      </w:r>
      <w:r>
        <w:rPr>
          <w:bCs/>
          <w:b/>
        </w:rPr>
        <w:t xml:space="preserve">117 UK projects are already trying to build their own way out</w:t>
      </w:r>
      <w:r>
        <w:t xml:space="preserve">, mostly with gas. Each faces the same question — how much generation, storage, hydrogen and grid connection to build, and how to run it half-hour by half-hour — and today answers it with a consultancy study or a spreadsheet.</w:t>
      </w:r>
    </w:p>
    <w:p>
      <w:pPr>
        <w:numPr>
          <w:ilvl w:val="0"/>
          <w:numId w:val="1001"/>
        </w:numPr>
        <w:pStyle w:val="Compact"/>
      </w:pPr>
      <w:r>
        <w:rPr>
          <w:bCs/>
          <w:b/>
        </w:rPr>
        <w:t xml:space="preserve">The market.</w:t>
      </w:r>
      <w:r>
        <w:t xml:space="preserve"> </w:t>
      </w:r>
      <w:r>
        <w:t xml:space="preserve">About 315 UK data centre projects are in the queue, roughly 257 of them at 100 MW or more, alongside industry, ports and hydrogen producers. Ireland already</w:t>
      </w:r>
      <w:r>
        <w:t xml:space="preserve"> </w:t>
      </w:r>
      <w:r>
        <w:rPr>
          <w:iCs/>
          <w:i/>
        </w:rPr>
        <w:t xml:space="preserve">requires</w:t>
      </w:r>
      <w:r>
        <w:t xml:space="preserve"> </w:t>
      </w:r>
      <w:r>
        <w:t xml:space="preserve">new data centres to match import capacity with on-site generation and storage, so compliance there is impossible without this calculation.</w:t>
      </w:r>
    </w:p>
    <w:p>
      <w:pPr>
        <w:numPr>
          <w:ilvl w:val="0"/>
          <w:numId w:val="1001"/>
        </w:numPr>
        <w:pStyle w:val="Compact"/>
      </w:pPr>
      <w:r>
        <w:rPr>
          <w:bCs/>
          <w:b/>
        </w:rPr>
        <w:t xml:space="preserve">The value.</w:t>
      </w:r>
      <w:r>
        <w:t xml:space="preserve"> </w:t>
      </w:r>
      <w:r>
        <w:t xml:space="preserve">A 100 MW data centre is a ~£950 million project carrying £380–430 million of power system, whose developer must post</w:t>
      </w:r>
      <w:r>
        <w:t xml:space="preserve"> </w:t>
      </w:r>
      <w:r>
        <w:rPr>
          <w:bCs/>
          <w:b/>
        </w:rPr>
        <w:t xml:space="preserve">£23.8–71.3 million</w:t>
      </w:r>
      <w:r>
        <w:t xml:space="preserve"> </w:t>
      </w:r>
      <w:r>
        <w:t xml:space="preserve">just to hold a queue place. UK power for that load costs about</w:t>
      </w:r>
      <w:r>
        <w:t xml:space="preserve"> </w:t>
      </w:r>
      <w:r>
        <w:rPr>
          <w:bCs/>
          <w:b/>
        </w:rPr>
        <w:t xml:space="preserve">£170 million a year more than in the US</w:t>
      </w:r>
      <w:r>
        <w:t xml:space="preserve">.</w:t>
      </w:r>
    </w:p>
    <w:p>
      <w:pPr>
        <w:numPr>
          <w:ilvl w:val="0"/>
          <w:numId w:val="1001"/>
        </w:numPr>
        <w:pStyle w:val="Compact"/>
      </w:pPr>
      <w:r>
        <w:rPr>
          <w:bCs/>
          <w:b/>
        </w:rPr>
        <w:t xml:space="preserve">The wedge.</w:t>
      </w:r>
      <w:r>
        <w:t xml:space="preserve"> </w:t>
      </w:r>
      <w:r>
        <w:t xml:space="preserve">We optimise cost against</w:t>
      </w:r>
      <w:r>
        <w:t xml:space="preserve"> </w:t>
      </w:r>
      <w:r>
        <w:rPr>
          <w:bCs/>
          <w:b/>
        </w:rPr>
        <w:t xml:space="preserve">life-cycle</w:t>
      </w:r>
      <w:r>
        <w:t xml:space="preserve"> </w:t>
      </w:r>
      <w:r>
        <w:t xml:space="preserve">carbon — what the equipment cost to build as well as what it emits running. No comparable design tool does; they use operational emission factors, under which a wind farm is free of carbon.</w:t>
      </w:r>
    </w:p>
    <w:p>
      <w:pPr>
        <w:numPr>
          <w:ilvl w:val="0"/>
          <w:numId w:val="1001"/>
        </w:numPr>
        <w:pStyle w:val="Compact"/>
      </w:pPr>
      <w:r>
        <w:rPr>
          <w:bCs/>
          <w:b/>
        </w:rPr>
        <w:t xml:space="preserve">The proof.</w:t>
      </w:r>
      <w:r>
        <w:t xml:space="preserve"> </w:t>
      </w:r>
      <w:r>
        <w:t xml:space="preserve">On the model’s own validation run, the optimised build delivers at</w:t>
      </w:r>
      <w:r>
        <w:t xml:space="preserve"> </w:t>
      </w:r>
      <w:r>
        <w:rPr>
          <w:bCs/>
          <w:b/>
        </w:rPr>
        <w:t xml:space="preserve">£76.49/MWh against £103.09</w:t>
      </w:r>
      <w:r>
        <w:t xml:space="preserve"> </w:t>
      </w:r>
      <w:r>
        <w:t xml:space="preserve">grid-only, and</w:t>
      </w:r>
      <w:r>
        <w:t xml:space="preserve"> </w:t>
      </w:r>
      <w:r>
        <w:rPr>
          <w:bCs/>
          <w:b/>
        </w:rPr>
        <w:t xml:space="preserve">6,605 tCO₂e against 16,014 t</w:t>
      </w:r>
      <w:r>
        <w:t xml:space="preserve">.</w:t>
      </w:r>
    </w:p>
    <w:p>
      <w:pPr>
        <w:numPr>
          <w:ilvl w:val="0"/>
          <w:numId w:val="1001"/>
        </w:numPr>
        <w:pStyle w:val="Compact"/>
      </w:pPr>
      <w:r>
        <w:rPr>
          <w:bCs/>
          <w:b/>
        </w:rPr>
        <w:t xml:space="preserve">The honest limit.</w:t>
      </w:r>
      <w:r>
        <w:t xml:space="preserve"> </w:t>
      </w:r>
      <w:r>
        <w:t xml:space="preserve">XENDEE already sells cost-versus-carbon optimisation with a hydrogen chain and a data centre vertical; PyPSA does the optimisation free on our exact software stack. Embodied carbon and UK network charging are the defensible differences — not the method.</w:t>
      </w:r>
    </w:p>
    <w:p>
      <w:pPr>
        <w:pStyle w:val="FirstParagraph"/>
      </w:pPr>
      <w:r>
        <w:t xml:space="preserve">What the brief does not settle is the commercial model — per-project study, subscription or assurance layer, and what an ecoinvent reseller licence costs (§10). That needs a decision, not more research.</w:t>
      </w:r>
    </w:p>
    <w:bookmarkEnd w:id="20"/>
    <w:bookmarkStart w:id="21" w:name="the-proposition-in-one-page"/>
    <w:p>
      <w:pPr>
        <w:pStyle w:val="Heading1"/>
      </w:pPr>
      <w:r>
        <w:t xml:space="preserve">1. The proposition, in one page</w:t>
      </w:r>
    </w:p>
    <w:p>
      <w:pPr>
        <w:pStyle w:val="FirstParagraph"/>
      </w:pPr>
      <w:r>
        <w:t xml:space="preserve">Across Britain, Ireland, the Netherlands, Virginia, Texas and the PJM region, a large new electricity user can no longer simply ask for a connection and get one. In Great Britain the connections queue stands at</w:t>
      </w:r>
      <w:r>
        <w:t xml:space="preserve"> </w:t>
      </w:r>
      <w:r>
        <w:rPr>
          <w:bCs/>
          <w:b/>
        </w:rPr>
        <w:t xml:space="preserve">738 GW</w:t>
      </w:r>
      <w:r>
        <w:t xml:space="preserve"> </w:t>
      </w:r>
      <w:r>
        <w:t xml:space="preserve">against roughly 200–225 GW of clean generation actually needed by 2030, and the</w:t>
      </w:r>
      <w:r>
        <w:t xml:space="preserve"> </w:t>
      </w:r>
      <w:r>
        <w:rPr>
          <w:iCs/>
          <w:i/>
        </w:rPr>
        <w:t xml:space="preserve">demand</w:t>
      </w:r>
      <w:r>
        <w:t xml:space="preserve"> </w:t>
      </w:r>
      <w:r>
        <w:t xml:space="preserve">side of that queue — factories, ports, data centres, everything that consumes rather than generates — tripled from</w:t>
      </w:r>
      <w:r>
        <w:t xml:space="preserve"> </w:t>
      </w:r>
      <w:r>
        <w:rPr>
          <w:bCs/>
          <w:b/>
        </w:rPr>
        <w:t xml:space="preserve">41 GW in November 2024 to 125 GW by June 2025</w:t>
      </w:r>
      <w:r>
        <w:t xml:space="preserve">. For scale, Britain’s entire peak electricity demand is about</w:t>
      </w:r>
      <w:r>
        <w:t xml:space="preserve"> </w:t>
      </w:r>
      <w:r>
        <w:rPr>
          <w:bCs/>
          <w:b/>
        </w:rPr>
        <w:t xml:space="preserve">45 GW</w:t>
      </w:r>
      <w:r>
        <w:t xml:space="preserve">.</w:t>
      </w:r>
    </w:p>
    <w:p>
      <w:pPr>
        <w:pStyle w:val="BodyText"/>
      </w:pPr>
      <w:r>
        <w:t xml:space="preserve">The consequence is that the binding constraint on a £950 million data centre, a £1.25 billion steelworks or a port’s decarbonisation plan is no longer capital, land or planning. It is a wire. Developers are being quoted connection dates</w:t>
      </w:r>
      <w:r>
        <w:t xml:space="preserve"> </w:t>
      </w:r>
      <w:r>
        <w:rPr>
          <w:bCs/>
          <w:b/>
        </w:rPr>
        <w:t xml:space="preserve">“</w:t>
      </w:r>
      <w:r>
        <w:rPr>
          <w:bCs/>
          <w:b/>
        </w:rPr>
        <w:t xml:space="preserve">in 2037 and beyond</w:t>
      </w:r>
      <w:r>
        <w:rPr>
          <w:bCs/>
          <w:b/>
        </w:rPr>
        <w:t xml:space="preserve">”</w:t>
      </w:r>
      <w:r>
        <w:t xml:space="preserve">. UK ports report lead times of up to fifteen years, with one told 2039. Tata Steel’s electric arc furnace at Port Talbot has slipped by up to twelve months over an electricity supply issue alone.</w:t>
      </w:r>
    </w:p>
    <w:p>
      <w:pPr>
        <w:pStyle w:val="BodyText"/>
      </w:pPr>
      <w:r>
        <w:t xml:space="preserve">When the wire is not available, the load has to make its own arrangements: some generation on site, some storage, perhaps hydrogen, a smaller connection used more cleverly, or a combination. That is a genuinely hard design problem — it has nine interacting assets, 17,520 half-hourly decisions a year, two objectives that pull against each other, and an answer that changes with the site, the year and the technology prices.</w:t>
      </w:r>
    </w:p>
    <w:p>
      <w:pPr>
        <w:pStyle w:val="BodyText"/>
      </w:pPr>
      <w:r>
        <w:rPr>
          <w:bCs/>
          <w:b/>
        </w:rPr>
        <w:t xml:space="preserve">This tool solves that problem exactly, and it is the only one we can find that scores the answer on full life-cycle carbon rather than operational emissions alone.</w:t>
      </w:r>
    </w:p>
    <w:p>
      <w:pPr>
        <w:pStyle w:val="BodyText"/>
      </w:pPr>
      <w:r>
        <w:t xml:space="preserve">Three things follow commercially:</w:t>
      </w:r>
    </w:p>
    <w:p>
      <w:pPr>
        <w:numPr>
          <w:ilvl w:val="0"/>
          <w:numId w:val="1002"/>
        </w:numPr>
        <w:pStyle w:val="Compact"/>
      </w:pPr>
      <w:r>
        <w:rPr>
          <w:bCs/>
          <w:b/>
        </w:rPr>
        <w:t xml:space="preserve">There is a large, identifiable, time-pressured population of buyers.</w:t>
      </w:r>
      <w:r>
        <w:t xml:space="preserve"> </w:t>
      </w:r>
      <w:r>
        <w:t xml:space="preserve">In the UK alone, roughly 315 data centre projects sit in the connection queue, about 257 of them at 100 MW or more, and Ofgem counts around</w:t>
      </w:r>
      <w:r>
        <w:t xml:space="preserve"> </w:t>
      </w:r>
      <w:r>
        <w:rPr>
          <w:bCs/>
          <w:b/>
        </w:rPr>
        <w:t xml:space="preserve">117 live cases already pursuing gas connections plus on-site generation</w:t>
      </w:r>
      <w:r>
        <w:t xml:space="preserve"> </w:t>
      </w:r>
      <w:r>
        <w:t xml:space="preserve">as a workaround. That last figure is the immediate beachhead: those projects are, right now, making exactly this decision.</w:t>
      </w:r>
    </w:p>
    <w:p>
      <w:pPr>
        <w:numPr>
          <w:ilvl w:val="0"/>
          <w:numId w:val="1002"/>
        </w:numPr>
        <w:pStyle w:val="Compact"/>
      </w:pPr>
      <w:r>
        <w:rPr>
          <w:bCs/>
          <w:b/>
        </w:rPr>
        <w:t xml:space="preserve">The decision is expensive enough to justify a serious fee.</w:t>
      </w:r>
      <w:r>
        <w:t xml:space="preserve"> </w:t>
      </w:r>
      <w:r>
        <w:t xml:space="preserve">At Ofgem’s own working assumption of</w:t>
      </w:r>
      <w:r>
        <w:t xml:space="preserve"> </w:t>
      </w:r>
      <w:r>
        <w:rPr>
          <w:bCs/>
          <w:b/>
        </w:rPr>
        <w:t xml:space="preserve">£9.5 million of capital per MW</w:t>
      </w:r>
      <w:r>
        <w:t xml:space="preserve">, a 100 MW data centre is a £950 million project, of which the power system is roughly 40–45 % of hard construction cost —</w:t>
      </w:r>
      <w:r>
        <w:t xml:space="preserve"> </w:t>
      </w:r>
      <w:r>
        <w:rPr>
          <w:bCs/>
          <w:b/>
        </w:rPr>
        <w:t xml:space="preserve">£380–430 million</w:t>
      </w:r>
      <w:r>
        <w:t xml:space="preserve">. Under Ofgem’s proposed reforms the same developer must also post a commitment fee of</w:t>
      </w:r>
      <w:r>
        <w:t xml:space="preserve"> </w:t>
      </w:r>
      <w:r>
        <w:rPr>
          <w:bCs/>
          <w:b/>
        </w:rPr>
        <w:t xml:space="preserve">£23.8–71.3 million</w:t>
      </w:r>
      <w:r>
        <w:t xml:space="preserve"> </w:t>
      </w:r>
      <w:r>
        <w:t xml:space="preserve">simply to hold its place in the queue.</w:t>
      </w:r>
    </w:p>
    <w:p>
      <w:pPr>
        <w:numPr>
          <w:ilvl w:val="0"/>
          <w:numId w:val="1002"/>
        </w:numPr>
        <w:pStyle w:val="Compact"/>
      </w:pPr>
      <w:r>
        <w:rPr>
          <w:bCs/>
          <w:b/>
        </w:rPr>
        <w:t xml:space="preserve">Regulation is converging on exactly what the tool computes.</w:t>
      </w:r>
      <w:r>
        <w:t xml:space="preserve"> </w:t>
      </w:r>
      <w:r>
        <w:t xml:space="preserve">Ireland already</w:t>
      </w:r>
      <w:r>
        <w:t xml:space="preserve"> </w:t>
      </w:r>
      <w:r>
        <w:rPr>
          <w:iCs/>
          <w:i/>
        </w:rPr>
        <w:t xml:space="preserve">requires</w:t>
      </w:r>
      <w:r>
        <w:t xml:space="preserve"> </w:t>
      </w:r>
      <w:r>
        <w:t xml:space="preserve">new data centres to match their import capacity with on-site or local generation and storage. The revision of the Greenhouse Gas Protocol’s Scope 2 rules will require hourly, deliverable matching of clean energy. The RICS whole-life carbon standard has required embodied carbon accounting of its members since July 2024. Cost and life-cycle carbon, together, at hourly resolution, is becoming the compliance question — and it is already the objective function.</w:t>
      </w:r>
    </w:p>
    <w:bookmarkEnd w:id="21"/>
    <w:bookmarkStart w:id="26" w:name="the-problem-the-wire-not-the-power"/>
    <w:p>
      <w:pPr>
        <w:pStyle w:val="Heading1"/>
      </w:pPr>
      <w:r>
        <w:t xml:space="preserve">2. The problem: the wire, not the power</w:t>
      </w:r>
    </w:p>
    <w:bookmarkStart w:id="22" w:name="great-britain"/>
    <w:p>
      <w:pPr>
        <w:pStyle w:val="Heading2"/>
      </w:pPr>
      <w:r>
        <w:t xml:space="preserve">2.1 Great Britain</w:t>
      </w:r>
    </w:p>
    <w:tbl>
      <w:tblPr>
        <w:tblStyle w:val="Table"/>
        <w:tblW w:type="pct" w:w="5000"/>
        <w:tblLayout w:type="autofit"/>
        <w:tblLook w:firstRow="1" w:lastRow="0" w:firstColumn="0" w:lastColumn="0" w:noHBand="0" w:noVBand="0" w:val="0020"/>
        <w:jc w:val="start"/>
        <w:tblBorders>
          <w:top w:val="single" w:sz="8" w:space="0" w:color="0B3D5C"/>
          <w:left w:val="none" w:sz="0" w:space="0" w:color="auto"/>
          <w:bottom w:val="single" w:sz="8" w:space="0" w:color="D6DBDF"/>
          <w:right w:val="none" w:sz="0" w:space="0" w:color="auto"/>
          <w:insideH w:val="single" w:sz="4" w:space="0" w:color="E3E7EA"/>
          <w:insideV w:val="none" w:sz="0" w:space="0" w:color="auto"/>
        </w:tblBorders>
      </w:tblPr>
      <w:tblGrid>
        <w:gridCol w:w="2640"/>
        <w:gridCol w:w="2640"/>
        <w:gridCol w:w="2640"/>
      </w:tblGrid>
      <w:tr>
        <w:trPr>
          <w:tblHeader w:val="true"/>
          <w:tblHeader w:val="true"/>
        </w:trPr>
        <w:tc>
          <w:tcPr>
            <w:shd w:val="clear" w:fill="EDF2F5"/>
          </w:tcPr>
          <w:p>
            <w:pPr>
              <w:pStyle w:val="Compact"/>
              <w:spacing w:before="80" w:after="80"/>
              <w:jc w:val="left"/>
            </w:pPr>
            <w:r>
              <w:rPr>
                <w:b/>
                <w:color w:val="0B3D5C"/>
                <w:sz w:val="19"/>
              </w:rPr>
              <w:t xml:space="preserve">Fact</w:t>
            </w:r>
          </w:p>
        </w:tc>
        <w:tc>
          <w:tcPr>
            <w:shd w:val="clear" w:fill="EDF2F5"/>
          </w:tcPr>
          <w:p>
            <w:pPr>
              <w:pStyle w:val="Compact"/>
              <w:spacing w:before="80" w:after="80"/>
              <w:jc w:val="left"/>
            </w:pPr>
            <w:r>
              <w:rPr>
                <w:b/>
                <w:color w:val="0B3D5C"/>
                <w:sz w:val="19"/>
              </w:rPr>
              <w:t xml:space="preserve">Figure</w:t>
            </w:r>
          </w:p>
        </w:tc>
        <w:tc>
          <w:tcPr>
            <w:shd w:val="clear" w:fill="EDF2F5"/>
          </w:tcPr>
          <w:p>
            <w:pPr>
              <w:pStyle w:val="Compact"/>
              <w:spacing w:before="80" w:after="80"/>
              <w:jc w:val="left"/>
            </w:pPr>
            <w:r>
              <w:rPr>
                <w:b/>
                <w:color w:val="0B3D5C"/>
                <w:sz w:val="19"/>
              </w:rPr>
              <w:t xml:space="preserve">Source</w:t>
            </w:r>
          </w:p>
        </w:tc>
      </w:tr>
      <w:tr>
        <w:tc>
          <w:tcPr/>
          <w:p>
            <w:pPr>
              <w:pStyle w:val="Compact"/>
              <w:spacing w:before="60" w:after="60"/>
              <w:jc w:val="left"/>
            </w:pPr>
            <w:r>
              <w:rPr>
                <w:sz w:val="19"/>
              </w:rPr>
              <w:t xml:space="preserve">Total GB connections queue</w:t>
            </w:r>
          </w:p>
        </w:tc>
        <w:tc>
          <w:tcPr/>
          <w:p>
            <w:pPr>
              <w:pStyle w:val="Compact"/>
              <w:spacing w:before="60" w:after="60"/>
              <w:jc w:val="left"/>
            </w:pPr>
            <w:r>
              <w:rPr>
                <w:sz w:val="19"/>
              </w:rPr>
              <w:t xml:space="preserve">738 GW, against 200–225 GW of clean generation needed by 2030</w:t>
            </w:r>
          </w:p>
        </w:tc>
        <w:tc>
          <w:tcPr/>
          <w:p>
            <w:pPr>
              <w:pStyle w:val="Compact"/>
              <w:spacing w:before="60" w:after="60"/>
              <w:jc w:val="left"/>
            </w:pPr>
            <w:r>
              <w:rPr>
                <w:sz w:val="19"/>
              </w:rPr>
              <w:t xml:space="preserve">NESO</w:t>
            </w:r>
          </w:p>
        </w:tc>
      </w:tr>
      <w:tr>
        <w:tc>
          <w:tcPr/>
          <w:p>
            <w:pPr>
              <w:pStyle w:val="Compact"/>
              <w:spacing w:before="60" w:after="60"/>
              <w:jc w:val="left"/>
            </w:pPr>
            <w:r>
              <w:rPr>
                <w:sz w:val="19"/>
              </w:rPr>
              <w:t xml:space="preserve">Demand-side queue growth</w:t>
            </w:r>
          </w:p>
        </w:tc>
        <w:tc>
          <w:tcPr/>
          <w:p>
            <w:pPr>
              <w:pStyle w:val="Compact"/>
              <w:spacing w:before="60" w:after="60"/>
              <w:jc w:val="left"/>
            </w:pPr>
            <w:r>
              <w:rPr>
                <w:sz w:val="19"/>
              </w:rPr>
              <w:t xml:space="preserve">41 GW (Nov 2024) → 125 GW (Jun 2025)</w:t>
            </w:r>
          </w:p>
        </w:tc>
        <w:tc>
          <w:tcPr/>
          <w:p>
            <w:pPr>
              <w:pStyle w:val="Compact"/>
              <w:spacing w:before="60" w:after="60"/>
              <w:jc w:val="left"/>
            </w:pPr>
            <w:r>
              <w:rPr>
                <w:sz w:val="19"/>
              </w:rPr>
              <w:t xml:space="preserve">Ofgem consultation, Jul 2026</w:t>
            </w:r>
          </w:p>
        </w:tc>
      </w:tr>
      <w:tr>
        <w:tc>
          <w:tcPr/>
          <w:p>
            <w:pPr>
              <w:pStyle w:val="Compact"/>
              <w:spacing w:before="60" w:after="60"/>
              <w:jc w:val="left"/>
            </w:pPr>
            <w:r>
              <w:rPr>
                <w:sz w:val="19"/>
              </w:rPr>
              <w:t xml:space="preserve">GB peak demand, for scale</w:t>
            </w:r>
          </w:p>
        </w:tc>
        <w:tc>
          <w:tcPr/>
          <w:p>
            <w:pPr>
              <w:pStyle w:val="Compact"/>
              <w:spacing w:before="60" w:after="60"/>
              <w:jc w:val="left"/>
            </w:pPr>
            <w:r>
              <w:rPr>
                <w:sz w:val="19"/>
              </w:rPr>
              <w:t xml:space="preserve">~45 GW</w:t>
            </w:r>
          </w:p>
        </w:tc>
        <w:tc>
          <w:tcPr/>
          <w:p>
            <w:pPr>
              <w:pStyle w:val="Compact"/>
              <w:spacing w:before="60" w:after="60"/>
              <w:jc w:val="left"/>
            </w:pPr>
            <w:r>
              <w:rPr>
                <w:sz w:val="19"/>
              </w:rPr>
              <w:t xml:space="preserve">NESO / press</w:t>
            </w:r>
          </w:p>
        </w:tc>
      </w:tr>
      <w:tr>
        <w:tc>
          <w:tcPr/>
          <w:p>
            <w:pPr>
              <w:pStyle w:val="Compact"/>
              <w:spacing w:before="60" w:after="60"/>
              <w:jc w:val="left"/>
            </w:pPr>
            <w:r>
              <w:rPr>
                <w:sz w:val="19"/>
              </w:rPr>
              <w:t xml:space="preserve">Data centres in the queue</w:t>
            </w:r>
          </w:p>
        </w:tc>
        <w:tc>
          <w:tcPr/>
          <w:p>
            <w:pPr>
              <w:pStyle w:val="Compact"/>
              <w:spacing w:before="60" w:after="60"/>
              <w:jc w:val="left"/>
            </w:pPr>
            <w:r>
              <w:rPr>
                <w:sz w:val="19"/>
              </w:rPr>
              <w:t xml:space="preserve">~73 GW across ~315 projects; 43 % of that capacity in 40 projects of 500 MW+</w:t>
            </w:r>
          </w:p>
        </w:tc>
        <w:tc>
          <w:tcPr/>
          <w:p>
            <w:pPr>
              <w:pStyle w:val="Compact"/>
              <w:spacing w:before="60" w:after="60"/>
              <w:jc w:val="left"/>
            </w:pPr>
            <w:r>
              <w:rPr>
                <w:sz w:val="19"/>
              </w:rPr>
              <w:t xml:space="preserve">Ofgem, Jul 2026</w:t>
            </w:r>
          </w:p>
        </w:tc>
      </w:tr>
      <w:tr>
        <w:tc>
          <w:tcPr/>
          <w:p>
            <w:pPr>
              <w:pStyle w:val="Compact"/>
              <w:spacing w:before="60" w:after="60"/>
              <w:jc w:val="left"/>
            </w:pPr>
            <w:r>
              <w:rPr>
                <w:sz w:val="19"/>
              </w:rPr>
              <w:t xml:space="preserve">Transmission demand approved at Gate 2</w:t>
            </w:r>
          </w:p>
        </w:tc>
        <w:tc>
          <w:tcPr/>
          <w:p>
            <w:pPr>
              <w:pStyle w:val="Compact"/>
              <w:spacing w:before="60" w:after="60"/>
              <w:jc w:val="left"/>
            </w:pPr>
            <w:r>
              <w:rPr>
                <w:sz w:val="19"/>
              </w:rPr>
              <w:t xml:space="preserve">99 GW — but only ~13 GW phased before 2030;</w:t>
            </w:r>
            <w:r>
              <w:rPr>
                <w:sz w:val="19"/>
              </w:rPr>
              <w:t xml:space="preserve"> </w:t>
            </w:r>
            <w:r>
              <w:rPr>
                <w:bCs/>
                <w:b/>
                <w:sz w:val="19"/>
              </w:rPr>
              <w:t xml:space="preserve">~86 GW pushed to 2030–2035</w:t>
            </w:r>
          </w:p>
        </w:tc>
        <w:tc>
          <w:tcPr/>
          <w:p>
            <w:pPr>
              <w:pStyle w:val="Compact"/>
              <w:spacing w:before="60" w:after="60"/>
              <w:jc w:val="left"/>
            </w:pPr>
            <w:r>
              <w:rPr>
                <w:sz w:val="19"/>
              </w:rPr>
              <w:t xml:space="preserve">Knight Frank, Dec 2025</w:t>
            </w:r>
          </w:p>
        </w:tc>
      </w:tr>
      <w:tr>
        <w:tc>
          <w:tcPr/>
          <w:p>
            <w:pPr>
              <w:pStyle w:val="Compact"/>
              <w:spacing w:before="60" w:after="60"/>
              <w:jc w:val="left"/>
            </w:pPr>
            <w:r>
              <w:rPr>
                <w:sz w:val="19"/>
              </w:rPr>
              <w:t xml:space="preserve">Connection dates being quoted</w:t>
            </w:r>
          </w:p>
        </w:tc>
        <w:tc>
          <w:tcPr/>
          <w:p>
            <w:pPr>
              <w:pStyle w:val="Compact"/>
              <w:spacing w:before="60" w:after="60"/>
              <w:jc w:val="left"/>
            </w:pPr>
            <w:r>
              <w:rPr>
                <w:sz w:val="19"/>
              </w:rPr>
              <w:t xml:space="preserve">“</w:t>
            </w:r>
            <w:r>
              <w:rPr>
                <w:sz w:val="19"/>
              </w:rPr>
              <w:t xml:space="preserve">2037 and beyond</w:t>
            </w:r>
            <w:r>
              <w:rPr>
                <w:sz w:val="19"/>
              </w:rPr>
              <w:t xml:space="preserve">”</w:t>
            </w:r>
            <w:r>
              <w:rPr>
                <w:sz w:val="19"/>
              </w:rPr>
              <w:t xml:space="preserve">; 48 % of developers cite power access as their biggest scheduling constraint</w:t>
            </w:r>
          </w:p>
        </w:tc>
        <w:tc>
          <w:tcPr/>
          <w:p>
            <w:pPr>
              <w:pStyle w:val="Compact"/>
              <w:spacing w:before="60" w:after="60"/>
              <w:jc w:val="left"/>
            </w:pPr>
            <w:r>
              <w:rPr>
                <w:sz w:val="19"/>
              </w:rPr>
              <w:t xml:space="preserve">BCLP</w:t>
            </w:r>
          </w:p>
        </w:tc>
      </w:tr>
      <w:tr>
        <w:tc>
          <w:tcPr/>
          <w:p>
            <w:pPr>
              <w:pStyle w:val="Compact"/>
              <w:spacing w:before="60" w:after="60"/>
              <w:jc w:val="left"/>
            </w:pPr>
            <w:r>
              <w:rPr>
                <w:sz w:val="19"/>
              </w:rPr>
              <w:t xml:space="preserve">Projects going around the problem</w:t>
            </w:r>
          </w:p>
        </w:tc>
        <w:tc>
          <w:tcPr/>
          <w:p>
            <w:pPr>
              <w:pStyle w:val="Compact"/>
              <w:spacing w:before="60" w:after="60"/>
              <w:jc w:val="left"/>
            </w:pPr>
            <w:r>
              <w:rPr>
                <w:bCs/>
                <w:b/>
                <w:sz w:val="19"/>
              </w:rPr>
              <w:t xml:space="preserve">~117 active cases</w:t>
            </w:r>
            <w:r>
              <w:rPr>
                <w:sz w:val="19"/>
              </w:rPr>
              <w:t xml:space="preserve"> </w:t>
            </w:r>
            <w:r>
              <w:rPr>
                <w:sz w:val="19"/>
              </w:rPr>
              <w:t xml:space="preserve">seeking gas connections and planning on-site generation</w:t>
            </w:r>
          </w:p>
        </w:tc>
        <w:tc>
          <w:tcPr/>
          <w:p>
            <w:pPr>
              <w:pStyle w:val="Compact"/>
              <w:spacing w:before="60" w:after="60"/>
              <w:jc w:val="left"/>
            </w:pPr>
            <w:r>
              <w:rPr>
                <w:sz w:val="19"/>
              </w:rPr>
              <w:t xml:space="preserve">Ofgem, via Greenberg Traurig</w:t>
            </w:r>
          </w:p>
        </w:tc>
      </w:tr>
      <w:tr>
        <w:tc>
          <w:tcPr/>
          <w:p>
            <w:pPr>
              <w:pStyle w:val="Compact"/>
              <w:spacing w:before="60" w:after="60"/>
              <w:jc w:val="left"/>
            </w:pPr>
            <w:r>
              <w:rPr>
                <w:sz w:val="19"/>
              </w:rPr>
              <w:t xml:space="preserve">Cost of UK power for 100 MW</w:t>
            </w:r>
          </w:p>
        </w:tc>
        <w:tc>
          <w:tcPr/>
          <w:p>
            <w:pPr>
              <w:pStyle w:val="Compact"/>
              <w:spacing w:before="60" w:after="60"/>
              <w:jc w:val="left"/>
            </w:pPr>
            <w:r>
              <w:rPr>
                <w:bCs/>
                <w:b/>
                <w:sz w:val="19"/>
              </w:rPr>
              <w:t xml:space="preserve">£226.5 m/yr</w:t>
            </w:r>
            <w:r>
              <w:rPr>
                <w:sz w:val="19"/>
              </w:rPr>
              <w:t xml:space="preserve">, against £156.3 m in France and £56.8 m in the US</w:t>
            </w:r>
          </w:p>
        </w:tc>
        <w:tc>
          <w:tcPr/>
          <w:p>
            <w:pPr>
              <w:pStyle w:val="Compact"/>
              <w:spacing w:before="60" w:after="60"/>
              <w:jc w:val="left"/>
            </w:pPr>
            <w:r>
              <w:rPr>
                <w:sz w:val="19"/>
              </w:rPr>
              <w:t xml:space="preserve">Social Market Foundation, via Parliament briefing CBP-10315</w:t>
            </w:r>
          </w:p>
        </w:tc>
      </w:tr>
    </w:tbl>
    <w:p>
      <w:pPr>
        <w:pStyle w:val="BodyText"/>
      </w:pPr>
      <w:r>
        <w:t xml:space="preserve">Two of those rows deserve to be read together. Only about 13 GW of transmission-connected demand is in the pre-2030 pipeline, while 86 GW waits for 2030–2035.</w:t>
      </w:r>
      <w:r>
        <w:t xml:space="preserve"> </w:t>
      </w:r>
      <w:r>
        <w:rPr>
          <w:bCs/>
          <w:b/>
        </w:rPr>
        <w:t xml:space="preserve">That gap is the market.</w:t>
      </w:r>
      <w:r>
        <w:t xml:space="preserve"> </w:t>
      </w:r>
      <w:r>
        <w:t xml:space="preserve">Every project in it either dies, waits, or builds its own way out — and the third option is the one this tool prices.</w:t>
      </w:r>
    </w:p>
    <w:p>
      <w:pPr>
        <w:pStyle w:val="BodyText"/>
      </w:pPr>
      <w:r>
        <w:t xml:space="preserve">The third row from the bottom is the beachhead. Those 117 projects are not speculating about on-site generation; they are actively pursuing it, mostly via gas, without a rigorous way to test whether a renewables-and-storage or hydrogen architecture would be cheaper, cleaner, or both.</w:t>
      </w:r>
    </w:p>
    <w:p>
      <w:pPr>
        <w:pStyle w:val="BodyText"/>
      </w:pPr>
      <w:r>
        <w:t xml:space="preserve">The last row is the commercial case in a single line. Powering a 100 MW facility costs roughly</w:t>
      </w:r>
      <w:r>
        <w:t xml:space="preserve"> </w:t>
      </w:r>
      <w:r>
        <w:rPr>
          <w:bCs/>
          <w:b/>
        </w:rPr>
        <w:t xml:space="preserve">£170 million a year more in the UK than in the US</w:t>
      </w:r>
      <w:r>
        <w:t xml:space="preserve">. Against a £380–430 million on-site power system, that annual gap is what makes self-supply worth engineering properly rather than approximating.</w:t>
      </w:r>
    </w:p>
    <w:bookmarkEnd w:id="22"/>
    <w:bookmarkStart w:id="23" w:name="X965a1f55f6cf0ab7890c6ce6a99cd3283de71f7"/>
    <w:p>
      <w:pPr>
        <w:pStyle w:val="Heading2"/>
      </w:pPr>
      <w:r>
        <w:t xml:space="preserve">2.2 Ireland — where the tool’s output is already a legal requirement</w:t>
      </w:r>
    </w:p>
    <w:p>
      <w:pPr>
        <w:pStyle w:val="FirstParagraph"/>
      </w:pPr>
      <w:r>
        <w:t xml:space="preserve">On</w:t>
      </w:r>
      <w:r>
        <w:t xml:space="preserve"> </w:t>
      </w:r>
      <w:r>
        <w:rPr>
          <w:bCs/>
          <w:b/>
        </w:rPr>
        <w:t xml:space="preserve">12 December 2025</w:t>
      </w:r>
      <w:r>
        <w:t xml:space="preserve"> </w:t>
      </w:r>
      <w:r>
        <w:t xml:space="preserve">the Commission for Regulation of Utilities decided that new data centres connecting to the Irish network</w:t>
      </w:r>
      <w:r>
        <w:t xml:space="preserve"> </w:t>
      </w:r>
      <w:r>
        <w:rPr>
          <w:bCs/>
          <w:b/>
        </w:rPr>
        <w:t xml:space="preserve">“</w:t>
      </w:r>
      <w:r>
        <w:rPr>
          <w:bCs/>
          <w:b/>
        </w:rPr>
        <w:t xml:space="preserve">will continue to be required to provide generation and/or storage capacity, either onsite or local in proximity, to match the requested data centre maximum import demand capacity</w:t>
      </w:r>
      <w:r>
        <w:rPr>
          <w:bCs/>
          <w:b/>
        </w:rPr>
        <w:t xml:space="preserve">”</w:t>
      </w:r>
      <w:r>
        <w:t xml:space="preserve">, and must meet at least</w:t>
      </w:r>
      <w:r>
        <w:t xml:space="preserve"> </w:t>
      </w:r>
      <w:r>
        <w:rPr>
          <w:bCs/>
          <w:b/>
        </w:rPr>
        <w:t xml:space="preserve">80 % of annual demand with additional renewable generation built in the Republic of Ireland</w:t>
      </w:r>
      <w:r>
        <w:t xml:space="preserve"> </w:t>
      </w:r>
      <w:r>
        <w:t xml:space="preserve">within a six-year window. EirGrid’s Dublin moratorium on new applications has been indicated as running possibly to 2028.</w:t>
      </w:r>
    </w:p>
    <w:p>
      <w:pPr>
        <w:pStyle w:val="BodyText"/>
      </w:pPr>
      <w:r>
        <w:t xml:space="preserve">There is no way to comply with that decision without performing this optimisation. Ireland should be the first market outside the UK.</w:t>
      </w:r>
    </w:p>
    <w:bookmarkEnd w:id="23"/>
    <w:bookmarkStart w:id="24" w:name="the-same-problem-elsewhere"/>
    <w:p>
      <w:pPr>
        <w:pStyle w:val="Heading2"/>
      </w:pPr>
      <w:r>
        <w:t xml:space="preserve">2.3 The same problem elsewhere</w:t>
      </w:r>
    </w:p>
    <w:p>
      <w:pPr>
        <w:numPr>
          <w:ilvl w:val="0"/>
          <w:numId w:val="1003"/>
        </w:numPr>
        <w:pStyle w:val="Compact"/>
      </w:pPr>
      <w:r>
        <w:rPr>
          <w:bCs/>
          <w:b/>
        </w:rPr>
        <w:t xml:space="preserve">Netherlands.</w:t>
      </w:r>
      <w:r>
        <w:t xml:space="preserve"> </w:t>
      </w:r>
      <w:r>
        <w:t xml:space="preserve">A court ruled on 29 April 2026 that the grid around Haarlemmermeer is genuinely full; a 70 MW request went onto a waiting list, with TenneT indicating constraints may persist to around 2035.</w:t>
      </w:r>
    </w:p>
    <w:p>
      <w:pPr>
        <w:numPr>
          <w:ilvl w:val="0"/>
          <w:numId w:val="1003"/>
        </w:numPr>
        <w:pStyle w:val="Compact"/>
      </w:pPr>
      <w:r>
        <w:rPr>
          <w:bCs/>
          <w:b/>
        </w:rPr>
        <w:t xml:space="preserve">Northern Virginia.</w:t>
      </w:r>
      <w:r>
        <w:t xml:space="preserve"> </w:t>
      </w:r>
      <w:r>
        <w:t xml:space="preserve">Dominion is holding</w:t>
      </w:r>
      <w:r>
        <w:t xml:space="preserve"> </w:t>
      </w:r>
      <w:r>
        <w:rPr>
          <w:bCs/>
          <w:b/>
        </w:rPr>
        <w:t xml:space="preserve">70,000 MW</w:t>
      </w:r>
      <w:r>
        <w:t xml:space="preserve"> </w:t>
      </w:r>
      <w:r>
        <w:t xml:space="preserve">of delivery-point requests, of which 45,000 MW have no set connection date. Roughly seven years to energise 100 MW.</w:t>
      </w:r>
    </w:p>
    <w:p>
      <w:pPr>
        <w:numPr>
          <w:ilvl w:val="0"/>
          <w:numId w:val="1003"/>
        </w:numPr>
        <w:pStyle w:val="Compact"/>
      </w:pPr>
      <w:r>
        <w:rPr>
          <w:bCs/>
          <w:b/>
        </w:rPr>
        <w:t xml:space="preserve">Texas.</w:t>
      </w:r>
      <w:r>
        <w:t xml:space="preserve"> </w:t>
      </w:r>
      <w:r>
        <w:t xml:space="preserve">ERCOT reported about</w:t>
      </w:r>
      <w:r>
        <w:t xml:space="preserve"> </w:t>
      </w:r>
      <w:r>
        <w:rPr>
          <w:bCs/>
          <w:b/>
        </w:rPr>
        <w:t xml:space="preserve">410 GW of large loads seeking interconnection</w:t>
      </w:r>
      <w:r>
        <w:t xml:space="preserve"> </w:t>
      </w:r>
      <w:r>
        <w:t xml:space="preserve">as of March 2026, roughly 87 % of it data centres. Behind-the-meter gas turbines there price above US$120/MWh — a level that renewables-plus-storage-plus-hydrogen hybrids can attack.</w:t>
      </w:r>
    </w:p>
    <w:p>
      <w:pPr>
        <w:numPr>
          <w:ilvl w:val="0"/>
          <w:numId w:val="1003"/>
        </w:numPr>
        <w:pStyle w:val="Compact"/>
      </w:pPr>
      <w:r>
        <w:rPr>
          <w:bCs/>
          <w:b/>
        </w:rPr>
        <w:t xml:space="preserve">PJM.</w:t>
      </w:r>
      <w:r>
        <w:t xml:space="preserve"> </w:t>
      </w:r>
      <w:r>
        <w:t xml:space="preserve">From 1 June 2027, new loads of</w:t>
      </w:r>
      <w:r>
        <w:t xml:space="preserve"> </w:t>
      </w:r>
      <w:r>
        <w:rPr>
          <w:bCs/>
          <w:b/>
        </w:rPr>
        <w:t xml:space="preserve">50 MW or more at a single site</w:t>
      </w:r>
      <w:r>
        <w:t xml:space="preserve"> </w:t>
      </w:r>
      <w:r>
        <w:t xml:space="preserve">are first in line for curtailment ahead of households, unless they bring their own new capacity — on-site generation, long-term contracts, or purchased capacity. Capacity prices have risen roughly elevenfold in two years.</w:t>
      </w:r>
    </w:p>
    <w:bookmarkEnd w:id="24"/>
    <w:bookmarkStart w:id="25" w:name="what-a-year-of-delay-costs"/>
    <w:p>
      <w:pPr>
        <w:pStyle w:val="Heading2"/>
      </w:pPr>
      <w:r>
        <w:t xml:space="preserve">2.4 What a year of delay costs</w:t>
      </w:r>
    </w:p>
    <w:p>
      <w:pPr>
        <w:pStyle w:val="FirstParagraph"/>
      </w:pPr>
      <w:r>
        <w:t xml:space="preserve">We found no published figure, so this is our own arithmetic on confirmed inputs and should be presented as such. Wholesale colocation lease rates reached</w:t>
      </w:r>
      <w:r>
        <w:t xml:space="preserve"> </w:t>
      </w:r>
      <w:r>
        <w:rPr>
          <w:bCs/>
          <w:b/>
        </w:rPr>
        <w:t xml:space="preserve">US$184 per kW per month</w:t>
      </w:r>
      <w:r>
        <w:t xml:space="preserve"> </w:t>
      </w:r>
      <w:r>
        <w:t xml:space="preserve">in the second half of 2024 and were still rising. For a 100 MW facility that is roughly</w:t>
      </w:r>
      <w:r>
        <w:t xml:space="preserve"> </w:t>
      </w:r>
      <w:r>
        <w:rPr>
          <w:bCs/>
          <w:b/>
        </w:rPr>
        <w:t xml:space="preserve">US$220 million of deferred revenue per year</w:t>
      </w:r>
      <w:r>
        <w:t xml:space="preserve">; a cross-check from the observed US$11–14 million annual run-rate of a 5 MW facility gives US$220–280 million, and the two methods agree.</w:t>
      </w:r>
    </w:p>
    <w:p>
      <w:pPr>
        <w:pStyle w:val="BodyText"/>
      </w:pPr>
      <w:r>
        <w:t xml:space="preserve">The point is not the precision of the number. It is that a study costing a few hundred thousand pounds sits against a delay cost measured in hundreds of millions, and against a queue commitment fee measured in tens of millions.</w:t>
      </w:r>
    </w:p>
    <w:bookmarkEnd w:id="25"/>
    <w:bookmarkEnd w:id="26"/>
    <w:bookmarkStart w:id="31" w:name="who-pays"/>
    <w:p>
      <w:pPr>
        <w:pStyle w:val="Heading1"/>
      </w:pPr>
      <w:r>
        <w:t xml:space="preserve">3. Who pays</w:t>
      </w:r>
    </w:p>
    <w:p>
      <w:pPr>
        <w:pStyle w:val="FirstParagraph"/>
      </w:pPr>
      <w:r>
        <w:t xml:space="preserve">The segments below are ranked by how plausibly they would buy, on the evidence we could verify. Tier 1 has both a documented constraint and a regulatory or financial forcing function. Tier 3 is where the story is plausible but the evidence is thin, and we recommend not leading with it.</w:t>
      </w:r>
    </w:p>
    <w:bookmarkStart w:id="27" w:name="tier-1-buy-now"/>
    <w:p>
      <w:pPr>
        <w:pStyle w:val="Heading2"/>
      </w:pPr>
      <w:r>
        <w:t xml:space="preserve">Tier 1 — buy now</w:t>
      </w:r>
    </w:p>
    <w:tbl>
      <w:tblPr>
        <w:tblStyle w:val="Table"/>
        <w:tblW w:type="pct" w:w="5000"/>
        <w:tblLayout w:type="autofit"/>
        <w:tblLook w:firstRow="1" w:lastRow="0" w:firstColumn="0" w:lastColumn="0" w:noHBand="0" w:noVBand="0" w:val="0020"/>
        <w:jc w:val="start"/>
        <w:tblBorders>
          <w:top w:val="single" w:sz="8" w:space="0" w:color="0B3D5C"/>
          <w:left w:val="none" w:sz="0" w:space="0" w:color="auto"/>
          <w:bottom w:val="single" w:sz="8" w:space="0" w:color="D6DBDF"/>
          <w:right w:val="none" w:sz="0" w:space="0" w:color="auto"/>
          <w:insideH w:val="single" w:sz="4" w:space="0" w:color="E3E7EA"/>
          <w:insideV w:val="none" w:sz="0" w:space="0" w:color="auto"/>
        </w:tblBorders>
      </w:tblPr>
      <w:tblGrid>
        <w:gridCol w:w="2640"/>
        <w:gridCol w:w="2640"/>
        <w:gridCol w:w="2640"/>
      </w:tblGrid>
      <w:tr>
        <w:trPr>
          <w:tblHeader w:val="true"/>
          <w:tblHeader w:val="true"/>
        </w:trPr>
        <w:tc>
          <w:tcPr>
            <w:shd w:val="clear" w:fill="EDF2F5"/>
          </w:tcPr>
          <w:p>
            <w:pPr>
              <w:pStyle w:val="Compact"/>
              <w:spacing w:before="80" w:after="80"/>
              <w:jc w:val="left"/>
            </w:pPr>
            <w:r>
              <w:rPr>
                <w:b/>
                <w:color w:val="0B3D5C"/>
                <w:sz w:val="19"/>
              </w:rPr>
              <w:t xml:space="preserve">Buyer</w:t>
            </w:r>
          </w:p>
        </w:tc>
        <w:tc>
          <w:tcPr>
            <w:shd w:val="clear" w:fill="EDF2F5"/>
          </w:tcPr>
          <w:p>
            <w:pPr>
              <w:pStyle w:val="Compact"/>
              <w:spacing w:before="80" w:after="80"/>
              <w:jc w:val="left"/>
            </w:pPr>
            <w:r>
              <w:rPr>
                <w:b/>
                <w:color w:val="0B3D5C"/>
                <w:sz w:val="19"/>
              </w:rPr>
              <w:t xml:space="preserve">Why they have to decide</w:t>
            </w:r>
          </w:p>
        </w:tc>
        <w:tc>
          <w:tcPr>
            <w:shd w:val="clear" w:fill="EDF2F5"/>
          </w:tcPr>
          <w:p>
            <w:pPr>
              <w:pStyle w:val="Compact"/>
              <w:spacing w:before="80" w:after="80"/>
              <w:jc w:val="left"/>
            </w:pPr>
            <w:r>
              <w:rPr>
                <w:b/>
                <w:color w:val="0B3D5C"/>
                <w:sz w:val="19"/>
              </w:rPr>
              <w:t xml:space="preserve">Evidence</w:t>
            </w:r>
          </w:p>
        </w:tc>
      </w:tr>
      <w:tr>
        <w:tc>
          <w:tcPr/>
          <w:p>
            <w:pPr>
              <w:pStyle w:val="Compact"/>
              <w:spacing w:before="60" w:after="60"/>
              <w:jc w:val="left"/>
            </w:pPr>
            <w:r>
              <w:rPr>
                <w:bCs/>
                <w:b/>
                <w:sz w:val="19"/>
              </w:rPr>
              <w:t xml:space="preserve">UK data centre developers, colocation operators and their investors</w:t>
            </w:r>
          </w:p>
        </w:tc>
        <w:tc>
          <w:tcPr/>
          <w:p>
            <w:pPr>
              <w:pStyle w:val="Compact"/>
              <w:spacing w:before="60" w:after="60"/>
              <w:jc w:val="left"/>
            </w:pPr>
            <w:r>
              <w:rPr>
                <w:sz w:val="19"/>
              </w:rPr>
              <w:t xml:space="preserve">73 GW queued, ~117 already pursuing on-site generation, commitment fees of £23.8–71.3 m per 100 MW project, connection offers in the late 2030s</w:t>
            </w:r>
          </w:p>
        </w:tc>
        <w:tc>
          <w:tcPr/>
          <w:p>
            <w:pPr>
              <w:pStyle w:val="Compact"/>
              <w:spacing w:before="60" w:after="60"/>
              <w:jc w:val="left"/>
            </w:pPr>
            <w:r>
              <w:rPr>
                <w:sz w:val="19"/>
              </w:rPr>
              <w:t xml:space="preserve">Ofgem consultation, Jul 2026</w:t>
            </w:r>
          </w:p>
        </w:tc>
      </w:tr>
      <w:tr>
        <w:tc>
          <w:tcPr/>
          <w:p>
            <w:pPr>
              <w:pStyle w:val="Compact"/>
              <w:spacing w:before="60" w:after="60"/>
              <w:jc w:val="left"/>
            </w:pPr>
            <w:r>
              <w:rPr>
                <w:bCs/>
                <w:b/>
                <w:sz w:val="19"/>
              </w:rPr>
              <w:t xml:space="preserve">Irish data centres</w:t>
            </w:r>
          </w:p>
        </w:tc>
        <w:tc>
          <w:tcPr/>
          <w:p>
            <w:pPr>
              <w:pStyle w:val="Compact"/>
              <w:spacing w:before="60" w:after="60"/>
              <w:jc w:val="left"/>
            </w:pPr>
            <w:r>
              <w:rPr>
                <w:sz w:val="19"/>
              </w:rPr>
              <w:t xml:space="preserve">Legally required to match import capacity with on-site or local generation and storage, plus 80 % additional Irish renewables</w:t>
            </w:r>
          </w:p>
        </w:tc>
        <w:tc>
          <w:tcPr/>
          <w:p>
            <w:pPr>
              <w:pStyle w:val="Compact"/>
              <w:spacing w:before="60" w:after="60"/>
              <w:jc w:val="left"/>
            </w:pPr>
            <w:r>
              <w:rPr>
                <w:sz w:val="19"/>
              </w:rPr>
              <w:t xml:space="preserve">CRU decision, Dec 2025</w:t>
            </w:r>
          </w:p>
        </w:tc>
      </w:tr>
      <w:tr>
        <w:tc>
          <w:tcPr/>
          <w:p>
            <w:pPr>
              <w:pStyle w:val="Compact"/>
              <w:spacing w:before="60" w:after="60"/>
              <w:jc w:val="left"/>
            </w:pPr>
            <w:r>
              <w:rPr>
                <w:bCs/>
                <w:b/>
                <w:sz w:val="19"/>
              </w:rPr>
              <w:t xml:space="preserve">US large loads in PJM and ERCOT</w:t>
            </w:r>
          </w:p>
        </w:tc>
        <w:tc>
          <w:tcPr/>
          <w:p>
            <w:pPr>
              <w:pStyle w:val="Compact"/>
              <w:spacing w:before="60" w:after="60"/>
              <w:jc w:val="left"/>
            </w:pPr>
            <w:r>
              <w:rPr>
                <w:sz w:val="19"/>
              </w:rPr>
              <w:t xml:space="preserve">From Jun 2027, ≥50 MW PJM loads are curtailed first unless they bring new capacity; 410 GW queued in ERCOT</w:t>
            </w:r>
          </w:p>
        </w:tc>
        <w:tc>
          <w:tcPr/>
          <w:p>
            <w:pPr>
              <w:pStyle w:val="Compact"/>
              <w:spacing w:before="60" w:after="60"/>
              <w:jc w:val="left"/>
            </w:pPr>
            <w:r>
              <w:rPr>
                <w:sz w:val="19"/>
              </w:rPr>
              <w:t xml:space="preserve">PJM IRAS filing; ERCOT, Apr 2026</w:t>
            </w:r>
          </w:p>
        </w:tc>
      </w:tr>
      <w:tr>
        <w:tc>
          <w:tcPr/>
          <w:p>
            <w:pPr>
              <w:pStyle w:val="Compact"/>
              <w:spacing w:before="60" w:after="60"/>
              <w:jc w:val="left"/>
            </w:pPr>
            <w:r>
              <w:rPr>
                <w:bCs/>
                <w:b/>
                <w:sz w:val="19"/>
              </w:rPr>
              <w:t xml:space="preserve">Heavy industry electrifying</w:t>
            </w:r>
            <w:r>
              <w:rPr>
                <w:sz w:val="19"/>
              </w:rPr>
              <w:t xml:space="preserve"> </w:t>
            </w:r>
            <w:r>
              <w:rPr>
                <w:sz w:val="19"/>
              </w:rPr>
              <w:t xml:space="preserve">— electric arc furnace steel, chemicals, heat</w:t>
            </w:r>
          </w:p>
        </w:tc>
        <w:tc>
          <w:tcPr/>
          <w:p>
            <w:pPr>
              <w:pStyle w:val="Compact"/>
              <w:spacing w:before="60" w:after="60"/>
              <w:jc w:val="left"/>
            </w:pPr>
            <w:r>
              <w:rPr>
                <w:sz w:val="19"/>
              </w:rPr>
              <w:t xml:space="preserve">34 % of 200 surveyed senior UK industrial decision-makers say grid delays have</w:t>
            </w:r>
            <w:r>
              <w:rPr>
                <w:sz w:val="19"/>
              </w:rPr>
              <w:t xml:space="preserve"> </w:t>
            </w:r>
            <w:r>
              <w:rPr>
                <w:bCs/>
                <w:b/>
                <w:sz w:val="19"/>
              </w:rPr>
              <w:t xml:space="preserve">halted growth plans entirely</w:t>
            </w:r>
            <w:r>
              <w:rPr>
                <w:sz w:val="19"/>
              </w:rPr>
              <w:t xml:space="preserve">; 25 % are considering moving manufacturing abroad; expectation 3.2 years against a realistic ~8</w:t>
            </w:r>
          </w:p>
        </w:tc>
        <w:tc>
          <w:tcPr/>
          <w:p>
            <w:pPr>
              <w:pStyle w:val="Compact"/>
              <w:spacing w:before="60" w:after="60"/>
              <w:jc w:val="left"/>
            </w:pPr>
            <w:r>
              <w:rPr>
                <w:sz w:val="19"/>
              </w:rPr>
              <w:t xml:space="preserve">Roadnight Taylor,</w:t>
            </w:r>
            <w:r>
              <w:rPr>
                <w:sz w:val="19"/>
              </w:rPr>
              <w:t xml:space="preserve"> </w:t>
            </w:r>
            <w:r>
              <w:rPr>
                <w:iCs/>
                <w:i/>
                <w:sz w:val="19"/>
              </w:rPr>
              <w:t xml:space="preserve">Powering 2030</w:t>
            </w:r>
            <w:r>
              <w:rPr>
                <w:sz w:val="19"/>
              </w:rPr>
              <w:t xml:space="preserve">, 2026</w:t>
            </w:r>
          </w:p>
        </w:tc>
      </w:tr>
      <w:tr>
        <w:tc>
          <w:tcPr/>
          <w:p>
            <w:pPr>
              <w:pStyle w:val="Compact"/>
              <w:spacing w:before="60" w:after="60"/>
              <w:jc w:val="left"/>
            </w:pPr>
            <w:r>
              <w:rPr>
                <w:bCs/>
                <w:b/>
                <w:sz w:val="19"/>
              </w:rPr>
              <w:t xml:space="preserve">Green hydrogen producers</w:t>
            </w:r>
          </w:p>
        </w:tc>
        <w:tc>
          <w:tcPr/>
          <w:p>
            <w:pPr>
              <w:pStyle w:val="Compact"/>
              <w:spacing w:before="60" w:after="60"/>
              <w:jc w:val="left"/>
            </w:pPr>
            <w:r>
              <w:rPr>
                <w:sz w:val="19"/>
              </w:rPr>
              <w:t xml:space="preserve">Connection delays and lack of visibility over dates are cited as blocking final investment decisions; the rules for renewable hydrogen impose hourly and geographic matching — the same mathematics as the dispatch layer</w:t>
            </w:r>
          </w:p>
        </w:tc>
        <w:tc>
          <w:tcPr/>
          <w:p>
            <w:pPr>
              <w:pStyle w:val="Compact"/>
              <w:spacing w:before="60" w:after="60"/>
              <w:jc w:val="left"/>
            </w:pPr>
            <w:r>
              <w:rPr>
                <w:sz w:val="19"/>
              </w:rPr>
              <w:t xml:space="preserve">Global Hydrogen Hub, 2026</w:t>
            </w:r>
          </w:p>
        </w:tc>
      </w:tr>
    </w:tbl>
    <w:bookmarkEnd w:id="27"/>
    <w:bookmarkStart w:id="28" w:name="tier-2-real-pain-longer-sales-cycle"/>
    <w:p>
      <w:pPr>
        <w:pStyle w:val="Heading2"/>
      </w:pPr>
      <w:r>
        <w:t xml:space="preserve">Tier 2 — real pain, longer sales cycle</w:t>
      </w:r>
    </w:p>
    <w:tbl>
      <w:tblPr>
        <w:tblStyle w:val="Table"/>
        <w:tblW w:type="pct" w:w="5000"/>
        <w:tblLayout w:type="autofit"/>
        <w:tblLook w:firstRow="1" w:lastRow="0" w:firstColumn="0" w:lastColumn="0" w:noHBand="0" w:noVBand="0" w:val="0020"/>
        <w:jc w:val="start"/>
        <w:tblBorders>
          <w:top w:val="single" w:sz="8" w:space="0" w:color="0B3D5C"/>
          <w:left w:val="none" w:sz="0" w:space="0" w:color="auto"/>
          <w:bottom w:val="single" w:sz="8" w:space="0" w:color="D6DBDF"/>
          <w:right w:val="none" w:sz="0" w:space="0" w:color="auto"/>
          <w:insideH w:val="single" w:sz="4" w:space="0" w:color="E3E7EA"/>
          <w:insideV w:val="none" w:sz="0" w:space="0" w:color="auto"/>
        </w:tblBorders>
      </w:tblPr>
      <w:tblGrid>
        <w:gridCol w:w="2640"/>
        <w:gridCol w:w="2640"/>
        <w:gridCol w:w="2640"/>
      </w:tblGrid>
      <w:tr>
        <w:trPr>
          <w:tblHeader w:val="true"/>
          <w:tblHeader w:val="true"/>
        </w:trPr>
        <w:tc>
          <w:tcPr>
            <w:shd w:val="clear" w:fill="EDF2F5"/>
          </w:tcPr>
          <w:p>
            <w:pPr>
              <w:pStyle w:val="Compact"/>
              <w:spacing w:before="80" w:after="80"/>
              <w:jc w:val="left"/>
            </w:pPr>
            <w:r>
              <w:rPr>
                <w:b/>
                <w:color w:val="0B3D5C"/>
                <w:sz w:val="19"/>
              </w:rPr>
              <w:t xml:space="preserve">Buyer</w:t>
            </w:r>
          </w:p>
        </w:tc>
        <w:tc>
          <w:tcPr>
            <w:shd w:val="clear" w:fill="EDF2F5"/>
          </w:tcPr>
          <w:p>
            <w:pPr>
              <w:pStyle w:val="Compact"/>
              <w:spacing w:before="80" w:after="80"/>
              <w:jc w:val="left"/>
            </w:pPr>
            <w:r>
              <w:rPr>
                <w:b/>
                <w:color w:val="0B3D5C"/>
                <w:sz w:val="19"/>
              </w:rPr>
              <w:t xml:space="preserve">Why</w:t>
            </w:r>
          </w:p>
        </w:tc>
        <w:tc>
          <w:tcPr>
            <w:shd w:val="clear" w:fill="EDF2F5"/>
          </w:tcPr>
          <w:p>
            <w:pPr>
              <w:pStyle w:val="Compact"/>
              <w:spacing w:before="80" w:after="80"/>
              <w:jc w:val="left"/>
            </w:pPr>
            <w:r>
              <w:rPr>
                <w:b/>
                <w:color w:val="0B3D5C"/>
                <w:sz w:val="19"/>
              </w:rPr>
              <w:t xml:space="preserve">Evidence</w:t>
            </w:r>
          </w:p>
        </w:tc>
      </w:tr>
      <w:tr>
        <w:tc>
          <w:tcPr/>
          <w:p>
            <w:pPr>
              <w:pStyle w:val="Compact"/>
              <w:spacing w:before="60" w:after="60"/>
              <w:jc w:val="left"/>
            </w:pPr>
            <w:r>
              <w:rPr>
                <w:bCs/>
                <w:b/>
                <w:sz w:val="19"/>
              </w:rPr>
              <w:t xml:space="preserve">Ports and shore power</w:t>
            </w:r>
          </w:p>
        </w:tc>
        <w:tc>
          <w:tcPr/>
          <w:p>
            <w:pPr>
              <w:pStyle w:val="Compact"/>
              <w:spacing w:before="60" w:after="60"/>
              <w:jc w:val="left"/>
            </w:pPr>
            <w:r>
              <w:rPr>
                <w:sz w:val="19"/>
              </w:rPr>
              <w:t xml:space="preserve">Connection lead times up to 15 years, one port quoted 2039. Median UK port grid capacity is</w:t>
            </w:r>
            <w:r>
              <w:rPr>
                <w:sz w:val="19"/>
              </w:rPr>
              <w:t xml:space="preserve"> </w:t>
            </w:r>
            <w:r>
              <w:rPr>
                <w:bCs/>
                <w:b/>
                <w:sz w:val="19"/>
              </w:rPr>
              <w:t xml:space="preserve">5.5 MW</w:t>
            </w:r>
            <w:r>
              <w:rPr>
                <w:sz w:val="19"/>
              </w:rPr>
              <w:t xml:space="preserve"> </w:t>
            </w:r>
            <w:r>
              <w:rPr>
                <w:sz w:val="19"/>
              </w:rPr>
              <w:t xml:space="preserve">against a projected need averaging ~91 MW.</w:t>
            </w:r>
            <w:r>
              <w:rPr>
                <w:sz w:val="19"/>
              </w:rPr>
              <w:t xml:space="preserve"> </w:t>
            </w:r>
            <w:r>
              <w:rPr>
                <w:bCs/>
                <w:b/>
                <w:sz w:val="19"/>
              </w:rPr>
              <w:t xml:space="preserve">69 %</w:t>
            </w:r>
            <w:r>
              <w:rPr>
                <w:sz w:val="19"/>
              </w:rPr>
              <w:t xml:space="preserve"> </w:t>
            </w:r>
            <w:r>
              <w:rPr>
                <w:sz w:val="19"/>
              </w:rPr>
              <w:t xml:space="preserve">of respondents said insufficient electricity had already cost them business</w:t>
            </w:r>
          </w:p>
        </w:tc>
        <w:tc>
          <w:tcPr/>
          <w:p>
            <w:pPr>
              <w:pStyle w:val="Compact"/>
              <w:spacing w:before="60" w:after="60"/>
              <w:jc w:val="left"/>
            </w:pPr>
            <w:r>
              <w:rPr>
                <w:sz w:val="19"/>
              </w:rPr>
              <w:t xml:space="preserve">UK Department for Transport,</w:t>
            </w:r>
            <w:r>
              <w:rPr>
                <w:sz w:val="19"/>
              </w:rPr>
              <w:t xml:space="preserve"> </w:t>
            </w:r>
            <w:r>
              <w:rPr>
                <w:iCs/>
                <w:i/>
                <w:sz w:val="19"/>
              </w:rPr>
              <w:t xml:space="preserve">Net Zero Ports</w:t>
            </w:r>
            <w:r>
              <w:rPr>
                <w:sz w:val="19"/>
              </w:rPr>
              <w:t xml:space="preserve">, Aug 2026</w:t>
            </w:r>
          </w:p>
        </w:tc>
      </w:tr>
      <w:tr>
        <w:tc>
          <w:tcPr/>
          <w:p>
            <w:pPr>
              <w:pStyle w:val="Compact"/>
              <w:spacing w:before="60" w:after="60"/>
              <w:jc w:val="left"/>
            </w:pPr>
            <w:r>
              <w:rPr>
                <w:bCs/>
                <w:b/>
                <w:sz w:val="19"/>
              </w:rPr>
              <w:t xml:space="preserve">Semiconductor fabrication plants</w:t>
            </w:r>
          </w:p>
        </w:tc>
        <w:tc>
          <w:tcPr/>
          <w:p>
            <w:pPr>
              <w:pStyle w:val="Compact"/>
              <w:spacing w:before="60" w:after="60"/>
              <w:jc w:val="left"/>
            </w:pPr>
            <w:r>
              <w:rPr>
                <w:sz w:val="19"/>
              </w:rPr>
              <w:t xml:space="preserve">A leading-edge logic fab needs 400–600 MW continuously; US interconnection at that scale runs 3–5 years and is often the binding constraint on start-up</w:t>
            </w:r>
          </w:p>
        </w:tc>
        <w:tc>
          <w:tcPr/>
          <w:p>
            <w:pPr>
              <w:pStyle w:val="Compact"/>
              <w:spacing w:before="60" w:after="60"/>
              <w:jc w:val="left"/>
            </w:pPr>
            <w:r>
              <w:rPr>
                <w:sz w:val="19"/>
              </w:rPr>
              <w:t xml:space="preserve">Secondary aggregator source — re-source before quoting</w:t>
            </w:r>
          </w:p>
        </w:tc>
      </w:tr>
      <w:tr>
        <w:tc>
          <w:tcPr/>
          <w:p>
            <w:pPr>
              <w:pStyle w:val="Compact"/>
              <w:spacing w:before="60" w:after="60"/>
              <w:jc w:val="left"/>
            </w:pPr>
            <w:r>
              <w:rPr>
                <w:bCs/>
                <w:b/>
                <w:sz w:val="19"/>
              </w:rPr>
              <w:t xml:space="preserve">Electric truck depots and motorway charging hubs</w:t>
            </w:r>
          </w:p>
        </w:tc>
        <w:tc>
          <w:tcPr/>
          <w:p>
            <w:pPr>
              <w:pStyle w:val="Compact"/>
              <w:spacing w:before="60" w:after="60"/>
              <w:jc w:val="left"/>
            </w:pPr>
            <w:r>
              <w:rPr>
                <w:sz w:val="19"/>
              </w:rPr>
              <w:t xml:space="preserve">Only</w:t>
            </w:r>
            <w:r>
              <w:rPr>
                <w:sz w:val="19"/>
              </w:rPr>
              <w:t xml:space="preserve"> </w:t>
            </w:r>
            <w:r>
              <w:rPr>
                <w:bCs/>
                <w:b/>
                <w:sz w:val="19"/>
              </w:rPr>
              <w:t xml:space="preserve">10 %</w:t>
            </w:r>
            <w:r>
              <w:rPr>
                <w:sz w:val="19"/>
              </w:rPr>
              <w:t xml:space="preserve"> </w:t>
            </w:r>
            <w:r>
              <w:rPr>
                <w:sz w:val="19"/>
              </w:rPr>
              <w:t xml:space="preserve">of UK motorway service areas have adequate grid capacity for projected 2035 demand; US depots approaching 15 MW, one operator offered 6 MW against a 25 MW request</w:t>
            </w:r>
          </w:p>
        </w:tc>
        <w:tc>
          <w:tcPr/>
          <w:p>
            <w:pPr>
              <w:pStyle w:val="Compact"/>
              <w:spacing w:before="60" w:after="60"/>
              <w:jc w:val="left"/>
            </w:pPr>
            <w:r>
              <w:rPr>
                <w:sz w:val="19"/>
              </w:rPr>
              <w:t xml:space="preserve">Electrical Review, Jun 2026; Government Computer News</w:t>
            </w:r>
          </w:p>
        </w:tc>
      </w:tr>
      <w:tr>
        <w:tc>
          <w:tcPr/>
          <w:p>
            <w:pPr>
              <w:pStyle w:val="Compact"/>
              <w:spacing w:before="60" w:after="60"/>
              <w:jc w:val="left"/>
            </w:pPr>
            <w:r>
              <w:rPr>
                <w:bCs/>
                <w:b/>
                <w:sz w:val="19"/>
              </w:rPr>
              <w:t xml:space="preserve">Battery gigafactories</w:t>
            </w:r>
          </w:p>
        </w:tc>
        <w:tc>
          <w:tcPr/>
          <w:p>
            <w:pPr>
              <w:pStyle w:val="Compact"/>
              <w:spacing w:before="60" w:after="60"/>
              <w:jc w:val="left"/>
            </w:pPr>
            <w:r>
              <w:rPr>
                <w:sz w:val="19"/>
              </w:rPr>
              <w:t xml:space="preserve">Confirmed that connecting the Agratas Somerset plant required a new 400 kV substation plus interim connections; European gigafactory delays are widespread — but we could</w:t>
            </w:r>
            <w:r>
              <w:rPr>
                <w:sz w:val="19"/>
              </w:rPr>
              <w:t xml:space="preserve"> </w:t>
            </w:r>
            <w:r>
              <w:rPr>
                <w:bCs/>
                <w:b/>
                <w:sz w:val="19"/>
              </w:rPr>
              <w:t xml:space="preserve">not</w:t>
            </w:r>
            <w:r>
              <w:rPr>
                <w:sz w:val="19"/>
              </w:rPr>
              <w:t xml:space="preserve"> </w:t>
            </w:r>
            <w:r>
              <w:rPr>
                <w:sz w:val="19"/>
              </w:rPr>
              <w:t xml:space="preserve">confirm grid connection as the named cause</w:t>
            </w:r>
          </w:p>
        </w:tc>
        <w:tc>
          <w:tcPr/>
          <w:p>
            <w:pPr>
              <w:pStyle w:val="Compact"/>
              <w:spacing w:before="60" w:after="60"/>
              <w:jc w:val="left"/>
            </w:pPr>
            <w:r>
              <w:rPr>
                <w:sz w:val="19"/>
              </w:rPr>
              <w:t xml:space="preserve">National Grid, Feb 2025</w:t>
            </w:r>
          </w:p>
        </w:tc>
      </w:tr>
    </w:tbl>
    <w:bookmarkEnd w:id="28"/>
    <w:bookmarkStart w:id="29" w:name="tier-3-do-not-lead-with-these"/>
    <w:p>
      <w:pPr>
        <w:pStyle w:val="Heading2"/>
      </w:pPr>
      <w:r>
        <w:t xml:space="preserve">Tier 3 — do not lead with these</w:t>
      </w:r>
    </w:p>
    <w:p>
      <w:pPr>
        <w:pStyle w:val="FirstParagraph"/>
      </w:pPr>
      <w:r>
        <w:t xml:space="preserve">Mining (already well served by existing off-grid tools, and little regulatory pull on carbon), desalination and airports (no hard 2025–26 datapoint found), vertical farms and cold storage (no usable evidence found at all).</w:t>
      </w:r>
      <w:r>
        <w:t xml:space="preserve"> </w:t>
      </w:r>
      <w:r>
        <w:rPr>
          <w:bCs/>
          <w:b/>
        </w:rPr>
        <w:t xml:space="preserve">Crypto mining is structurally the wrong customer</w:t>
      </w:r>
      <w:r>
        <w:t xml:space="preserve">: it is flexible load that monetises curtailment, and PJM’s new rules explicitly favour it over rigid loads. It will not pay for life-cycle carbon optimisation.</w:t>
      </w:r>
    </w:p>
    <w:bookmarkEnd w:id="29"/>
    <w:bookmarkStart w:id="30" w:name="Xc17dee287eadf4465480d63cea2bbfe72b5096a"/>
    <w:p>
      <w:pPr>
        <w:pStyle w:val="Heading2"/>
      </w:pPr>
      <w:r>
        <w:t xml:space="preserve">A second class of buyer: the people who check the homework</w:t>
      </w:r>
    </w:p>
    <w:p>
      <w:pPr>
        <w:pStyle w:val="FirstParagraph"/>
      </w:pPr>
      <w:r>
        <w:t xml:space="preserve">Alongside the developers, three groups pay for</w:t>
      </w:r>
      <w:r>
        <w:t xml:space="preserve"> </w:t>
      </w:r>
      <w:r>
        <w:rPr>
          <w:iCs/>
          <w:i/>
        </w:rPr>
        <w:t xml:space="preserve">assurance</w:t>
      </w:r>
      <w:r>
        <w:t xml:space="preserve"> </w:t>
      </w:r>
      <w:r>
        <w:t xml:space="preserve">rather than design:</w:t>
      </w:r>
    </w:p>
    <w:p>
      <w:pPr>
        <w:numPr>
          <w:ilvl w:val="0"/>
          <w:numId w:val="1004"/>
        </w:numPr>
        <w:pStyle w:val="Compact"/>
      </w:pPr>
      <w:r>
        <w:rPr>
          <w:bCs/>
          <w:b/>
        </w:rPr>
        <w:t xml:space="preserve">Lenders and infrastructure investors</w:t>
      </w:r>
      <w:r>
        <w:t xml:space="preserve"> </w:t>
      </w:r>
      <w:r>
        <w:t xml:space="preserve">running technical due diligence on a power strategy before committing.</w:t>
      </w:r>
    </w:p>
    <w:p>
      <w:pPr>
        <w:numPr>
          <w:ilvl w:val="0"/>
          <w:numId w:val="1004"/>
        </w:numPr>
        <w:pStyle w:val="Compact"/>
      </w:pPr>
      <w:r>
        <w:rPr>
          <w:bCs/>
          <w:b/>
        </w:rPr>
        <w:t xml:space="preserve">Planning authorities and regulators</w:t>
      </w:r>
      <w:r>
        <w:t xml:space="preserve"> </w:t>
      </w:r>
      <w:r>
        <w:t xml:space="preserve">assessing an application that claims a carbon benefit.</w:t>
      </w:r>
    </w:p>
    <w:p>
      <w:pPr>
        <w:numPr>
          <w:ilvl w:val="0"/>
          <w:numId w:val="1004"/>
        </w:numPr>
        <w:pStyle w:val="Compact"/>
      </w:pPr>
      <w:r>
        <w:rPr>
          <w:bCs/>
          <w:b/>
        </w:rPr>
        <w:t xml:space="preserve">Corporate energy and sustainability teams</w:t>
      </w:r>
      <w:r>
        <w:t xml:space="preserve"> </w:t>
      </w:r>
      <w:r>
        <w:t xml:space="preserve">who must defend a number in a disclosure that is now audited.</w:t>
      </w:r>
    </w:p>
    <w:p>
      <w:pPr>
        <w:pStyle w:val="FirstParagraph"/>
      </w:pPr>
      <w:r>
        <w:t xml:space="preserve">These buyers value the same property for a different reason: every result names its assumptions, its foresight bound and its data gaps, which is what makes it defensible rather than merely persuasive.</w:t>
      </w:r>
    </w:p>
    <w:bookmarkEnd w:id="30"/>
    <w:bookmarkEnd w:id="31"/>
    <w:bookmarkStart w:id="33" w:name="what-they-are-actually-buying"/>
    <w:p>
      <w:pPr>
        <w:pStyle w:val="Heading1"/>
      </w:pPr>
      <w:r>
        <w:t xml:space="preserve">4. What they are actually buying</w:t>
      </w:r>
    </w:p>
    <w:p>
      <w:pPr>
        <w:pStyle w:val="FirstParagraph"/>
      </w:pPr>
      <w:r>
        <w:t xml:space="preserve">Not a number. A defensible frontier, and the reasoning behind it.</w:t>
      </w:r>
    </w:p>
    <w:p>
      <w:pPr>
        <w:pStyle w:val="BodyText"/>
      </w:pPr>
      <w:r>
        <w:t xml:space="preserve">For any site, load and set of technologies the buyer is willing to consider, the tool returns:</w:t>
      </w:r>
    </w:p>
    <w:p>
      <w:pPr>
        <w:numPr>
          <w:ilvl w:val="0"/>
          <w:numId w:val="1005"/>
        </w:numPr>
        <w:pStyle w:val="Compact"/>
      </w:pPr>
      <w:r>
        <w:t xml:space="preserve">the</w:t>
      </w:r>
      <w:r>
        <w:t xml:space="preserve"> </w:t>
      </w:r>
      <w:r>
        <w:rPr>
          <w:bCs/>
          <w:b/>
        </w:rPr>
        <w:t xml:space="preserve">cheapest</w:t>
      </w:r>
      <w:r>
        <w:t xml:space="preserve"> </w:t>
      </w:r>
      <w:r>
        <w:t xml:space="preserve">build that keeps the facility running, and the</w:t>
      </w:r>
      <w:r>
        <w:t xml:space="preserve"> </w:t>
      </w:r>
      <w:r>
        <w:rPr>
          <w:bCs/>
          <w:b/>
        </w:rPr>
        <w:t xml:space="preserve">lowest-carbon</w:t>
      </w:r>
      <w:r>
        <w:t xml:space="preserve"> </w:t>
      </w:r>
      <w:r>
        <w:t xml:space="preserve">one;</w:t>
      </w:r>
    </w:p>
    <w:p>
      <w:pPr>
        <w:numPr>
          <w:ilvl w:val="0"/>
          <w:numId w:val="1005"/>
        </w:numPr>
        <w:pStyle w:val="Compact"/>
      </w:pPr>
      <w:r>
        <w:t xml:space="preserve">the</w:t>
      </w:r>
      <w:r>
        <w:t xml:space="preserve"> </w:t>
      </w:r>
      <w:r>
        <w:rPr>
          <w:bCs/>
          <w:b/>
        </w:rPr>
        <w:t xml:space="preserve">exact trade-off curve</w:t>
      </w:r>
      <w:r>
        <w:t xml:space="preserve"> </w:t>
      </w:r>
      <w:r>
        <w:t xml:space="preserve">between those two, and its knee — the point past which further carbon reduction gets expensive quickly;</w:t>
      </w:r>
    </w:p>
    <w:p>
      <w:pPr>
        <w:numPr>
          <w:ilvl w:val="0"/>
          <w:numId w:val="1005"/>
        </w:numPr>
        <w:pStyle w:val="Compact"/>
      </w:pPr>
      <w:r>
        <w:t xml:space="preserve">the</w:t>
      </w:r>
      <w:r>
        <w:t xml:space="preserve"> </w:t>
      </w:r>
      <w:r>
        <w:rPr>
          <w:bCs/>
          <w:b/>
        </w:rPr>
        <w:t xml:space="preserve">cost of hitting a stated carbon target</w:t>
      </w:r>
      <w:r>
        <w:t xml:space="preserve">, read straight off that curve;</w:t>
      </w:r>
    </w:p>
    <w:p>
      <w:pPr>
        <w:numPr>
          <w:ilvl w:val="0"/>
          <w:numId w:val="1005"/>
        </w:numPr>
        <w:pStyle w:val="Compact"/>
      </w:pPr>
      <w:r>
        <w:t xml:space="preserve">the</w:t>
      </w:r>
      <w:r>
        <w:t xml:space="preserve"> </w:t>
      </w:r>
      <w:r>
        <w:rPr>
          <w:bCs/>
          <w:b/>
        </w:rPr>
        <w:t xml:space="preserve">tipping-point price</w:t>
      </w:r>
      <w:r>
        <w:t xml:space="preserve"> </w:t>
      </w:r>
      <w:r>
        <w:t xml:space="preserve">at which an option that currently loses — hydrogen, typically — would start to win;</w:t>
      </w:r>
    </w:p>
    <w:p>
      <w:pPr>
        <w:numPr>
          <w:ilvl w:val="0"/>
          <w:numId w:val="1005"/>
        </w:numPr>
        <w:pStyle w:val="Compact"/>
      </w:pPr>
      <w:r>
        <w:t xml:space="preserve">the</w:t>
      </w:r>
      <w:r>
        <w:t xml:space="preserve"> </w:t>
      </w:r>
      <w:r>
        <w:rPr>
          <w:bCs/>
          <w:b/>
        </w:rPr>
        <w:t xml:space="preserve">half-hourly dispatch</w:t>
      </w:r>
      <w:r>
        <w:t xml:space="preserve"> </w:t>
      </w:r>
      <w:r>
        <w:t xml:space="preserve">behind every point, so the answer can be interrogated rather than believed;</w:t>
      </w:r>
    </w:p>
    <w:p>
      <w:pPr>
        <w:numPr>
          <w:ilvl w:val="0"/>
          <w:numId w:val="1005"/>
        </w:numPr>
        <w:pStyle w:val="Compact"/>
      </w:pPr>
      <w:r>
        <w:t xml:space="preserve">a split of carbon into</w:t>
      </w:r>
      <w:r>
        <w:t xml:space="preserve"> </w:t>
      </w:r>
      <w:r>
        <w:rPr>
          <w:bCs/>
          <w:b/>
        </w:rPr>
        <w:t xml:space="preserve">embodied and operational</w:t>
      </w:r>
      <w:r>
        <w:t xml:space="preserve">, so it is visible whether an option is genuinely cleaner or has merely moved its emissions upstream into someone else’s supply chain.</w:t>
      </w:r>
    </w:p>
    <w:bookmarkStart w:id="32" w:name="X4cdd42d016f4b7bf05c028a7a1ca8d22df1d25b"/>
    <w:p>
      <w:pPr>
        <w:pStyle w:val="Heading2"/>
      </w:pPr>
      <w:r>
        <w:t xml:space="preserve">A worked example, from the model’s own validation run</w:t>
      </w:r>
    </w:p>
    <w:p>
      <w:pPr>
        <w:pStyle w:val="FirstParagraph"/>
      </w:pPr>
      <w:r>
        <w:t xml:space="preserve">A 7.31 MW facility in Central London, over 2025, with grid, renewables and battery available:</w:t>
      </w:r>
    </w:p>
    <w:tbl>
      <w:tblPr>
        <w:tblStyle w:val="Table"/>
        <w:tblW w:type="auto" w:w="0"/>
        <w:tblLayout w:type="autofit"/>
        <w:tblLook w:firstRow="1" w:lastRow="0" w:firstColumn="0" w:lastColumn="0" w:noHBand="0" w:noVBand="0" w:val="0020"/>
        <w:jc w:val="start"/>
        <w:tblBorders>
          <w:top w:val="single" w:sz="8" w:space="0" w:color="0B3D5C"/>
          <w:left w:val="none" w:sz="0" w:space="0" w:color="auto"/>
          <w:bottom w:val="single" w:sz="8" w:space="0" w:color="D6DBDF"/>
          <w:right w:val="none" w:sz="0" w:space="0" w:color="auto"/>
          <w:insideH w:val="single" w:sz="4" w:space="0" w:color="E3E7EA"/>
          <w:insideV w:val="none" w:sz="0" w:space="0" w:color="auto"/>
        </w:tblBorders>
      </w:tblPr>
      <w:tblGrid>
        <w:gridCol w:w="2640"/>
        <w:gridCol w:w="2640"/>
        <w:gridCol w:w="2640"/>
      </w:tblGrid>
      <w:tr>
        <w:trPr>
          <w:tblHeader w:val="true"/>
          <w:tblHeader w:val="true"/>
        </w:trPr>
        <w:tc>
          <w:tcPr>
            <w:shd w:val="clear" w:fill="EDF2F5"/>
          </w:tcPr>
          <w:p>
            <w:pPr>
              <w:pStyle w:val="Compact"/>
              <w:spacing w:before="80" w:after="80"/>
            </w:pPr>
          </w:p>
        </w:tc>
        <w:tc>
          <w:tcPr>
            <w:shd w:val="clear" w:fill="EDF2F5"/>
          </w:tcPr>
          <w:p>
            <w:pPr>
              <w:pStyle w:val="Compact"/>
              <w:spacing w:before="80" w:after="80"/>
              <w:jc w:val="left"/>
            </w:pPr>
            <w:r>
              <w:rPr>
                <w:b/>
                <w:color w:val="0B3D5C"/>
                <w:sz w:val="19"/>
              </w:rPr>
              <w:t xml:space="preserve">Delivered cost</w:t>
            </w:r>
          </w:p>
        </w:tc>
        <w:tc>
          <w:tcPr>
            <w:shd w:val="clear" w:fill="EDF2F5"/>
          </w:tcPr>
          <w:p>
            <w:pPr>
              <w:pStyle w:val="Compact"/>
              <w:spacing w:before="80" w:after="80"/>
              <w:jc w:val="left"/>
            </w:pPr>
            <w:r>
              <w:rPr>
                <w:b/>
                <w:color w:val="0B3D5C"/>
                <w:sz w:val="19"/>
              </w:rPr>
              <w:t xml:space="preserve">Annual carbon</w:t>
            </w:r>
          </w:p>
        </w:tc>
      </w:tr>
      <w:tr>
        <w:tc>
          <w:tcPr/>
          <w:p>
            <w:pPr>
              <w:pStyle w:val="Compact"/>
              <w:spacing w:before="60" w:after="60"/>
              <w:jc w:val="left"/>
            </w:pPr>
            <w:r>
              <w:rPr>
                <w:sz w:val="19"/>
              </w:rPr>
              <w:t xml:space="preserve">Grid connection only</w:t>
            </w:r>
          </w:p>
        </w:tc>
        <w:tc>
          <w:tcPr/>
          <w:p>
            <w:pPr>
              <w:pStyle w:val="Compact"/>
              <w:spacing w:before="60" w:after="60"/>
              <w:jc w:val="left"/>
            </w:pPr>
            <w:r>
              <w:rPr>
                <w:sz w:val="19"/>
              </w:rPr>
              <w:t xml:space="preserve">£103.09/MWh</w:t>
            </w:r>
          </w:p>
        </w:tc>
        <w:tc>
          <w:tcPr/>
          <w:p>
            <w:pPr>
              <w:pStyle w:val="Compact"/>
              <w:spacing w:before="60" w:after="60"/>
              <w:jc w:val="left"/>
            </w:pPr>
            <w:r>
              <w:rPr>
                <w:sz w:val="19"/>
              </w:rPr>
              <w:t xml:space="preserve">16,014 tCO₂e</w:t>
            </w:r>
          </w:p>
        </w:tc>
      </w:tr>
      <w:tr>
        <w:tc>
          <w:tcPr/>
          <w:p>
            <w:pPr>
              <w:pStyle w:val="Compact"/>
              <w:spacing w:before="60" w:after="60"/>
              <w:jc w:val="left"/>
            </w:pPr>
            <w:r>
              <w:rPr>
                <w:sz w:val="19"/>
              </w:rPr>
              <w:t xml:space="preserve">Cheapest optimised build</w:t>
            </w:r>
          </w:p>
        </w:tc>
        <w:tc>
          <w:tcPr/>
          <w:p>
            <w:pPr>
              <w:pStyle w:val="Compact"/>
              <w:spacing w:before="60" w:after="60"/>
              <w:jc w:val="left"/>
            </w:pPr>
            <w:r>
              <w:rPr>
                <w:bCs/>
                <w:b/>
                <w:sz w:val="19"/>
              </w:rPr>
              <w:t xml:space="preserve">£76.49/MWh</w:t>
            </w:r>
          </w:p>
        </w:tc>
        <w:tc>
          <w:tcPr/>
          <w:p>
            <w:pPr>
              <w:pStyle w:val="Compact"/>
              <w:spacing w:before="60" w:after="60"/>
              <w:jc w:val="left"/>
            </w:pPr>
            <w:r>
              <w:rPr>
                <w:bCs/>
                <w:b/>
                <w:sz w:val="19"/>
              </w:rPr>
              <w:t xml:space="preserve">6,605 tCO₂e</w:t>
            </w:r>
          </w:p>
        </w:tc>
      </w:tr>
      <w:tr>
        <w:tc>
          <w:tcPr/>
          <w:p>
            <w:pPr>
              <w:pStyle w:val="Compact"/>
              <w:spacing w:before="60" w:after="60"/>
              <w:jc w:val="left"/>
            </w:pPr>
            <w:r>
              <w:rPr>
                <w:sz w:val="19"/>
              </w:rPr>
              <w:t xml:space="preserve">Lowest-carbon build</w:t>
            </w:r>
          </w:p>
        </w:tc>
        <w:tc>
          <w:tcPr/>
          <w:p>
            <w:pPr>
              <w:pStyle w:val="Compact"/>
              <w:spacing w:before="60" w:after="60"/>
              <w:jc w:val="left"/>
            </w:pPr>
            <w:r>
              <w:rPr>
                <w:sz w:val="19"/>
              </w:rPr>
              <w:t xml:space="preserve">£10.98 m/yr total</w:t>
            </w:r>
          </w:p>
        </w:tc>
        <w:tc>
          <w:tcPr/>
          <w:p>
            <w:pPr>
              <w:pStyle w:val="Compact"/>
              <w:spacing w:before="60" w:after="60"/>
              <w:jc w:val="left"/>
            </w:pPr>
            <w:r>
              <w:rPr>
                <w:sz w:val="19"/>
              </w:rPr>
              <w:t xml:space="preserve">3,019 tCO₂e</w:t>
            </w:r>
          </w:p>
        </w:tc>
      </w:tr>
    </w:tbl>
    <w:p>
      <w:pPr>
        <w:pStyle w:val="BodyText"/>
      </w:pPr>
      <w:r>
        <w:t xml:space="preserve">On this site and this year, the optimised build is</w:t>
      </w:r>
      <w:r>
        <w:t xml:space="preserve"> </w:t>
      </w:r>
      <w:r>
        <w:rPr>
          <w:bCs/>
          <w:b/>
        </w:rPr>
        <w:t xml:space="preserve">26 % cheaper per MWh than simply buying grid power, and 59 % lower in carbon</w:t>
      </w:r>
      <w:r>
        <w:t xml:space="preserve">. That is the sales conversation in three rows — and it is a validation output, not a marketing projection. It will not hold on every site or every year, which is precisely why the tool exists.</w:t>
      </w:r>
    </w:p>
    <w:bookmarkEnd w:id="32"/>
    <w:bookmarkEnd w:id="33"/>
    <w:bookmarkStart w:id="34" w:name="why-the-money-is-there"/>
    <w:p>
      <w:pPr>
        <w:pStyle w:val="Heading1"/>
      </w:pPr>
      <w:r>
        <w:t xml:space="preserve">5. Why the money is there</w:t>
      </w:r>
    </w:p>
    <w:p>
      <w:pPr>
        <w:pStyle w:val="FirstParagraph"/>
      </w:pPr>
      <w:r>
        <w:t xml:space="preserve">Four anchors, in ascending order of how hard they are to argue with:</w:t>
      </w:r>
    </w:p>
    <w:p>
      <w:pPr>
        <w:numPr>
          <w:ilvl w:val="0"/>
          <w:numId w:val="1006"/>
        </w:numPr>
        <w:pStyle w:val="Compact"/>
      </w:pPr>
      <w:r>
        <w:rPr>
          <w:bCs/>
          <w:b/>
        </w:rPr>
        <w:t xml:space="preserve">Comparable software.</w:t>
      </w:r>
      <w:r>
        <w:t xml:space="preserve"> </w:t>
      </w:r>
      <w:r>
        <w:t xml:space="preserve">Enterprise carbon accounting platforms — software that only</w:t>
      </w:r>
      <w:r>
        <w:t xml:space="preserve"> </w:t>
      </w:r>
      <w:r>
        <w:rPr>
          <w:iCs/>
          <w:i/>
        </w:rPr>
        <w:t xml:space="preserve">reports</w:t>
      </w:r>
      <w:r>
        <w:t xml:space="preserve"> </w:t>
      </w:r>
      <w:r>
        <w:t xml:space="preserve">carbon — clear at US$50,000–250,000 a year; Watershed’s median observed contract is about US$70,000, with large enterprises at US$100,000–200,000. Microgrid design tools are cheaper: HOMER at US$1,575–4,650 a year, XENDEE at US$440–540 per user per month.</w:t>
      </w:r>
    </w:p>
    <w:p>
      <w:pPr>
        <w:numPr>
          <w:ilvl w:val="0"/>
          <w:numId w:val="1006"/>
        </w:numPr>
        <w:pStyle w:val="Compact"/>
      </w:pPr>
      <w:r>
        <w:rPr>
          <w:bCs/>
          <w:b/>
        </w:rPr>
        <w:t xml:space="preserve">Comparable consultancy.</w:t>
      </w:r>
      <w:r>
        <w:t xml:space="preserve"> </w:t>
      </w:r>
      <w:r>
        <w:t xml:space="preserve">Infrastructure feasibility studies run at roughly</w:t>
      </w:r>
      <w:r>
        <w:t xml:space="preserve"> </w:t>
      </w:r>
      <w:r>
        <w:rPr>
          <w:bCs/>
          <w:b/>
        </w:rPr>
        <w:t xml:space="preserve">0.75–1.5 % of total project cost</w:t>
      </w:r>
      <w:r>
        <w:t xml:space="preserve">. A verified UK comparator: WSP delivered a £74,000 techno-economic feasibility study over seven months for Liverpool City Council. That is the honest shape of the alternative — mid-five figures and two-thirds of a year for a single static answer that cannot be re-run when an assumption changes.</w:t>
      </w:r>
    </w:p>
    <w:p>
      <w:pPr>
        <w:numPr>
          <w:ilvl w:val="0"/>
          <w:numId w:val="1006"/>
        </w:numPr>
        <w:pStyle w:val="Compact"/>
      </w:pPr>
      <w:r>
        <w:rPr>
          <w:bCs/>
          <w:b/>
        </w:rPr>
        <w:t xml:space="preserve">The capital at stake.</w:t>
      </w:r>
      <w:r>
        <w:t xml:space="preserve"> </w:t>
      </w:r>
      <w:r>
        <w:t xml:space="preserve">£380–430 million of power system on a 100 MW project, and a £170 million-a-year gap between UK and US power costs that on-site supply is meant to close.</w:t>
      </w:r>
    </w:p>
    <w:p>
      <w:pPr>
        <w:numPr>
          <w:ilvl w:val="0"/>
          <w:numId w:val="1006"/>
        </w:numPr>
        <w:pStyle w:val="Compact"/>
      </w:pPr>
      <w:r>
        <w:rPr>
          <w:bCs/>
          <w:b/>
        </w:rPr>
        <w:t xml:space="preserve">The commitment fee.</w:t>
      </w:r>
      <w:r>
        <w:t xml:space="preserve"> </w:t>
      </w:r>
      <w:r>
        <w:t xml:space="preserve">Under Ofgem’s proposals a 100 MW developer must post</w:t>
      </w:r>
      <w:r>
        <w:t xml:space="preserve"> </w:t>
      </w:r>
      <w:r>
        <w:rPr>
          <w:bCs/>
          <w:b/>
        </w:rPr>
        <w:t xml:space="preserve">£23.8–71.3 million</w:t>
      </w:r>
      <w:r>
        <w:t xml:space="preserve"> </w:t>
      </w:r>
      <w:r>
        <w:t xml:space="preserve">at offer acceptance, held until energisation and forfeit if milestones are missed. A tool that improves the decision of whether, where and at what size to post that money is trivially worth six figures.</w:t>
      </w:r>
    </w:p>
    <w:p>
      <w:pPr>
        <w:pStyle w:val="FirstParagraph"/>
      </w:pPr>
      <w:r>
        <w:rPr>
          <w:bCs/>
          <w:b/>
        </w:rPr>
        <w:t xml:space="preserve">Our reading:</w:t>
      </w:r>
      <w:r>
        <w:t xml:space="preserve"> </w:t>
      </w:r>
      <w:r>
        <w:t xml:space="preserve">a per-project engagement in the</w:t>
      </w:r>
      <w:r>
        <w:t xml:space="preserve"> </w:t>
      </w:r>
      <w:r>
        <w:rPr>
          <w:bCs/>
          <w:b/>
        </w:rPr>
        <w:t xml:space="preserve">£50,000–150,000</w:t>
      </w:r>
      <w:r>
        <w:t xml:space="preserve"> </w:t>
      </w:r>
      <w:r>
        <w:t xml:space="preserve">range, or an enterprise subscription at</w:t>
      </w:r>
      <w:r>
        <w:t xml:space="preserve"> </w:t>
      </w:r>
      <w:r>
        <w:rPr>
          <w:bCs/>
          <w:b/>
        </w:rPr>
        <w:t xml:space="preserve">£75,000–250,000 a year</w:t>
      </w:r>
      <w:r>
        <w:t xml:space="preserve">, is defensible against these anchors.</w:t>
      </w:r>
      <w:r>
        <w:t xml:space="preserve"> </w:t>
      </w:r>
      <w:r>
        <w:rPr>
          <w:iCs/>
          <w:i/>
        </w:rPr>
        <w:t xml:space="preserve">These are our inferences from comparable pricing, not tested figures — the pricing model is an open question (§10).</w:t>
      </w:r>
    </w:p>
    <w:bookmarkEnd w:id="34"/>
    <w:bookmarkStart w:id="35" w:name="the-regulatory-pull"/>
    <w:p>
      <w:pPr>
        <w:pStyle w:val="Heading1"/>
      </w:pPr>
      <w:r>
        <w:t xml:space="preserve">6. The regulatory pull</w:t>
      </w:r>
    </w:p>
    <w:p>
      <w:pPr>
        <w:pStyle w:val="FirstParagraph"/>
      </w:pPr>
      <w:r>
        <w:t xml:space="preserve">What forces a buyer to quantify life-cycle carbon rather than operational carbon alone:</w:t>
      </w:r>
    </w:p>
    <w:tbl>
      <w:tblPr>
        <w:tblStyle w:val="Table"/>
        <w:tblW w:type="pct" w:w="5000"/>
        <w:tblLayout w:type="autofit"/>
        <w:tblLook w:firstRow="1" w:lastRow="0" w:firstColumn="0" w:lastColumn="0" w:noHBand="0" w:noVBand="0" w:val="0020"/>
        <w:jc w:val="start"/>
        <w:tblBorders>
          <w:top w:val="single" w:sz="8" w:space="0" w:color="0B3D5C"/>
          <w:left w:val="none" w:sz="0" w:space="0" w:color="auto"/>
          <w:bottom w:val="single" w:sz="8" w:space="0" w:color="D6DBDF"/>
          <w:right w:val="none" w:sz="0" w:space="0" w:color="auto"/>
          <w:insideH w:val="single" w:sz="4" w:space="0" w:color="E3E7EA"/>
          <w:insideV w:val="none" w:sz="0" w:space="0" w:color="auto"/>
        </w:tblBorders>
      </w:tblPr>
      <w:tblGrid>
        <w:gridCol w:w="1980"/>
        <w:gridCol w:w="1980"/>
        <w:gridCol w:w="1980"/>
        <w:gridCol w:w="1980"/>
      </w:tblGrid>
      <w:tr>
        <w:trPr>
          <w:tblHeader w:val="true"/>
          <w:tblHeader w:val="true"/>
        </w:trPr>
        <w:tc>
          <w:tcPr>
            <w:shd w:val="clear" w:fill="EDF2F5"/>
          </w:tcPr>
          <w:p>
            <w:pPr>
              <w:pStyle w:val="Compact"/>
              <w:spacing w:before="80" w:after="80"/>
              <w:jc w:val="left"/>
            </w:pPr>
            <w:r>
              <w:rPr>
                <w:b/>
                <w:color w:val="0B3D5C"/>
                <w:sz w:val="19"/>
              </w:rPr>
              <w:t xml:space="preserve">Regime</w:t>
            </w:r>
          </w:p>
        </w:tc>
        <w:tc>
          <w:tcPr>
            <w:shd w:val="clear" w:fill="EDF2F5"/>
          </w:tcPr>
          <w:p>
            <w:pPr>
              <w:pStyle w:val="Compact"/>
              <w:spacing w:before="80" w:after="80"/>
              <w:jc w:val="left"/>
            </w:pPr>
            <w:r>
              <w:rPr>
                <w:b/>
                <w:color w:val="0B3D5C"/>
                <w:sz w:val="19"/>
              </w:rPr>
              <w:t xml:space="preserve">Status</w:t>
            </w:r>
          </w:p>
        </w:tc>
        <w:tc>
          <w:tcPr>
            <w:shd w:val="clear" w:fill="EDF2F5"/>
          </w:tcPr>
          <w:p>
            <w:pPr>
              <w:pStyle w:val="Compact"/>
              <w:spacing w:before="80" w:after="80"/>
              <w:jc w:val="left"/>
            </w:pPr>
            <w:r>
              <w:rPr>
                <w:b/>
                <w:color w:val="0B3D5C"/>
                <w:sz w:val="19"/>
              </w:rPr>
              <w:t xml:space="preserve">From when</w:t>
            </w:r>
          </w:p>
        </w:tc>
        <w:tc>
          <w:tcPr>
            <w:shd w:val="clear" w:fill="EDF2F5"/>
          </w:tcPr>
          <w:p>
            <w:pPr>
              <w:pStyle w:val="Compact"/>
              <w:spacing w:before="80" w:after="80"/>
              <w:jc w:val="left"/>
            </w:pPr>
            <w:r>
              <w:rPr>
                <w:b/>
                <w:color w:val="0B3D5C"/>
                <w:sz w:val="19"/>
              </w:rPr>
              <w:t xml:space="preserve">What it forces</w:t>
            </w:r>
          </w:p>
        </w:tc>
      </w:tr>
      <w:tr>
        <w:tc>
          <w:tcPr/>
          <w:p>
            <w:pPr>
              <w:pStyle w:val="Compact"/>
              <w:spacing w:before="60" w:after="60"/>
              <w:jc w:val="left"/>
            </w:pPr>
            <w:r>
              <w:rPr>
                <w:bCs/>
                <w:b/>
                <w:sz w:val="19"/>
              </w:rPr>
              <w:t xml:space="preserve">EU Energy Efficiency Directive</w:t>
            </w:r>
            <w:r>
              <w:rPr>
                <w:sz w:val="19"/>
              </w:rPr>
              <w:t xml:space="preserve">, Delegated Regulation 2024/1364</w:t>
            </w:r>
          </w:p>
        </w:tc>
        <w:tc>
          <w:tcPr/>
          <w:p>
            <w:pPr>
              <w:pStyle w:val="Compact"/>
              <w:spacing w:before="60" w:after="60"/>
              <w:jc w:val="left"/>
            </w:pPr>
            <w:r>
              <w:rPr>
                <w:sz w:val="19"/>
              </w:rPr>
              <w:t xml:space="preserve">Mandatory</w:t>
            </w:r>
          </w:p>
        </w:tc>
        <w:tc>
          <w:tcPr/>
          <w:p>
            <w:pPr>
              <w:pStyle w:val="Compact"/>
              <w:spacing w:before="60" w:after="60"/>
              <w:jc w:val="left"/>
            </w:pPr>
            <w:r>
              <w:rPr>
                <w:sz w:val="19"/>
              </w:rPr>
              <w:t xml:space="preserve">In force</w:t>
            </w:r>
          </w:p>
        </w:tc>
        <w:tc>
          <w:tcPr/>
          <w:p>
            <w:pPr>
              <w:pStyle w:val="Compact"/>
              <w:spacing w:before="60" w:after="60"/>
              <w:jc w:val="left"/>
            </w:pPr>
            <w:r>
              <w:rPr>
                <w:sz w:val="19"/>
              </w:rPr>
              <w:t xml:space="preserve">Data centres of 500 kW IT power or more must monitor and report energy performance to a European database</w:t>
            </w:r>
          </w:p>
        </w:tc>
      </w:tr>
      <w:tr>
        <w:tc>
          <w:tcPr/>
          <w:p>
            <w:pPr>
              <w:pStyle w:val="Compact"/>
              <w:spacing w:before="60" w:after="60"/>
              <w:jc w:val="left"/>
            </w:pPr>
            <w:r>
              <w:rPr>
                <w:bCs/>
                <w:b/>
                <w:sz w:val="19"/>
              </w:rPr>
              <w:t xml:space="preserve">RICS Whole Life Carbon Assessment, 2nd edition</w:t>
            </w:r>
          </w:p>
        </w:tc>
        <w:tc>
          <w:tcPr/>
          <w:p>
            <w:pPr>
              <w:pStyle w:val="Compact"/>
              <w:spacing w:before="60" w:after="60"/>
              <w:jc w:val="left"/>
            </w:pPr>
            <w:r>
              <w:rPr>
                <w:sz w:val="19"/>
              </w:rPr>
              <w:t xml:space="preserve">Mandatory for RICS members</w:t>
            </w:r>
          </w:p>
        </w:tc>
        <w:tc>
          <w:tcPr/>
          <w:p>
            <w:pPr>
              <w:pStyle w:val="Compact"/>
              <w:spacing w:before="60" w:after="60"/>
              <w:jc w:val="left"/>
            </w:pPr>
            <w:r>
              <w:rPr>
                <w:bCs/>
                <w:b/>
                <w:sz w:val="19"/>
              </w:rPr>
              <w:t xml:space="preserve">1 July 2024</w:t>
            </w:r>
          </w:p>
        </w:tc>
        <w:tc>
          <w:tcPr/>
          <w:p>
            <w:pPr>
              <w:pStyle w:val="Compact"/>
              <w:spacing w:before="60" w:after="60"/>
              <w:jc w:val="left"/>
            </w:pPr>
            <w:r>
              <w:rPr>
                <w:sz w:val="19"/>
              </w:rPr>
              <w:t xml:space="preserve">Members must assess embodied plus operational carbon across the asset life cycle; deviations must be recorded</w:t>
            </w:r>
          </w:p>
        </w:tc>
      </w:tr>
      <w:tr>
        <w:tc>
          <w:tcPr/>
          <w:p>
            <w:pPr>
              <w:pStyle w:val="Compact"/>
              <w:spacing w:before="60" w:after="60"/>
              <w:jc w:val="left"/>
            </w:pPr>
            <w:r>
              <w:rPr>
                <w:bCs/>
                <w:b/>
                <w:sz w:val="19"/>
              </w:rPr>
              <w:t xml:space="preserve">CRU data centre connection policy (Ireland)</w:t>
            </w:r>
          </w:p>
        </w:tc>
        <w:tc>
          <w:tcPr/>
          <w:p>
            <w:pPr>
              <w:pStyle w:val="Compact"/>
              <w:spacing w:before="60" w:after="60"/>
              <w:jc w:val="left"/>
            </w:pPr>
            <w:r>
              <w:rPr>
                <w:sz w:val="19"/>
              </w:rPr>
              <w:t xml:space="preserve">Mandatory</w:t>
            </w:r>
          </w:p>
        </w:tc>
        <w:tc>
          <w:tcPr/>
          <w:p>
            <w:pPr>
              <w:pStyle w:val="Compact"/>
              <w:spacing w:before="60" w:after="60"/>
              <w:jc w:val="left"/>
            </w:pPr>
            <w:r>
              <w:rPr>
                <w:sz w:val="19"/>
              </w:rPr>
              <w:t xml:space="preserve">Dec 2025</w:t>
            </w:r>
          </w:p>
        </w:tc>
        <w:tc>
          <w:tcPr/>
          <w:p>
            <w:pPr>
              <w:pStyle w:val="Compact"/>
              <w:spacing w:before="60" w:after="60"/>
              <w:jc w:val="left"/>
            </w:pPr>
            <w:r>
              <w:rPr>
                <w:sz w:val="19"/>
              </w:rPr>
              <w:t xml:space="preserve">On-site or local generation and storage matching import capacity; 80 % additional Irish renewables</w:t>
            </w:r>
          </w:p>
        </w:tc>
      </w:tr>
      <w:tr>
        <w:tc>
          <w:tcPr/>
          <w:p>
            <w:pPr>
              <w:pStyle w:val="Compact"/>
              <w:spacing w:before="60" w:after="60"/>
              <w:jc w:val="left"/>
            </w:pPr>
            <w:r>
              <w:rPr>
                <w:bCs/>
                <w:b/>
                <w:sz w:val="19"/>
              </w:rPr>
              <w:t xml:space="preserve">EU CSRD / ESRS E1</w:t>
            </w:r>
          </w:p>
        </w:tc>
        <w:tc>
          <w:tcPr/>
          <w:p>
            <w:pPr>
              <w:pStyle w:val="Compact"/>
              <w:spacing w:before="60" w:after="60"/>
              <w:jc w:val="left"/>
            </w:pPr>
            <w:r>
              <w:rPr>
                <w:sz w:val="19"/>
              </w:rPr>
              <w:t xml:space="preserve">Mandatory for in-scope entities</w:t>
            </w:r>
          </w:p>
        </w:tc>
        <w:tc>
          <w:tcPr/>
          <w:p>
            <w:pPr>
              <w:pStyle w:val="Compact"/>
              <w:spacing w:before="60" w:after="60"/>
              <w:jc w:val="left"/>
            </w:pPr>
            <w:r>
              <w:rPr>
                <w:sz w:val="19"/>
              </w:rPr>
              <w:t xml:space="preserve">Omnibus changes in force Mar 2026; transposition by Mar 2027; non-EU groups report FY2028</w:t>
            </w:r>
          </w:p>
        </w:tc>
        <w:tc>
          <w:tcPr/>
          <w:p>
            <w:pPr>
              <w:pStyle w:val="Compact"/>
              <w:spacing w:before="60" w:after="60"/>
              <w:jc w:val="left"/>
            </w:pPr>
            <w:r>
              <w:rPr>
                <w:sz w:val="19"/>
              </w:rPr>
              <w:t xml:space="preserve">Climate disclosure for entities above €450 m turnover</w:t>
            </w:r>
            <w:r>
              <w:rPr>
                <w:sz w:val="19"/>
              </w:rPr>
              <w:t xml:space="preserve"> </w:t>
            </w:r>
            <w:r>
              <w:rPr>
                <w:bCs/>
                <w:b/>
                <w:sz w:val="19"/>
              </w:rPr>
              <w:t xml:space="preserve">and</w:t>
            </w:r>
            <w:r>
              <w:rPr>
                <w:sz w:val="19"/>
              </w:rPr>
              <w:t xml:space="preserve"> </w:t>
            </w:r>
            <w:r>
              <w:rPr>
                <w:sz w:val="19"/>
              </w:rPr>
              <w:t xml:space="preserve">1,000 employees</w:t>
            </w:r>
          </w:p>
        </w:tc>
      </w:tr>
      <w:tr>
        <w:tc>
          <w:tcPr/>
          <w:p>
            <w:pPr>
              <w:pStyle w:val="Compact"/>
              <w:spacing w:before="60" w:after="60"/>
              <w:jc w:val="left"/>
            </w:pPr>
            <w:r>
              <w:rPr>
                <w:bCs/>
                <w:b/>
                <w:sz w:val="19"/>
              </w:rPr>
              <w:t xml:space="preserve">UK SECR</w:t>
            </w:r>
          </w:p>
        </w:tc>
        <w:tc>
          <w:tcPr/>
          <w:p>
            <w:pPr>
              <w:pStyle w:val="Compact"/>
              <w:spacing w:before="60" w:after="60"/>
              <w:jc w:val="left"/>
            </w:pPr>
            <w:r>
              <w:rPr>
                <w:sz w:val="19"/>
              </w:rPr>
              <w:t xml:space="preserve">Mandatory</w:t>
            </w:r>
          </w:p>
        </w:tc>
        <w:tc>
          <w:tcPr/>
          <w:p>
            <w:pPr>
              <w:pStyle w:val="Compact"/>
              <w:spacing w:before="60" w:after="60"/>
              <w:jc w:val="left"/>
            </w:pPr>
            <w:r>
              <w:rPr>
                <w:sz w:val="19"/>
              </w:rPr>
              <w:t xml:space="preserve">In force</w:t>
            </w:r>
          </w:p>
        </w:tc>
        <w:tc>
          <w:tcPr/>
          <w:p>
            <w:pPr>
              <w:pStyle w:val="Compact"/>
              <w:spacing w:before="60" w:after="60"/>
              <w:jc w:val="left"/>
            </w:pPr>
            <w:r>
              <w:rPr>
                <w:sz w:val="19"/>
              </w:rPr>
              <w:t xml:space="preserve">Scope 1 and 2 mandatory for large companies; Scope 3 voluntary</w:t>
            </w:r>
          </w:p>
        </w:tc>
      </w:tr>
      <w:tr>
        <w:tc>
          <w:tcPr/>
          <w:p>
            <w:pPr>
              <w:pStyle w:val="Compact"/>
              <w:spacing w:before="60" w:after="60"/>
              <w:jc w:val="left"/>
            </w:pPr>
            <w:r>
              <w:rPr>
                <w:bCs/>
                <w:b/>
                <w:sz w:val="19"/>
              </w:rPr>
              <w:t xml:space="preserve">GHG Protocol Scope 2 revision</w:t>
            </w:r>
          </w:p>
        </w:tc>
        <w:tc>
          <w:tcPr/>
          <w:p>
            <w:pPr>
              <w:pStyle w:val="Compact"/>
              <w:spacing w:before="60" w:after="60"/>
              <w:jc w:val="left"/>
            </w:pPr>
            <w:r>
              <w:rPr>
                <w:sz w:val="19"/>
              </w:rPr>
              <w:t xml:space="preserve">Voluntary standard, binding in practice through CSRD and science-based targets</w:t>
            </w:r>
          </w:p>
        </w:tc>
        <w:tc>
          <w:tcPr/>
          <w:p>
            <w:pPr>
              <w:pStyle w:val="Compact"/>
              <w:spacing w:before="60" w:after="60"/>
              <w:jc w:val="left"/>
            </w:pPr>
            <w:r>
              <w:rPr>
                <w:sz w:val="19"/>
              </w:rPr>
              <w:t xml:space="preserve">Revised standard anticipated</w:t>
            </w:r>
            <w:r>
              <w:rPr>
                <w:sz w:val="19"/>
              </w:rPr>
              <w:t xml:space="preserve"> </w:t>
            </w:r>
            <w:r>
              <w:rPr>
                <w:bCs/>
                <w:b/>
                <w:sz w:val="19"/>
              </w:rPr>
              <w:t xml:space="preserve">late 2027</w:t>
            </w:r>
            <w:r>
              <w:rPr>
                <w:sz w:val="19"/>
              </w:rPr>
              <w:t xml:space="preserve">, phased after</w:t>
            </w:r>
          </w:p>
        </w:tc>
        <w:tc>
          <w:tcPr/>
          <w:p>
            <w:pPr>
              <w:pStyle w:val="Compact"/>
              <w:spacing w:before="60" w:after="60"/>
              <w:jc w:val="left"/>
            </w:pPr>
            <w:r>
              <w:rPr>
                <w:bCs/>
                <w:b/>
                <w:sz w:val="19"/>
              </w:rPr>
              <w:t xml:space="preserve">Hourly matching</w:t>
            </w:r>
            <w:r>
              <w:rPr>
                <w:sz w:val="19"/>
              </w:rPr>
              <w:t xml:space="preserve"> </w:t>
            </w:r>
            <w:r>
              <w:rPr>
                <w:sz w:val="19"/>
              </w:rPr>
              <w:t xml:space="preserve">of clean energy certificates, and a deliverability test replacing broad national market boundaries</w:t>
            </w:r>
          </w:p>
        </w:tc>
      </w:tr>
      <w:tr>
        <w:tc>
          <w:tcPr/>
          <w:p>
            <w:pPr>
              <w:pStyle w:val="Compact"/>
              <w:spacing w:before="60" w:after="60"/>
              <w:jc w:val="left"/>
            </w:pPr>
            <w:r>
              <w:rPr>
                <w:bCs/>
                <w:b/>
                <w:sz w:val="19"/>
              </w:rPr>
              <w:t xml:space="preserve">EU Taxonomy, activity 8.1</w:t>
            </w:r>
          </w:p>
        </w:tc>
        <w:tc>
          <w:tcPr/>
          <w:p>
            <w:pPr>
              <w:pStyle w:val="Compact"/>
              <w:spacing w:before="60" w:after="60"/>
              <w:jc w:val="left"/>
            </w:pPr>
            <w:r>
              <w:rPr>
                <w:sz w:val="19"/>
              </w:rPr>
              <w:t xml:space="preserve">Binding through financing and disclosure</w:t>
            </w:r>
          </w:p>
        </w:tc>
        <w:tc>
          <w:tcPr/>
          <w:p>
            <w:pPr>
              <w:pStyle w:val="Compact"/>
              <w:spacing w:before="60" w:after="60"/>
              <w:jc w:val="left"/>
            </w:pPr>
            <w:r>
              <w:rPr>
                <w:sz w:val="19"/>
              </w:rPr>
              <w:t xml:space="preserve">In force</w:t>
            </w:r>
          </w:p>
        </w:tc>
        <w:tc>
          <w:tcPr/>
          <w:p>
            <w:pPr>
              <w:pStyle w:val="Compact"/>
              <w:spacing w:before="60" w:after="60"/>
              <w:jc w:val="left"/>
            </w:pPr>
            <w:r>
              <w:rPr>
                <w:sz w:val="19"/>
              </w:rPr>
              <w:t xml:space="preserve">Efficiency thresholds, renewable sourcing, and</w:t>
            </w:r>
            <w:r>
              <w:rPr>
                <w:sz w:val="19"/>
              </w:rPr>
              <w:t xml:space="preserve"> </w:t>
            </w:r>
            <w:r>
              <w:rPr>
                <w:bCs/>
                <w:b/>
                <w:sz w:val="19"/>
              </w:rPr>
              <w:t xml:space="preserve">life-cycle evaluation of materials and impacts across the asset life cycle</w:t>
            </w:r>
          </w:p>
        </w:tc>
      </w:tr>
      <w:tr>
        <w:tc>
          <w:tcPr/>
          <w:p>
            <w:pPr>
              <w:pStyle w:val="Compact"/>
              <w:spacing w:before="60" w:after="60"/>
              <w:jc w:val="left"/>
            </w:pPr>
            <w:r>
              <w:rPr>
                <w:bCs/>
                <w:b/>
                <w:sz w:val="19"/>
              </w:rPr>
              <w:t xml:space="preserve">PJM Interim Resource Adequacy Service</w:t>
            </w:r>
          </w:p>
        </w:tc>
        <w:tc>
          <w:tcPr/>
          <w:p>
            <w:pPr>
              <w:pStyle w:val="Compact"/>
              <w:spacing w:before="60" w:after="60"/>
              <w:jc w:val="left"/>
            </w:pPr>
            <w:r>
              <w:rPr>
                <w:sz w:val="19"/>
              </w:rPr>
              <w:t xml:space="preserve">Mandatory in market</w:t>
            </w:r>
          </w:p>
        </w:tc>
        <w:tc>
          <w:tcPr/>
          <w:p>
            <w:pPr>
              <w:pStyle w:val="Compact"/>
              <w:spacing w:before="60" w:after="60"/>
              <w:jc w:val="left"/>
            </w:pPr>
            <w:r>
              <w:rPr>
                <w:sz w:val="19"/>
              </w:rPr>
              <w:t xml:space="preserve">Filed Jul 2026, effective</w:t>
            </w:r>
            <w:r>
              <w:rPr>
                <w:sz w:val="19"/>
              </w:rPr>
              <w:t xml:space="preserve"> </w:t>
            </w:r>
            <w:r>
              <w:rPr>
                <w:bCs/>
                <w:b/>
                <w:sz w:val="19"/>
              </w:rPr>
              <w:t xml:space="preserve">1 Jun 2027</w:t>
            </w:r>
          </w:p>
        </w:tc>
        <w:tc>
          <w:tcPr/>
          <w:p>
            <w:pPr>
              <w:pStyle w:val="Compact"/>
              <w:spacing w:before="60" w:after="60"/>
              <w:jc w:val="left"/>
            </w:pPr>
            <w:r>
              <w:rPr>
                <w:sz w:val="19"/>
              </w:rPr>
              <w:t xml:space="preserve">Loads ≥50 MW curtailed first unless they bring new capacity</w:t>
            </w:r>
          </w:p>
        </w:tc>
      </w:tr>
    </w:tbl>
    <w:p>
      <w:pPr>
        <w:pStyle w:val="BodyText"/>
      </w:pPr>
      <w:r>
        <w:t xml:space="preserve">The two that matter most, together: the</w:t>
      </w:r>
      <w:r>
        <w:t xml:space="preserve"> </w:t>
      </w:r>
      <w:r>
        <w:rPr>
          <w:bCs/>
          <w:b/>
        </w:rPr>
        <w:t xml:space="preserve">Scope 2 revision</w:t>
      </w:r>
      <w:r>
        <w:t xml:space="preserve"> </w:t>
      </w:r>
      <w:r>
        <w:t xml:space="preserve">will require hourly operational carbon accounting, and</w:t>
      </w:r>
      <w:r>
        <w:t xml:space="preserve"> </w:t>
      </w:r>
      <w:r>
        <w:rPr>
          <w:bCs/>
          <w:b/>
        </w:rPr>
        <w:t xml:space="preserve">RICS</w:t>
      </w:r>
      <w:r>
        <w:t xml:space="preserve"> </w:t>
      </w:r>
      <w:r>
        <w:t xml:space="preserve">already requires embodied carbon. A buyer will shortly have to optimise both at once. That is the objective function this tool already has, and it is not what an annual-average spreadsheet or a standard life-cycle assessment package does.</w:t>
      </w:r>
    </w:p>
    <w:p>
      <w:pPr>
        <w:pStyle w:val="BodyText"/>
      </w:pPr>
      <w:r>
        <w:rPr>
          <w:iCs/>
          <w:i/>
        </w:rPr>
        <w:t xml:space="preserve">Two items we could not verify and have therefore left out: the Greater London Authority’s whole-life carbon assessment thresholds (page inaccessible), and the Climate Neutral Data Centre Pact’s targets and signatory count.</w:t>
      </w:r>
    </w:p>
    <w:bookmarkEnd w:id="35"/>
    <w:bookmarkStart w:id="41" w:name="the-competitive-landscape"/>
    <w:p>
      <w:pPr>
        <w:pStyle w:val="Heading1"/>
      </w:pPr>
      <w:r>
        <w:t xml:space="preserve">7. The competitive landscape</w:t>
      </w:r>
    </w:p>
    <w:p>
      <w:pPr>
        <w:pStyle w:val="FirstParagraph"/>
      </w:pPr>
      <w:r>
        <w:t xml:space="preserve">Nobody occupies exactly this position, but four groups overlap with it, and one of them overlaps a great deal.</w:t>
      </w:r>
    </w:p>
    <w:bookmarkStart w:id="36" w:name="X2ba460d95da063d9174926441273336970aa09f"/>
    <w:p>
      <w:pPr>
        <w:pStyle w:val="Heading2"/>
      </w:pPr>
      <w:r>
        <w:t xml:space="preserve">Microgrid and distributed-energy design tools — the closest functional overlap</w:t>
      </w:r>
    </w:p>
    <w:tbl>
      <w:tblPr>
        <w:tblStyle w:val="Table"/>
        <w:tblW w:type="pct" w:w="5000"/>
        <w:tblLayout w:type="autofit"/>
        <w:tblLook w:firstRow="1" w:lastRow="0" w:firstColumn="0" w:lastColumn="0" w:noHBand="0" w:noVBand="0" w:val="0020"/>
        <w:jc w:val="start"/>
        <w:tblBorders>
          <w:top w:val="single" w:sz="8" w:space="0" w:color="0B3D5C"/>
          <w:left w:val="none" w:sz="0" w:space="0" w:color="auto"/>
          <w:bottom w:val="single" w:sz="8" w:space="0" w:color="D6DBDF"/>
          <w:right w:val="none" w:sz="0" w:space="0" w:color="auto"/>
          <w:insideH w:val="single" w:sz="4" w:space="0" w:color="E3E7EA"/>
          <w:insideV w:val="none" w:sz="0" w:space="0" w:color="auto"/>
        </w:tblBorders>
      </w:tblPr>
      <w:tblGrid>
        <w:gridCol w:w="1980"/>
        <w:gridCol w:w="1980"/>
        <w:gridCol w:w="1980"/>
        <w:gridCol w:w="1980"/>
      </w:tblGrid>
      <w:tr>
        <w:trPr>
          <w:tblHeader w:val="true"/>
          <w:tblHeader w:val="true"/>
        </w:trPr>
        <w:tc>
          <w:tcPr>
            <w:shd w:val="clear" w:fill="EDF2F5"/>
          </w:tcPr>
          <w:p>
            <w:pPr>
              <w:pStyle w:val="Compact"/>
              <w:spacing w:before="80" w:after="80"/>
              <w:jc w:val="left"/>
            </w:pPr>
            <w:r>
              <w:rPr>
                <w:b/>
                <w:color w:val="0B3D5C"/>
                <w:sz w:val="19"/>
              </w:rPr>
              <w:t xml:space="preserve">Tool</w:t>
            </w:r>
          </w:p>
        </w:tc>
        <w:tc>
          <w:tcPr>
            <w:shd w:val="clear" w:fill="EDF2F5"/>
          </w:tcPr>
          <w:p>
            <w:pPr>
              <w:pStyle w:val="Compact"/>
              <w:spacing w:before="80" w:after="80"/>
              <w:jc w:val="left"/>
            </w:pPr>
            <w:r>
              <w:rPr>
                <w:b/>
                <w:color w:val="0B3D5C"/>
                <w:sz w:val="19"/>
              </w:rPr>
              <w:t xml:space="preserve">What it does</w:t>
            </w:r>
          </w:p>
        </w:tc>
        <w:tc>
          <w:tcPr>
            <w:shd w:val="clear" w:fill="EDF2F5"/>
          </w:tcPr>
          <w:p>
            <w:pPr>
              <w:pStyle w:val="Compact"/>
              <w:spacing w:before="80" w:after="80"/>
              <w:jc w:val="left"/>
            </w:pPr>
            <w:r>
              <w:rPr>
                <w:b/>
                <w:color w:val="0B3D5C"/>
                <w:sz w:val="19"/>
              </w:rPr>
              <w:t xml:space="preserve">Price</w:t>
            </w:r>
          </w:p>
        </w:tc>
        <w:tc>
          <w:tcPr>
            <w:shd w:val="clear" w:fill="EDF2F5"/>
          </w:tcPr>
          <w:p>
            <w:pPr>
              <w:pStyle w:val="Compact"/>
              <w:spacing w:before="80" w:after="80"/>
              <w:jc w:val="left"/>
            </w:pPr>
            <w:r>
              <w:rPr>
                <w:b/>
                <w:color w:val="0B3D5C"/>
                <w:sz w:val="19"/>
              </w:rPr>
              <w:t xml:space="preserve">Gap</w:t>
            </w:r>
          </w:p>
        </w:tc>
      </w:tr>
      <w:tr>
        <w:tc>
          <w:tcPr/>
          <w:p>
            <w:pPr>
              <w:pStyle w:val="Compact"/>
              <w:spacing w:before="60" w:after="60"/>
              <w:jc w:val="left"/>
            </w:pPr>
            <w:r>
              <w:rPr>
                <w:bCs/>
                <w:b/>
                <w:sz w:val="19"/>
              </w:rPr>
              <w:t xml:space="preserve">XENDEE DESIGN</w:t>
            </w:r>
          </w:p>
        </w:tc>
        <w:tc>
          <w:tcPr/>
          <w:p>
            <w:pPr>
              <w:pStyle w:val="Compact"/>
              <w:spacing w:before="60" w:after="60"/>
              <w:jc w:val="left"/>
            </w:pPr>
            <w:r>
              <w:rPr>
                <w:bCs/>
                <w:b/>
                <w:sz w:val="19"/>
              </w:rPr>
              <w:t xml:space="preserve">Our nearest competitor.</w:t>
            </w:r>
            <w:r>
              <w:rPr>
                <w:sz w:val="19"/>
              </w:rPr>
              <w:t xml:space="preserve"> </w:t>
            </w:r>
            <w:r>
              <w:rPr>
                <w:sz w:val="19"/>
              </w:rPr>
              <w:t xml:space="preserve">Joint sizing and dispatch of 25+ technologies; explicitly markets cost-versus-carbon multi-objective optimisation; has an electrolyser, fuel cell, tank and purchased-hydrogen module; runs a data centre vertical</w:t>
            </w:r>
          </w:p>
        </w:tc>
        <w:tc>
          <w:tcPr/>
          <w:p>
            <w:pPr>
              <w:pStyle w:val="Compact"/>
              <w:spacing w:before="60" w:after="60"/>
              <w:jc w:val="left"/>
            </w:pPr>
            <w:r>
              <w:rPr>
                <w:sz w:val="19"/>
              </w:rPr>
              <w:t xml:space="preserve">US$440–540/user/month, published</w:t>
            </w:r>
          </w:p>
        </w:tc>
        <w:tc>
          <w:tcPr/>
          <w:p>
            <w:pPr>
              <w:pStyle w:val="Compact"/>
              <w:spacing w:before="60" w:after="60"/>
              <w:jc w:val="left"/>
            </w:pPr>
            <w:r>
              <w:rPr>
                <w:sz w:val="19"/>
              </w:rPr>
              <w:t xml:space="preserve">Carbon is operational only — no embodied or life-cycle accounting anywhere in its materials. US tariff-centric. Closed source</w:t>
            </w:r>
          </w:p>
        </w:tc>
      </w:tr>
      <w:tr>
        <w:tc>
          <w:tcPr/>
          <w:p>
            <w:pPr>
              <w:pStyle w:val="Compact"/>
              <w:spacing w:before="60" w:after="60"/>
              <w:jc w:val="left"/>
            </w:pPr>
            <w:r>
              <w:rPr>
                <w:bCs/>
                <w:b/>
                <w:sz w:val="19"/>
              </w:rPr>
              <w:t xml:space="preserve">HOMER Pro / Grid / Front</w:t>
            </w:r>
            <w:r>
              <w:rPr>
                <w:sz w:val="19"/>
              </w:rPr>
              <w:t xml:space="preserve"> </w:t>
            </w:r>
            <w:r>
              <w:rPr>
                <w:sz w:val="19"/>
              </w:rPr>
              <w:t xml:space="preserve">(UL Solutions)</w:t>
            </w:r>
          </w:p>
        </w:tc>
        <w:tc>
          <w:tcPr/>
          <w:p>
            <w:pPr>
              <w:pStyle w:val="Compact"/>
              <w:spacing w:before="60" w:after="60"/>
              <w:jc w:val="left"/>
            </w:pPr>
            <w:r>
              <w:rPr>
                <w:sz w:val="19"/>
              </w:rPr>
              <w:t xml:space="preserve">The industry-standard microgrid sizing tool; hydrogen in the Expert tier</w:t>
            </w:r>
          </w:p>
        </w:tc>
        <w:tc>
          <w:tcPr/>
          <w:p>
            <w:pPr>
              <w:pStyle w:val="Compact"/>
              <w:spacing w:before="60" w:after="60"/>
              <w:jc w:val="left"/>
            </w:pPr>
            <w:r>
              <w:rPr>
                <w:sz w:val="19"/>
              </w:rPr>
              <w:t xml:space="preserve">US$1,575–4,650/yr, published</w:t>
            </w:r>
          </w:p>
        </w:tc>
        <w:tc>
          <w:tcPr/>
          <w:p>
            <w:pPr>
              <w:pStyle w:val="Compact"/>
              <w:spacing w:before="60" w:after="60"/>
              <w:jc w:val="left"/>
            </w:pPr>
            <w:r>
              <w:rPr>
                <w:sz w:val="19"/>
              </w:rPr>
              <w:t xml:space="preserve">Three documented limits: the objective is net present cost only, with emissions reported afterwards rather than optimised; emissions are an emission factor times fuel and grid purchases, with</w:t>
            </w:r>
            <w:r>
              <w:rPr>
                <w:sz w:val="19"/>
              </w:rPr>
              <w:t xml:space="preserve"> </w:t>
            </w:r>
            <w:r>
              <w:rPr>
                <w:bCs/>
                <w:b/>
                <w:sz w:val="19"/>
              </w:rPr>
              <w:t xml:space="preserve">no manufacturing term at all</w:t>
            </w:r>
            <w:r>
              <w:rPr>
                <w:sz w:val="19"/>
              </w:rPr>
              <w:t xml:space="preserve">; and the optimiser is a heuristic search, not a certified optimum. Tariff library covers US, Canada and Mexico</w:t>
            </w:r>
          </w:p>
        </w:tc>
      </w:tr>
      <w:tr>
        <w:tc>
          <w:tcPr/>
          <w:p>
            <w:pPr>
              <w:pStyle w:val="Compact"/>
              <w:spacing w:before="60" w:after="60"/>
              <w:jc w:val="left"/>
            </w:pPr>
            <w:r>
              <w:rPr>
                <w:bCs/>
                <w:b/>
                <w:sz w:val="19"/>
              </w:rPr>
              <w:t xml:space="preserve">DER-CAM</w:t>
            </w:r>
            <w:r>
              <w:rPr>
                <w:sz w:val="19"/>
              </w:rPr>
              <w:t xml:space="preserve"> </w:t>
            </w:r>
            <w:r>
              <w:rPr>
                <w:sz w:val="19"/>
              </w:rPr>
              <w:t xml:space="preserve">(Lawrence Berkeley)</w:t>
            </w:r>
          </w:p>
        </w:tc>
        <w:tc>
          <w:tcPr/>
          <w:p>
            <w:pPr>
              <w:pStyle w:val="Compact"/>
              <w:spacing w:before="60" w:after="60"/>
              <w:jc w:val="left"/>
            </w:pPr>
            <w:r>
              <w:rPr>
                <w:sz w:val="19"/>
              </w:rPr>
              <w:t xml:space="preserve">Mixed-integer optimal selection and dispatch of distributed energy resources</w:t>
            </w:r>
          </w:p>
        </w:tc>
        <w:tc>
          <w:tcPr/>
          <w:p>
            <w:pPr>
              <w:pStyle w:val="Compact"/>
              <w:spacing w:before="60" w:after="60"/>
              <w:jc w:val="left"/>
            </w:pPr>
            <w:r>
              <w:rPr>
                <w:sz w:val="19"/>
              </w:rPr>
              <w:t xml:space="preserve">Free</w:t>
            </w:r>
          </w:p>
        </w:tc>
        <w:tc>
          <w:tcPr/>
          <w:p>
            <w:pPr>
              <w:pStyle w:val="Compact"/>
              <w:spacing w:before="60" w:after="60"/>
              <w:jc w:val="left"/>
            </w:pPr>
            <w:r>
              <w:rPr>
                <w:sz w:val="19"/>
              </w:rPr>
              <w:t xml:space="preserve">Single economic objective by default; no UK charging; no life-cycle layer</w:t>
            </w:r>
          </w:p>
        </w:tc>
      </w:tr>
    </w:tbl>
    <w:bookmarkEnd w:id="36"/>
    <w:bookmarkStart w:id="37" w:name="enterprise-power-system-platforms"/>
    <w:p>
      <w:pPr>
        <w:pStyle w:val="Heading2"/>
      </w:pPr>
      <w:r>
        <w:t xml:space="preserve">Enterprise power-system platforms</w:t>
      </w:r>
    </w:p>
    <w:p>
      <w:pPr>
        <w:pStyle w:val="FirstParagraph"/>
      </w:pPr>
      <w:r>
        <w:rPr>
          <w:bCs/>
          <w:b/>
        </w:rPr>
        <w:t xml:space="preserve">PLEXOS</w:t>
      </w:r>
      <w:r>
        <w:t xml:space="preserve"> </w:t>
      </w:r>
      <w:r>
        <w:t xml:space="preserve">(Energy Exemplar),</w:t>
      </w:r>
      <w:r>
        <w:t xml:space="preserve"> </w:t>
      </w:r>
      <w:r>
        <w:rPr>
          <w:bCs/>
          <w:b/>
        </w:rPr>
        <w:t xml:space="preserve">Aurora Energy Research</w:t>
      </w:r>
      <w:r>
        <w:t xml:space="preserve">,</w:t>
      </w:r>
      <w:r>
        <w:t xml:space="preserve"> </w:t>
      </w:r>
      <w:r>
        <w:rPr>
          <w:bCs/>
          <w:b/>
        </w:rPr>
        <w:t xml:space="preserve">Cornwall Insight</w:t>
      </w:r>
      <w:r>
        <w:t xml:space="preserve"> </w:t>
      </w:r>
      <w:r>
        <w:t xml:space="preserve">and</w:t>
      </w:r>
      <w:r>
        <w:t xml:space="preserve"> </w:t>
      </w:r>
      <w:r>
        <w:rPr>
          <w:bCs/>
          <w:b/>
        </w:rPr>
        <w:t xml:space="preserve">Enverus</w:t>
      </w:r>
      <w:r>
        <w:t xml:space="preserve"> </w:t>
      </w:r>
      <w:r>
        <w:t xml:space="preserve">are all credible names a buyer will raise. They operate at market or system scale rather than behind a single meter; their emissions accounting is operational and policy-driven, not life-cycle; and Cornwall Insight and Enverus sell data and siting intelligence rather than optimisation. Cornwall Insight in particular is a</w:t>
      </w:r>
      <w:r>
        <w:t xml:space="preserve"> </w:t>
      </w:r>
      <w:r>
        <w:rPr>
          <w:bCs/>
          <w:b/>
        </w:rPr>
        <w:t xml:space="preserve">complement and an input-data competitor</w:t>
      </w:r>
      <w:r>
        <w:t xml:space="preserve">: they sell the site-specific network charge forecasts our tariff layer computes, and their numbers will be treated as more authoritative than ours.</w:t>
      </w:r>
    </w:p>
    <w:bookmarkEnd w:id="37"/>
    <w:bookmarkStart w:id="38" w:name="X3ac8966af64a10422d0650819f7cc10c8e0fc59"/>
    <w:p>
      <w:pPr>
        <w:pStyle w:val="Heading2"/>
      </w:pPr>
      <w:r>
        <w:t xml:space="preserve">Open-source frameworks — the real substitution risk</w:t>
      </w:r>
    </w:p>
    <w:tbl>
      <w:tblPr>
        <w:tblStyle w:val="Table"/>
        <w:tblW w:type="pct" w:w="5000"/>
        <w:tblLayout w:type="autofit"/>
        <w:tblLook w:firstRow="1" w:lastRow="0" w:firstColumn="0" w:lastColumn="0" w:noHBand="0" w:noVBand="0" w:val="0020"/>
        <w:jc w:val="start"/>
        <w:tblBorders>
          <w:top w:val="single" w:sz="8" w:space="0" w:color="0B3D5C"/>
          <w:left w:val="none" w:sz="0" w:space="0" w:color="auto"/>
          <w:bottom w:val="single" w:sz="8" w:space="0" w:color="D6DBDF"/>
          <w:right w:val="none" w:sz="0" w:space="0" w:color="auto"/>
          <w:insideH w:val="single" w:sz="4" w:space="0" w:color="E3E7EA"/>
          <w:insideV w:val="none" w:sz="0" w:space="0" w:color="auto"/>
        </w:tblBorders>
      </w:tblPr>
      <w:tblGrid>
        <w:gridCol w:w="3960"/>
        <w:gridCol w:w="3960"/>
      </w:tblGrid>
      <w:tr>
        <w:trPr>
          <w:tblHeader w:val="true"/>
          <w:tblHeader w:val="true"/>
        </w:trPr>
        <w:tc>
          <w:tcPr>
            <w:shd w:val="clear" w:fill="EDF2F5"/>
          </w:tcPr>
          <w:p>
            <w:pPr>
              <w:pStyle w:val="Compact"/>
              <w:spacing w:before="80" w:after="80"/>
              <w:jc w:val="left"/>
            </w:pPr>
            <w:r>
              <w:rPr>
                <w:b/>
                <w:color w:val="0B3D5C"/>
                <w:sz w:val="19"/>
              </w:rPr>
              <w:t xml:space="preserve">Framework</w:t>
            </w:r>
          </w:p>
        </w:tc>
        <w:tc>
          <w:tcPr>
            <w:shd w:val="clear" w:fill="EDF2F5"/>
          </w:tcPr>
          <w:p>
            <w:pPr>
              <w:pStyle w:val="Compact"/>
              <w:spacing w:before="80" w:after="80"/>
              <w:jc w:val="left"/>
            </w:pPr>
            <w:r>
              <w:rPr>
                <w:b/>
                <w:color w:val="0B3D5C"/>
                <w:sz w:val="19"/>
              </w:rPr>
              <w:t xml:space="preserve">Why it matters</w:t>
            </w:r>
          </w:p>
        </w:tc>
      </w:tr>
      <w:tr>
        <w:tc>
          <w:tcPr/>
          <w:p>
            <w:pPr>
              <w:pStyle w:val="Compact"/>
              <w:spacing w:before="60" w:after="60"/>
              <w:jc w:val="left"/>
            </w:pPr>
            <w:r>
              <w:rPr>
                <w:bCs/>
                <w:b/>
                <w:sz w:val="19"/>
              </w:rPr>
              <w:t xml:space="preserve">PyPSA / PyPSA-Eur / PyPSA-GB</w:t>
            </w:r>
          </w:p>
        </w:tc>
        <w:tc>
          <w:tcPr/>
          <w:p>
            <w:pPr>
              <w:pStyle w:val="Compact"/>
              <w:spacing w:before="60" w:after="60"/>
              <w:jc w:val="left"/>
            </w:pPr>
            <w:r>
              <w:rPr>
                <w:sz w:val="19"/>
              </w:rPr>
              <w:t xml:space="preserve">MIT-licensed, joint capacity expansion and dispatch,</w:t>
            </w:r>
            <w:r>
              <w:rPr>
                <w:sz w:val="19"/>
              </w:rPr>
              <w:t xml:space="preserve"> </w:t>
            </w:r>
            <w:r>
              <w:rPr>
                <w:bCs/>
                <w:b/>
                <w:sz w:val="19"/>
              </w:rPr>
              <w:t xml:space="preserve">built on linopy and solved with HiGHS — the identical solver stack to ours</w:t>
            </w:r>
            <w:r>
              <w:rPr>
                <w:sz w:val="19"/>
              </w:rPr>
              <w:t xml:space="preserve">, with electrolysers and a Great Britain model already published. A competent in-house team reaches a large fraction of our functionality for nothing</w:t>
            </w:r>
          </w:p>
        </w:tc>
      </w:tr>
      <w:tr>
        <w:tc>
          <w:tcPr/>
          <w:p>
            <w:pPr>
              <w:pStyle w:val="Compact"/>
              <w:spacing w:before="60" w:after="60"/>
              <w:jc w:val="left"/>
            </w:pPr>
            <w:r>
              <w:rPr>
                <w:bCs/>
                <w:b/>
                <w:sz w:val="19"/>
              </w:rPr>
              <w:t xml:space="preserve">HyDesign</w:t>
            </w:r>
            <w:r>
              <w:rPr>
                <w:sz w:val="19"/>
              </w:rPr>
              <w:t xml:space="preserve"> </w:t>
            </w:r>
            <w:r>
              <w:rPr>
                <w:sz w:val="19"/>
              </w:rPr>
              <w:t xml:space="preserve">(Technical University of Denmark)</w:t>
            </w:r>
          </w:p>
        </w:tc>
        <w:tc>
          <w:tcPr/>
          <w:p>
            <w:pPr>
              <w:pStyle w:val="Compact"/>
              <w:spacing w:before="60" w:after="60"/>
              <w:jc w:val="left"/>
            </w:pPr>
            <w:r>
              <w:rPr>
                <w:sz w:val="19"/>
              </w:rPr>
              <w:t xml:space="preserve">Structurally the closest analogue: sizes grid-connected hybrid plants where generation is deliberately oversized against a</w:t>
            </w:r>
            <w:r>
              <w:rPr>
                <w:sz w:val="19"/>
              </w:rPr>
              <w:t xml:space="preserve"> </w:t>
            </w:r>
            <w:r>
              <w:rPr>
                <w:bCs/>
                <w:b/>
                <w:sz w:val="19"/>
              </w:rPr>
              <w:t xml:space="preserve">constrained grid connection, with the connection itself a sized variable</w:t>
            </w:r>
            <w:r>
              <w:rPr>
                <w:sz w:val="19"/>
              </w:rPr>
              <w:t xml:space="preserve">. Peer-reviewed, open source</w:t>
            </w:r>
          </w:p>
        </w:tc>
      </w:tr>
      <w:tr>
        <w:tc>
          <w:tcPr/>
          <w:p>
            <w:pPr>
              <w:pStyle w:val="Compact"/>
              <w:spacing w:before="60" w:after="60"/>
              <w:jc w:val="left"/>
            </w:pPr>
            <w:r>
              <w:rPr>
                <w:bCs/>
                <w:b/>
                <w:sz w:val="19"/>
              </w:rPr>
              <w:t xml:space="preserve">GenX</w:t>
            </w:r>
            <w:r>
              <w:rPr>
                <w:sz w:val="19"/>
              </w:rPr>
              <w:t xml:space="preserve"> </w:t>
            </w:r>
            <w:r>
              <w:rPr>
                <w:sz w:val="19"/>
              </w:rPr>
              <w:t xml:space="preserve">(MIT),</w:t>
            </w:r>
            <w:r>
              <w:rPr>
                <w:sz w:val="19"/>
              </w:rPr>
              <w:t xml:space="preserve"> </w:t>
            </w:r>
            <w:r>
              <w:rPr>
                <w:bCs/>
                <w:b/>
                <w:sz w:val="19"/>
              </w:rPr>
              <w:t xml:space="preserve">Calliope</w:t>
            </w:r>
            <w:r>
              <w:rPr>
                <w:sz w:val="19"/>
              </w:rPr>
              <w:t xml:space="preserve">,</w:t>
            </w:r>
            <w:r>
              <w:rPr>
                <w:sz w:val="19"/>
              </w:rPr>
              <w:t xml:space="preserve"> </w:t>
            </w:r>
            <w:r>
              <w:rPr>
                <w:bCs/>
                <w:b/>
                <w:sz w:val="19"/>
              </w:rPr>
              <w:t xml:space="preserve">TIMES</w:t>
            </w:r>
            <w:r>
              <w:rPr>
                <w:sz w:val="19"/>
              </w:rPr>
              <w:t xml:space="preserve">,</w:t>
            </w:r>
            <w:r>
              <w:rPr>
                <w:sz w:val="19"/>
              </w:rPr>
              <w:t xml:space="preserve"> </w:t>
            </w:r>
            <w:r>
              <w:rPr>
                <w:bCs/>
                <w:b/>
                <w:sz w:val="19"/>
              </w:rPr>
              <w:t xml:space="preserve">oemof</w:t>
            </w:r>
          </w:p>
        </w:tc>
        <w:tc>
          <w:tcPr/>
          <w:p>
            <w:pPr>
              <w:pStyle w:val="Compact"/>
              <w:spacing w:before="60" w:after="60"/>
              <w:jc w:val="left"/>
            </w:pPr>
            <w:r>
              <w:rPr>
                <w:sz w:val="19"/>
              </w:rPr>
              <w:t xml:space="preserve">General frameworks; all require the buyer to build the model, none couple to a life-cycle inventory</w:t>
            </w:r>
          </w:p>
        </w:tc>
      </w:tr>
    </w:tbl>
    <w:p>
      <w:pPr>
        <w:pStyle w:val="BodyText"/>
      </w:pPr>
      <w:r>
        <w:t xml:space="preserve">None of these carries embodied carbon, an exact cost-carbon frontier, or UK network charging. All of them are free.</w:t>
      </w:r>
    </w:p>
    <w:bookmarkEnd w:id="38"/>
    <w:bookmarkStart w:id="39" w:name="life-cycle-assessment-software"/>
    <w:p>
      <w:pPr>
        <w:pStyle w:val="Heading2"/>
      </w:pPr>
      <w:r>
        <w:t xml:space="preserve">Life-cycle assessment software</w:t>
      </w:r>
    </w:p>
    <w:p>
      <w:pPr>
        <w:pStyle w:val="FirstParagraph"/>
      </w:pPr>
      <w:r>
        <w:rPr>
          <w:bCs/>
          <w:b/>
        </w:rPr>
        <w:t xml:space="preserve">Brightway</w:t>
      </w:r>
      <w:r>
        <w:t xml:space="preserve"> </w:t>
      </w:r>
      <w:r>
        <w:t xml:space="preserve">(our own dependency),</w:t>
      </w:r>
      <w:r>
        <w:t xml:space="preserve"> </w:t>
      </w:r>
      <w:r>
        <w:rPr>
          <w:bCs/>
          <w:b/>
        </w:rPr>
        <w:t xml:space="preserve">openLCA</w:t>
      </w:r>
      <w:r>
        <w:t xml:space="preserve">,</w:t>
      </w:r>
      <w:r>
        <w:t xml:space="preserve"> </w:t>
      </w:r>
      <w:r>
        <w:rPr>
          <w:bCs/>
          <w:b/>
        </w:rPr>
        <w:t xml:space="preserve">SimaPro</w:t>
      </w:r>
      <w:r>
        <w:t xml:space="preserve">,</w:t>
      </w:r>
      <w:r>
        <w:t xml:space="preserve"> </w:t>
      </w:r>
      <w:r>
        <w:rPr>
          <w:bCs/>
          <w:b/>
        </w:rPr>
        <w:t xml:space="preserve">Sphera</w:t>
      </w:r>
      <w:r>
        <w:t xml:space="preserve"> </w:t>
      </w:r>
      <w:r>
        <w:t xml:space="preserve">and</w:t>
      </w:r>
      <w:r>
        <w:t xml:space="preserve"> </w:t>
      </w:r>
      <w:r>
        <w:rPr>
          <w:bCs/>
          <w:b/>
        </w:rPr>
        <w:t xml:space="preserve">premise</w:t>
      </w:r>
      <w:r>
        <w:t xml:space="preserve"> </w:t>
      </w:r>
      <w:r>
        <w:t xml:space="preserve">compute impacts for a system you give them. None of them optimises anything — there is no sizing, no dispatch, no time series, no grid constraint.</w:t>
      </w:r>
      <w:r>
        <w:t xml:space="preserve"> </w:t>
      </w:r>
      <w:r>
        <w:rPr>
          <w:rStyle w:val="VerbatimChar"/>
        </w:rPr>
        <w:t xml:space="preserve">premise</w:t>
      </w:r>
      <w:r>
        <w:t xml:space="preserve">, which projects life-cycle databases into future years, is a</w:t>
      </w:r>
      <w:r>
        <w:t xml:space="preserve"> </w:t>
      </w:r>
      <w:r>
        <w:rPr>
          <w:bCs/>
          <w:b/>
        </w:rPr>
        <w:t xml:space="preserve">complement we should adopt</w:t>
      </w:r>
      <w:r>
        <w:t xml:space="preserve">, and it also means a forward-looking life-cycle capability cannot be claimed as novel.</w:t>
      </w:r>
    </w:p>
    <w:bookmarkEnd w:id="39"/>
    <w:bookmarkStart w:id="40" w:name="Xbcd472339ea5c7db75865fd65bdbcf6d7537ab5"/>
    <w:p>
      <w:pPr>
        <w:pStyle w:val="Heading2"/>
      </w:pPr>
      <w:r>
        <w:t xml:space="preserve">Data centre power startups — adjacent, different layer</w:t>
      </w:r>
    </w:p>
    <w:p>
      <w:pPr>
        <w:pStyle w:val="FirstParagraph"/>
      </w:pPr>
      <w:r>
        <w:rPr>
          <w:bCs/>
          <w:b/>
        </w:rPr>
        <w:t xml:space="preserve">Emerald AI</w:t>
      </w:r>
      <w:r>
        <w:t xml:space="preserve"> </w:t>
      </w:r>
      <w:r>
        <w:t xml:space="preserve">(US$150 m Series A at a US$1.05 bn valuation, Aug 2026) orchestrates flexibility in real time.</w:t>
      </w:r>
      <w:r>
        <w:t xml:space="preserve"> </w:t>
      </w:r>
      <w:r>
        <w:rPr>
          <w:bCs/>
          <w:b/>
        </w:rPr>
        <w:t xml:space="preserve">Verse</w:t>
      </w:r>
      <w:r>
        <w:t xml:space="preserve"> </w:t>
      </w:r>
      <w:r>
        <w:t xml:space="preserve">markets</w:t>
      </w:r>
      <w:r>
        <w:t xml:space="preserve"> </w:t>
      </w:r>
      <w:r>
        <w:t xml:space="preserve">“</w:t>
      </w:r>
      <w:r>
        <w:t xml:space="preserve">faster grid connection for the AI era</w:t>
      </w:r>
      <w:r>
        <w:t xml:space="preserve">”</w:t>
      </w:r>
      <w:r>
        <w:t xml:space="preserve"> </w:t>
      </w:r>
      <w:r>
        <w:t xml:space="preserve">across US markets.</w:t>
      </w:r>
      <w:r>
        <w:t xml:space="preserve"> </w:t>
      </w:r>
      <w:r>
        <w:rPr>
          <w:bCs/>
          <w:b/>
        </w:rPr>
        <w:t xml:space="preserve">FlexiDAO</w:t>
      </w:r>
      <w:r>
        <w:t xml:space="preserve">,</w:t>
      </w:r>
      <w:r>
        <w:t xml:space="preserve"> </w:t>
      </w:r>
      <w:r>
        <w:rPr>
          <w:bCs/>
          <w:b/>
        </w:rPr>
        <w:t xml:space="preserve">Granular Energy</w:t>
      </w:r>
      <w:r>
        <w:t xml:space="preserve"> </w:t>
      </w:r>
      <w:r>
        <w:t xml:space="preserve">and</w:t>
      </w:r>
      <w:r>
        <w:t xml:space="preserve"> </w:t>
      </w:r>
      <w:r>
        <w:rPr>
          <w:bCs/>
          <w:b/>
        </w:rPr>
        <w:t xml:space="preserve">LevelTen</w:t>
      </w:r>
      <w:r>
        <w:t xml:space="preserve"> </w:t>
      </w:r>
      <w:r>
        <w:t xml:space="preserve">handle hourly clean-energy matching and procurement. All of these are</w:t>
      </w:r>
      <w:r>
        <w:t xml:space="preserve"> </w:t>
      </w:r>
      <w:r>
        <w:rPr>
          <w:bCs/>
          <w:b/>
        </w:rPr>
        <w:t xml:space="preserve">operations, measurement or procurement layers that assume the assets already exist</w:t>
      </w:r>
      <w:r>
        <w:t xml:space="preserve">. None sizes them.</w:t>
      </w:r>
    </w:p>
    <w:bookmarkEnd w:id="40"/>
    <w:bookmarkEnd w:id="41"/>
    <w:bookmarkStart w:id="42" w:name="how-we-are-different"/>
    <w:p>
      <w:pPr>
        <w:pStyle w:val="Heading1"/>
      </w:pPr>
      <w:r>
        <w:t xml:space="preserve">8. How we are different</w:t>
      </w:r>
    </w:p>
    <w:p>
      <w:pPr>
        <w:pStyle w:val="FirstParagraph"/>
      </w:pPr>
      <w:r>
        <w:t xml:space="preserve">Five claims, each with the evidence that supports it. They are deliberately narrow, because narrow claims survive due diligence.</w:t>
      </w:r>
    </w:p>
    <w:p>
      <w:pPr>
        <w:pStyle w:val="BodyText"/>
      </w:pPr>
      <w:r>
        <w:rPr>
          <w:bCs/>
          <w:b/>
        </w:rPr>
        <w:t xml:space="preserve">1. We optimise against life-cycle carbon. Every comparable design tool optimises against operational emission factors.</w:t>
      </w:r>
      <w:r>
        <w:t xml:space="preserve"> </w:t>
      </w:r>
      <w:r>
        <w:t xml:space="preserve">This is the strongest and cleanest claim. HOMER’s own documentation computes emissions as an emission factor times fuel consumption and grid purchases, with no manufacturing term anywhere in scope. XENDEE’s hydrogen materials discuss operational emissions and never mention embodied carbon. PyPSA and GenX implement carbon caps and prices on operational emissions. On our side, every coefficient comes from a Brightway/ecoinvent inventory, decomposed to a per-MW-installed burden the optimiser attaches to a capacity variable — so building a wind farm costs carbon in the objective, as it does in reality.</w:t>
      </w:r>
      <w:r>
        <w:t xml:space="preserve"> </w:t>
      </w:r>
      <w:r>
        <w:rPr>
          <w:iCs/>
          <w:i/>
        </w:rPr>
        <w:t xml:space="preserve">State it as</w:t>
      </w:r>
      <w:r>
        <w:rPr>
          <w:iCs/>
          <w:i/>
        </w:rPr>
        <w:t xml:space="preserve"> </w:t>
      </w:r>
      <w:r>
        <w:rPr>
          <w:iCs/>
          <w:i/>
        </w:rPr>
        <w:t xml:space="preserve">“</w:t>
      </w:r>
      <w:r>
        <w:rPr>
          <w:iCs/>
          <w:i/>
        </w:rPr>
        <w:t xml:space="preserve">embodied plus operational from a cradle-to-gate inventory</w:t>
      </w:r>
      <w:r>
        <w:rPr>
          <w:iCs/>
          <w:i/>
        </w:rPr>
        <w:t xml:space="preserve">”</w:t>
      </w:r>
      <w:r>
        <w:rPr>
          <w:iCs/>
          <w:i/>
        </w:rPr>
        <w:t xml:space="preserve"> </w:t>
      </w:r>
      <w:r>
        <w:rPr>
          <w:iCs/>
          <w:i/>
        </w:rPr>
        <w:t xml:space="preserve">— not as having invented life-cycle assessment inside optimisation, which has an academic literature going back years.</w:t>
      </w:r>
    </w:p>
    <w:p>
      <w:pPr>
        <w:pStyle w:val="BodyText"/>
      </w:pPr>
      <w:r>
        <w:rPr>
          <w:bCs/>
          <w:b/>
        </w:rPr>
        <w:t xml:space="preserve">2. The trade-off curve is exact, not sampled or searched.</w:t>
      </w:r>
      <w:r>
        <w:t xml:space="preserve"> </w:t>
      </w:r>
      <w:r>
        <w:t xml:space="preserve">HOMER’s optimiser is a derivative-free numerical search governed by a</w:t>
      </w:r>
      <w:r>
        <w:t xml:space="preserve"> </w:t>
      </w:r>
      <w:r>
        <w:t xml:space="preserve">“</w:t>
      </w:r>
      <w:r>
        <w:t xml:space="preserve">focus factor</w:t>
      </w:r>
      <w:r>
        <w:t xml:space="preserve">”</w:t>
      </w:r>
      <w:r>
        <w:t xml:space="preserve"> </w:t>
      </w:r>
      <w:r>
        <w:t xml:space="preserve">that stops on a cost tolerance: it returns a good configuration, not a proven best one. HyDesign’s outer loop is a surrogate-based heuristic with a single objective. PyPSA explores near-optimal alternatives rather than tracing a frontier. Our method sweeps a bound over a convex linear programme, so every point on the curve is a certified optimum. When a buyer asks</w:t>
      </w:r>
      <w:r>
        <w:t xml:space="preserve"> </w:t>
      </w:r>
      <w:r>
        <w:t xml:space="preserve">“</w:t>
      </w:r>
      <w:r>
        <w:t xml:space="preserve">could there be something better than this?</w:t>
      </w:r>
      <w:r>
        <w:t xml:space="preserve">”</w:t>
      </w:r>
      <w:r>
        <w:t xml:space="preserve">, the honest answer is no, and it can be demonstrated.</w:t>
      </w:r>
    </w:p>
    <w:p>
      <w:pPr>
        <w:pStyle w:val="BodyText"/>
      </w:pPr>
      <w:r>
        <w:rPr>
          <w:bCs/>
          <w:b/>
        </w:rPr>
        <w:t xml:space="preserve">3. Native UK network charging and half-hourly GB grid carbon, at settlement resolution.</w:t>
      </w:r>
      <w:r>
        <w:t xml:space="preserve"> </w:t>
      </w:r>
      <w:r>
        <w:t xml:space="preserve">HOMER Grid’s tariff library covers US, Canadian and Mexican postcodes. Verse operates in five US markets. XENDEE, Energy Toolbase and DER-CAM are US tariff-centric. We carry BSUoS, DUoS bands and TNUoS zones, all derived from the site coordinate so the weather, the grid mix and the network bill cannot be moved independently.</w:t>
      </w:r>
      <w:r>
        <w:t xml:space="preserve"> </w:t>
      </w:r>
      <w:r>
        <w:rPr>
          <w:bCs/>
          <w:b/>
        </w:rPr>
        <w:t xml:space="preserve">17,520 half-hourly steps is the native GB settlement resolution</w:t>
      </w:r>
      <w:r>
        <w:t xml:space="preserve"> </w:t>
      </w:r>
      <w:r>
        <w:t xml:space="preserve">— and it matters, because open frameworks routinely compress the year into representative days, which smooths away exactly the tail events that size a battery or a hydrogen tank.</w:t>
      </w:r>
    </w:p>
    <w:p>
      <w:pPr>
        <w:pStyle w:val="BodyText"/>
      </w:pPr>
      <w:r>
        <w:rPr>
          <w:bCs/>
          <w:b/>
        </w:rPr>
        <w:t xml:space="preserve">4. One model spans the connection, generation, storage, hydrogen production, storage, reconversion and purchase.</w:t>
      </w:r>
      <w:r>
        <w:t xml:space="preserve"> </w:t>
      </w:r>
      <w:r>
        <w:t xml:space="preserve">HyDesign sizes the connection, wind, solar and battery but not hydrogen. HOMER needs its top tier for hydrogen. Enverus sites but does not size. Emerald AI and Verse dispatch but do not size.</w:t>
      </w:r>
      <w:r>
        <w:t xml:space="preserve"> </w:t>
      </w:r>
      <w:r>
        <w:rPr>
          <w:bCs/>
          <w:b/>
        </w:rPr>
        <w:t xml:space="preserve">XENDEE genuinely matches this scope</w:t>
      </w:r>
      <w:r>
        <w:t xml:space="preserve"> </w:t>
      </w:r>
      <w:r>
        <w:t xml:space="preserve">— so scope the claim against everyone else, and beat XENDEE on claims 1 and 3 instead.</w:t>
      </w:r>
    </w:p>
    <w:p>
      <w:pPr>
        <w:pStyle w:val="BodyText"/>
      </w:pPr>
      <w:r>
        <w:rPr>
          <w:bCs/>
          <w:b/>
        </w:rPr>
        <w:t xml:space="preserve">5. We price the carbon of the workaround, and nobody else does.</w:t>
      </w:r>
      <w:r>
        <w:t xml:space="preserve"> </w:t>
      </w:r>
      <w:r>
        <w:t xml:space="preserve">Arup’s written evidence to Parliament notes that widespread diesel backup dependence in UK data centres is a material emissions risk that</w:t>
      </w:r>
      <w:r>
        <w:t xml:space="preserve"> </w:t>
      </w:r>
      <w:r>
        <w:t xml:space="preserve">“</w:t>
      </w:r>
      <w:r>
        <w:t xml:space="preserve">remains absent from carbon budgets and energy security modelling</w:t>
      </w:r>
      <w:r>
        <w:t xml:space="preserve">”</w:t>
      </w:r>
      <w:r>
        <w:t xml:space="preserve">. Meanwhile Equinix began trialling 0.5 MW of hydrogen fuel cells at its Dublin data centre in June 2026, scalable to 50 MW, explicitly because of grid capacity constraints. The hydrogen-for-constrained-load pathway is being bought today. Nobody has a rigorous life-cycle optimiser to size it.</w:t>
      </w:r>
    </w:p>
    <w:bookmarkEnd w:id="42"/>
    <w:bookmarkStart w:id="43" w:name="where-competitors-are-better-than-us"/>
    <w:p>
      <w:pPr>
        <w:pStyle w:val="Heading1"/>
      </w:pPr>
      <w:r>
        <w:t xml:space="preserve">9. Where competitors are better than us</w:t>
      </w:r>
    </w:p>
    <w:p>
      <w:pPr>
        <w:pStyle w:val="FirstParagraph"/>
      </w:pPr>
      <w:r>
        <w:t xml:space="preserve">This section exists because a brief that omits it will be dismantled in the first serious meeting.</w:t>
      </w:r>
    </w:p>
    <w:p>
      <w:pPr>
        <w:numPr>
          <w:ilvl w:val="0"/>
          <w:numId w:val="1007"/>
        </w:numPr>
        <w:pStyle w:val="Compact"/>
      </w:pPr>
      <w:r>
        <w:rPr>
          <w:bCs/>
          <w:b/>
        </w:rPr>
        <w:t xml:space="preserve">The method is not novel and it is published.</w:t>
      </w:r>
      <w:r>
        <w:t xml:space="preserve"> </w:t>
      </w:r>
      <w:r>
        <w:t xml:space="preserve">Combining multi-objective optimisation with life-cycle assessment in energy system models has an established literature. Our novelty is integration, data currency and application domain — not method. Any claim of methodological invention will not survive a technical reviewer.</w:t>
      </w:r>
    </w:p>
    <w:p>
      <w:pPr>
        <w:numPr>
          <w:ilvl w:val="0"/>
          <w:numId w:val="1007"/>
        </w:numPr>
        <w:pStyle w:val="Compact"/>
      </w:pPr>
      <w:r>
        <w:rPr>
          <w:bCs/>
          <w:b/>
        </w:rPr>
        <w:t xml:space="preserve">XENDEE already claims our headline.</w:t>
      </w:r>
      <w:r>
        <w:t xml:space="preserve"> </w:t>
      </w:r>
      <w:r>
        <w:t xml:space="preserve">It sells cost-versus-carbon multi-objective optimisation, it has the hydrogen chain, it has a data centre vertical, and it has published pricing, a sales team and a decade of deployments. Our differentiator against XENDEE is narrow and specific:</w:t>
      </w:r>
      <w:r>
        <w:t xml:space="preserve"> </w:t>
      </w:r>
      <w:r>
        <w:rPr>
          <w:bCs/>
          <w:b/>
        </w:rPr>
        <w:t xml:space="preserve">embodied carbon</w:t>
      </w:r>
      <w:r>
        <w:t xml:space="preserve">. It is not</w:t>
      </w:r>
      <w:r>
        <w:t xml:space="preserve"> </w:t>
      </w:r>
      <w:r>
        <w:t xml:space="preserve">“</w:t>
      </w:r>
      <w:r>
        <w:t xml:space="preserve">multi-objective</w:t>
      </w:r>
      <w:r>
        <w:t xml:space="preserve">”</w:t>
      </w:r>
      <w:r>
        <w:t xml:space="preserve"> </w:t>
      </w:r>
      <w:r>
        <w:t xml:space="preserve">and it is not</w:t>
      </w:r>
      <w:r>
        <w:t xml:space="preserve"> </w:t>
      </w:r>
      <w:r>
        <w:t xml:space="preserve">“</w:t>
      </w:r>
      <w:r>
        <w:t xml:space="preserve">hydrogen</w:t>
      </w:r>
      <w:r>
        <w:t xml:space="preserve">”</w:t>
      </w:r>
      <w:r>
        <w:t xml:space="preserve">.</w:t>
      </w:r>
    </w:p>
    <w:p>
      <w:pPr>
        <w:numPr>
          <w:ilvl w:val="0"/>
          <w:numId w:val="1007"/>
        </w:numPr>
        <w:pStyle w:val="Compact"/>
      </w:pPr>
      <w:r>
        <w:rPr>
          <w:bCs/>
          <w:b/>
        </w:rPr>
        <w:t xml:space="preserve">PyPSA is free, mature and uses our exact stack.</w:t>
      </w:r>
      <w:r>
        <w:t xml:space="preserve"> </w:t>
      </w:r>
      <w:r>
        <w:t xml:space="preserve">MIT-licensed, linopy, HiGHS, electrolysers, a published Great Britain model, a large community and peer-reviewed validation. Our moat against it is the life-cycle coupling, the UK tariff layer and the packaging — not the optimisation.</w:t>
      </w:r>
    </w:p>
    <w:p>
      <w:pPr>
        <w:numPr>
          <w:ilvl w:val="0"/>
          <w:numId w:val="1007"/>
        </w:numPr>
        <w:pStyle w:val="Compact"/>
      </w:pPr>
      <w:r>
        <w:rPr>
          <w:bCs/>
          <w:b/>
        </w:rPr>
        <w:t xml:space="preserve">Incumbents have bankability we do not.</w:t>
      </w:r>
      <w:r>
        <w:t xml:space="preserve"> </w:t>
      </w:r>
      <w:r>
        <w:t xml:space="preserve">“</w:t>
      </w:r>
      <w:r>
        <w:t xml:space="preserve">Modelled in PLEXOS</w:t>
      </w:r>
      <w:r>
        <w:t xml:space="preserve">”</w:t>
      </w:r>
      <w:r>
        <w:t xml:space="preserve"> </w:t>
      </w:r>
      <w:r>
        <w:t xml:space="preserve">or</w:t>
      </w:r>
      <w:r>
        <w:t xml:space="preserve"> </w:t>
      </w:r>
      <w:r>
        <w:t xml:space="preserve">“</w:t>
      </w:r>
      <w:r>
        <w:t xml:space="preserve">study by Arup</w:t>
      </w:r>
      <w:r>
        <w:t xml:space="preserve">”</w:t>
      </w:r>
      <w:r>
        <w:t xml:space="preserve"> </w:t>
      </w:r>
      <w:r>
        <w:t xml:space="preserve">de-risks the paper for a lender or a board. A novel model with bespoke carbon coefficients faces a due-diligence burden they do not.</w:t>
      </w:r>
    </w:p>
    <w:p>
      <w:pPr>
        <w:numPr>
          <w:ilvl w:val="0"/>
          <w:numId w:val="1007"/>
        </w:numPr>
        <w:pStyle w:val="Compact"/>
      </w:pPr>
      <w:r>
        <w:rPr>
          <w:bCs/>
          <w:b/>
        </w:rPr>
        <w:t xml:space="preserve">Our ecoinvent dependency is a real commercial constraint.</w:t>
      </w:r>
      <w:r>
        <w:t xml:space="preserve"> </w:t>
      </w:r>
      <w:r>
        <w:t xml:space="preserve">Making ecoinvent data available to third parties through an interactive tool makes us a reseller under their licensing rules, requiring a sublicensing agreement with annual fees that scale with datasets, indicators and end users. This limits how far we can truthfully claim to be open and auditable, and it is a cost line that has to be modelled before pricing is set.</w:t>
      </w:r>
    </w:p>
    <w:p>
      <w:pPr>
        <w:numPr>
          <w:ilvl w:val="0"/>
          <w:numId w:val="1007"/>
        </w:numPr>
        <w:pStyle w:val="Compact"/>
      </w:pPr>
      <w:r>
        <w:rPr>
          <w:bCs/>
          <w:b/>
        </w:rPr>
        <w:t xml:space="preserve">The operations layer is better funded than the planning layer.</w:t>
      </w:r>
      <w:r>
        <w:t xml:space="preserve"> </w:t>
      </w:r>
      <w:r>
        <w:t xml:space="preserve">Emerald AI raised US$150 million at a US$1.05 billion valuation. If the market decides the valuable problem is real-time flexibility rather than upfront sizing, we are in the smaller adjacent segment.</w:t>
      </w:r>
    </w:p>
    <w:bookmarkEnd w:id="43"/>
    <w:bookmarkStart w:id="44" w:name="Xb0d7462e6c4e8f6aab63899e7bac352d043894c"/>
    <w:p>
      <w:pPr>
        <w:pStyle w:val="Heading1"/>
      </w:pPr>
      <w:r>
        <w:t xml:space="preserve">10. Product shape and pricing — the open questions</w:t>
      </w:r>
    </w:p>
    <w:p>
      <w:pPr>
        <w:pStyle w:val="FirstParagraph"/>
      </w:pPr>
      <w:r>
        <w:t xml:space="preserve">We have no revenue, pricing or customer data, so this section is a set of options rather than a plan. It is where your judgement is needed, not ours.</w:t>
      </w:r>
    </w:p>
    <w:p>
      <w:pPr>
        <w:pStyle w:val="BodyText"/>
      </w:pPr>
      <w:r>
        <w:rPr>
          <w:bCs/>
          <w:b/>
        </w:rPr>
        <w:t xml:space="preserve">Three plausible shapes:</w:t>
      </w:r>
    </w:p>
    <w:tbl>
      <w:tblPr>
        <w:tblStyle w:val="Table"/>
        <w:tblW w:type="pct" w:w="5000"/>
        <w:tblLayout w:type="autofit"/>
        <w:tblLook w:firstRow="1" w:lastRow="0" w:firstColumn="0" w:lastColumn="0" w:noHBand="0" w:noVBand="0" w:val="0020"/>
        <w:jc w:val="start"/>
        <w:tblBorders>
          <w:top w:val="single" w:sz="8" w:space="0" w:color="0B3D5C"/>
          <w:left w:val="none" w:sz="0" w:space="0" w:color="auto"/>
          <w:bottom w:val="single" w:sz="8" w:space="0" w:color="D6DBDF"/>
          <w:right w:val="none" w:sz="0" w:space="0" w:color="auto"/>
          <w:insideH w:val="single" w:sz="4" w:space="0" w:color="E3E7EA"/>
          <w:insideV w:val="none" w:sz="0" w:space="0" w:color="auto"/>
        </w:tblBorders>
      </w:tblPr>
      <w:tblGrid>
        <w:gridCol w:w="1980"/>
        <w:gridCol w:w="1980"/>
        <w:gridCol w:w="1980"/>
        <w:gridCol w:w="1980"/>
      </w:tblGrid>
      <w:tr>
        <w:trPr>
          <w:tblHeader w:val="true"/>
          <w:tblHeader w:val="true"/>
        </w:trPr>
        <w:tc>
          <w:tcPr>
            <w:shd w:val="clear" w:fill="EDF2F5"/>
          </w:tcPr>
          <w:p>
            <w:pPr>
              <w:pStyle w:val="Compact"/>
              <w:spacing w:before="80" w:after="80"/>
              <w:jc w:val="left"/>
            </w:pPr>
            <w:r>
              <w:rPr>
                <w:b/>
                <w:color w:val="0B3D5C"/>
                <w:sz w:val="19"/>
              </w:rPr>
              <w:t xml:space="preserve">Shape</w:t>
            </w:r>
          </w:p>
        </w:tc>
        <w:tc>
          <w:tcPr>
            <w:shd w:val="clear" w:fill="EDF2F5"/>
          </w:tcPr>
          <w:p>
            <w:pPr>
              <w:pStyle w:val="Compact"/>
              <w:spacing w:before="80" w:after="80"/>
              <w:jc w:val="left"/>
            </w:pPr>
            <w:r>
              <w:rPr>
                <w:b/>
                <w:color w:val="0B3D5C"/>
                <w:sz w:val="19"/>
              </w:rPr>
              <w:t xml:space="preserve">What it is</w:t>
            </w:r>
          </w:p>
        </w:tc>
        <w:tc>
          <w:tcPr>
            <w:shd w:val="clear" w:fill="EDF2F5"/>
          </w:tcPr>
          <w:p>
            <w:pPr>
              <w:pStyle w:val="Compact"/>
              <w:spacing w:before="80" w:after="80"/>
              <w:jc w:val="left"/>
            </w:pPr>
            <w:r>
              <w:rPr>
                <w:b/>
                <w:color w:val="0B3D5C"/>
                <w:sz w:val="19"/>
              </w:rPr>
              <w:t xml:space="preserve">Fits</w:t>
            </w:r>
          </w:p>
        </w:tc>
        <w:tc>
          <w:tcPr>
            <w:shd w:val="clear" w:fill="EDF2F5"/>
          </w:tcPr>
          <w:p>
            <w:pPr>
              <w:pStyle w:val="Compact"/>
              <w:spacing w:before="80" w:after="80"/>
              <w:jc w:val="left"/>
            </w:pPr>
            <w:r>
              <w:rPr>
                <w:b/>
                <w:color w:val="0B3D5C"/>
                <w:sz w:val="19"/>
              </w:rPr>
              <w:t xml:space="preserve">Against</w:t>
            </w:r>
          </w:p>
        </w:tc>
      </w:tr>
      <w:tr>
        <w:tc>
          <w:tcPr/>
          <w:p>
            <w:pPr>
              <w:pStyle w:val="Compact"/>
              <w:spacing w:before="60" w:after="60"/>
              <w:jc w:val="left"/>
            </w:pPr>
            <w:r>
              <w:rPr>
                <w:bCs/>
                <w:b/>
                <w:sz w:val="19"/>
              </w:rPr>
              <w:t xml:space="preserve">Per-project study</w:t>
            </w:r>
          </w:p>
        </w:tc>
        <w:tc>
          <w:tcPr/>
          <w:p>
            <w:pPr>
              <w:pStyle w:val="Compact"/>
              <w:spacing w:before="60" w:after="60"/>
              <w:jc w:val="left"/>
            </w:pPr>
            <w:r>
              <w:rPr>
                <w:sz w:val="19"/>
              </w:rPr>
              <w:t xml:space="preserve">A scoped engagement per site, delivered as a report</w:t>
            </w:r>
          </w:p>
        </w:tc>
        <w:tc>
          <w:tcPr/>
          <w:p>
            <w:pPr>
              <w:pStyle w:val="Compact"/>
              <w:spacing w:before="60" w:after="60"/>
              <w:jc w:val="left"/>
            </w:pPr>
            <w:r>
              <w:rPr>
                <w:sz w:val="19"/>
              </w:rPr>
              <w:t xml:space="preserve">Developers making one decision; matches how they already buy from consultancies</w:t>
            </w:r>
          </w:p>
        </w:tc>
        <w:tc>
          <w:tcPr/>
          <w:p>
            <w:pPr>
              <w:pStyle w:val="Compact"/>
              <w:spacing w:before="60" w:after="60"/>
              <w:jc w:val="left"/>
            </w:pPr>
            <w:r>
              <w:rPr>
                <w:sz w:val="19"/>
              </w:rPr>
              <w:t xml:space="preserve">Revenue does not compound; competes directly with Arup and WSP on their terms</w:t>
            </w:r>
          </w:p>
        </w:tc>
      </w:tr>
      <w:tr>
        <w:tc>
          <w:tcPr/>
          <w:p>
            <w:pPr>
              <w:pStyle w:val="Compact"/>
              <w:spacing w:before="60" w:after="60"/>
              <w:jc w:val="left"/>
            </w:pPr>
            <w:r>
              <w:rPr>
                <w:bCs/>
                <w:b/>
                <w:sz w:val="19"/>
              </w:rPr>
              <w:t xml:space="preserve">Software subscription</w:t>
            </w:r>
          </w:p>
        </w:tc>
        <w:tc>
          <w:tcPr/>
          <w:p>
            <w:pPr>
              <w:pStyle w:val="Compact"/>
              <w:spacing w:before="60" w:after="60"/>
              <w:jc w:val="left"/>
            </w:pPr>
            <w:r>
              <w:rPr>
                <w:sz w:val="19"/>
              </w:rPr>
              <w:t xml:space="preserve">Seat or site licence on the Streamlit application</w:t>
            </w:r>
          </w:p>
        </w:tc>
        <w:tc>
          <w:tcPr/>
          <w:p>
            <w:pPr>
              <w:pStyle w:val="Compact"/>
              <w:spacing w:before="60" w:after="60"/>
              <w:jc w:val="left"/>
            </w:pPr>
            <w:r>
              <w:rPr>
                <w:sz w:val="19"/>
              </w:rPr>
              <w:t xml:space="preserve">Recurring revenue; matches XENDEE and HOMER; buyers can re-run when assumptions change</w:t>
            </w:r>
          </w:p>
        </w:tc>
        <w:tc>
          <w:tcPr/>
          <w:p>
            <w:pPr>
              <w:pStyle w:val="Compact"/>
              <w:spacing w:before="60" w:after="60"/>
              <w:jc w:val="left"/>
            </w:pPr>
            <w:r>
              <w:rPr>
                <w:sz w:val="19"/>
              </w:rPr>
              <w:t xml:space="preserve">Requires productisation, support and an ecoinvent sublicence</w:t>
            </w:r>
          </w:p>
        </w:tc>
      </w:tr>
      <w:tr>
        <w:tc>
          <w:tcPr/>
          <w:p>
            <w:pPr>
              <w:pStyle w:val="Compact"/>
              <w:spacing w:before="60" w:after="60"/>
              <w:jc w:val="left"/>
            </w:pPr>
            <w:r>
              <w:rPr>
                <w:bCs/>
                <w:b/>
                <w:sz w:val="19"/>
              </w:rPr>
              <w:t xml:space="preserve">Assurance layer</w:t>
            </w:r>
          </w:p>
        </w:tc>
        <w:tc>
          <w:tcPr/>
          <w:p>
            <w:pPr>
              <w:pStyle w:val="Compact"/>
              <w:spacing w:before="60" w:after="60"/>
              <w:jc w:val="left"/>
            </w:pPr>
            <w:r>
              <w:rPr>
                <w:sz w:val="19"/>
              </w:rPr>
              <w:t xml:space="preserve">A verified second opinion for lenders, planners and auditors</w:t>
            </w:r>
          </w:p>
        </w:tc>
        <w:tc>
          <w:tcPr/>
          <w:p>
            <w:pPr>
              <w:pStyle w:val="Compact"/>
              <w:spacing w:before="60" w:after="60"/>
              <w:jc w:val="left"/>
            </w:pPr>
            <w:r>
              <w:rPr>
                <w:sz w:val="19"/>
              </w:rPr>
              <w:t xml:space="preserve">Highest defensibility value; smallest competitive overlap</w:t>
            </w:r>
          </w:p>
        </w:tc>
        <w:tc>
          <w:tcPr/>
          <w:p>
            <w:pPr>
              <w:pStyle w:val="Compact"/>
              <w:spacing w:before="60" w:after="60"/>
              <w:jc w:val="left"/>
            </w:pPr>
            <w:r>
              <w:rPr>
                <w:sz w:val="19"/>
              </w:rPr>
              <w:t xml:space="preserve">Smallest market; needs credibility we have not yet built</w:t>
            </w:r>
          </w:p>
        </w:tc>
      </w:tr>
    </w:tbl>
    <w:p>
      <w:pPr>
        <w:pStyle w:val="BodyText"/>
      </w:pPr>
      <w:r>
        <w:rPr>
          <w:bCs/>
          <w:b/>
        </w:rPr>
        <w:t xml:space="preserve">Questions we cannot answer from the outside:</w:t>
      </w:r>
    </w:p>
    <w:p>
      <w:pPr>
        <w:numPr>
          <w:ilvl w:val="0"/>
          <w:numId w:val="1008"/>
        </w:numPr>
        <w:pStyle w:val="Compact"/>
      </w:pPr>
      <w:r>
        <w:t xml:space="preserve">Is this a business, a consultancy, a research output, or a component to be licensed into someone else’s platform?</w:t>
      </w:r>
      <w:r>
        <w:t xml:space="preserve"> </w:t>
      </w:r>
      <w:r>
        <w:rPr>
          <w:iCs/>
          <w:i/>
        </w:rPr>
        <w:t xml:space="preserve">[to confirm]</w:t>
      </w:r>
    </w:p>
    <w:p>
      <w:pPr>
        <w:numPr>
          <w:ilvl w:val="0"/>
          <w:numId w:val="1008"/>
        </w:numPr>
        <w:pStyle w:val="Compact"/>
      </w:pPr>
      <w:r>
        <w:t xml:space="preserve">What does an ecoinvent reseller sublicence actually cost at the relevant scale? This is the single largest unknown cost line.</w:t>
      </w:r>
      <w:r>
        <w:t xml:space="preserve"> </w:t>
      </w:r>
      <w:r>
        <w:rPr>
          <w:iCs/>
          <w:i/>
        </w:rPr>
        <w:t xml:space="preserve">[to confirm]</w:t>
      </w:r>
    </w:p>
    <w:p>
      <w:pPr>
        <w:numPr>
          <w:ilvl w:val="0"/>
          <w:numId w:val="1008"/>
        </w:numPr>
        <w:pStyle w:val="Compact"/>
      </w:pPr>
      <w:r>
        <w:t xml:space="preserve">Who is the first named customer, and what would they need to see?</w:t>
      </w:r>
      <w:r>
        <w:t xml:space="preserve"> </w:t>
      </w:r>
      <w:r>
        <w:rPr>
          <w:iCs/>
          <w:i/>
        </w:rPr>
        <w:t xml:space="preserve">[to confirm]</w:t>
      </w:r>
    </w:p>
    <w:p>
      <w:pPr>
        <w:numPr>
          <w:ilvl w:val="0"/>
          <w:numId w:val="1008"/>
        </w:numPr>
        <w:pStyle w:val="Compact"/>
      </w:pPr>
      <w:r>
        <w:t xml:space="preserve">Is the intended geography UK-only, UK-plus-Ireland, or eventually the US? The tariff and grid-carbon layers are UK-specific and are both a moat and a ceiling.</w:t>
      </w:r>
      <w:r>
        <w:t xml:space="preserve"> </w:t>
      </w:r>
      <w:r>
        <w:rPr>
          <w:iCs/>
          <w:i/>
        </w:rPr>
        <w:t xml:space="preserve">[to confirm]</w:t>
      </w:r>
    </w:p>
    <w:bookmarkEnd w:id="44"/>
    <w:bookmarkStart w:id="45" w:name="the-roadmap-read-commercially"/>
    <w:p>
      <w:pPr>
        <w:pStyle w:val="Heading1"/>
      </w:pPr>
      <w:r>
        <w:t xml:space="preserve">11. The roadmap, read commercially</w:t>
      </w:r>
    </w:p>
    <w:p>
      <w:pPr>
        <w:pStyle w:val="FirstParagraph"/>
      </w:pPr>
      <w:r>
        <w:t xml:space="preserve">The planned move to a dynamic model — forward grid trajectories, vintaged life-cycle inventories, technology learning curves, multi-period investment — is usually explained as a methodological improvement. It is better explained as three questions a buyer’s board will ask that the current model cannot answer:</w:t>
      </w:r>
    </w:p>
    <w:p>
      <w:pPr>
        <w:pStyle w:val="BodyText"/>
      </w:pPr>
      <w:r>
        <w:rPr>
          <w:bCs/>
          <w:b/>
        </w:rPr>
        <w:t xml:space="preserve">“</w:t>
      </w:r>
      <w:r>
        <w:rPr>
          <w:bCs/>
          <w:b/>
        </w:rPr>
        <w:t xml:space="preserve">Is this still the right build in 2035?</w:t>
      </w:r>
      <w:r>
        <w:rPr>
          <w:bCs/>
          <w:b/>
        </w:rPr>
        <w:t xml:space="preserve">”</w:t>
      </w:r>
      <w:r>
        <w:t xml:space="preserve"> </w:t>
      </w:r>
      <w:r>
        <w:t xml:space="preserve">Today’s model sizes against today’s grid. Britain’s grid was 118 gCO₂/kWh in 2024 and, on NESO’s net zero pathways, reaches roughly zero or below by 2050. A facility sized to avoid a 250 gCO₂/kWh grid is over-built for a grid heading to near zero, and that over-build is capital spent solving a problem that is dissolving on its own. Putting year-indexed price and carbon trajectories into the model fixes this, and the data workbook is publicly downloadable.</w:t>
      </w:r>
    </w:p>
    <w:p>
      <w:pPr>
        <w:pStyle w:val="BodyText"/>
      </w:pPr>
      <w:r>
        <w:rPr>
          <w:bCs/>
          <w:b/>
        </w:rPr>
        <w:t xml:space="preserve">“</w:t>
      </w:r>
      <w:r>
        <w:rPr>
          <w:bCs/>
          <w:b/>
        </w:rPr>
        <w:t xml:space="preserve">Should we build the hydrogen loop now, or wait?</w:t>
      </w:r>
      <w:r>
        <w:rPr>
          <w:bCs/>
          <w:b/>
        </w:rPr>
        <w:t xml:space="preserve">”</w:t>
      </w:r>
      <w:r>
        <w:t xml:space="preserve"> </w:t>
      </w:r>
      <w:r>
        <w:t xml:space="preserve">Only a model with falling technology costs, forward-dated supply chains and an explicit assumption about foresight can answer a</w:t>
      </w:r>
      <w:r>
        <w:t xml:space="preserve"> </w:t>
      </w:r>
      <w:r>
        <w:rPr>
          <w:iCs/>
          <w:i/>
        </w:rPr>
        <w:t xml:space="preserve">timing</w:t>
      </w:r>
      <w:r>
        <w:t xml:space="preserve"> </w:t>
      </w:r>
      <w:r>
        <w:t xml:space="preserve">question at all. Today’s model answers whether, not when. Published learning rates are substantial — 16 % per doubling for utility-scale batteries, 18–32 % for electrolysers depending on technology and study — and they compound over a 25-year life.</w:t>
      </w:r>
      <w:r>
        <w:t xml:space="preserve"> </w:t>
      </w:r>
      <w:r>
        <w:rPr>
          <w:bCs/>
          <w:b/>
        </w:rPr>
        <w:t xml:space="preserve">This is also where honesty is commercially valuable:</w:t>
      </w:r>
      <w:r>
        <w:t xml:space="preserve"> </w:t>
      </w:r>
      <w:r>
        <w:t xml:space="preserve">the learning rate literature is contested in both directions, and a tool that reports a defensible band rather than a single confident number is one a lender can actually use.</w:t>
      </w:r>
    </w:p>
    <w:p>
      <w:pPr>
        <w:pStyle w:val="BodyText"/>
      </w:pPr>
      <w:r>
        <w:rPr>
          <w:bCs/>
          <w:b/>
        </w:rPr>
        <w:t xml:space="preserve">“</w:t>
      </w:r>
      <w:r>
        <w:rPr>
          <w:bCs/>
          <w:b/>
        </w:rPr>
        <w:t xml:space="preserve">What is our exposure if the transition goes slowly?</w:t>
      </w:r>
      <w:r>
        <w:rPr>
          <w:bCs/>
          <w:b/>
        </w:rPr>
        <w:t xml:space="preserve">”</w:t>
      </w:r>
      <w:r>
        <w:t xml:space="preserve"> </w:t>
      </w:r>
      <w:r>
        <w:t xml:space="preserve">Running the same build against NESO’s Falling Behind counterfactual rather than its Holistic Transition pathway prices the scenario risk directly, in money and in carbon. That is a stress test, and stress tests are what investment committees buy.</w:t>
      </w:r>
    </w:p>
    <w:p>
      <w:pPr>
        <w:pStyle w:val="BodyText"/>
      </w:pPr>
      <w:r>
        <w:t xml:space="preserve">There is a fourth reason, less visible but more durable. The same upgrade turns the tool from something that answers a question competitors could also answer — what to build — into something that answers a question they cannot:</w:t>
      </w:r>
      <w:r>
        <w:t xml:space="preserve"> </w:t>
      </w:r>
      <w:r>
        <w:rPr>
          <w:bCs/>
          <w:b/>
        </w:rPr>
        <w:t xml:space="preserve">what this build will have cost, and emitted, over its whole life on a grid and a supply chain that are both moving.</w:t>
      </w:r>
      <w:r>
        <w:t xml:space="preserve"> </w:t>
      </w:r>
      <w:r>
        <w:t xml:space="preserve">Every competitor listed in §7 either optimises with static operational emission factors or computes life-cycle impacts without optimising. Doing both, across time, is where the position is genuinely defensible.</w:t>
      </w:r>
    </w:p>
    <w:bookmarkEnd w:id="45"/>
    <w:bookmarkStart w:id="46" w:name="risks"/>
    <w:p>
      <w:pPr>
        <w:pStyle w:val="Heading1"/>
      </w:pPr>
      <w:r>
        <w:t xml:space="preserve">12. Risks</w:t>
      </w:r>
    </w:p>
    <w:p>
      <w:pPr>
        <w:numPr>
          <w:ilvl w:val="0"/>
          <w:numId w:val="1009"/>
        </w:numPr>
        <w:pStyle w:val="Compact"/>
      </w:pPr>
      <w:r>
        <w:rPr>
          <w:bCs/>
          <w:b/>
        </w:rPr>
        <w:t xml:space="preserve">Regulatory timing.</w:t>
      </w:r>
      <w:r>
        <w:t xml:space="preserve"> </w:t>
      </w:r>
      <w:r>
        <w:t xml:space="preserve">Ofgem’s data centre connection reform consultation closed on 16 September 2026 with a decision expected later in the year. A reform that unblocks connections quickly would soften the pain that drives demand — though the 86 GW pushed to 2030–2035 will not move.</w:t>
      </w:r>
    </w:p>
    <w:p>
      <w:pPr>
        <w:numPr>
          <w:ilvl w:val="0"/>
          <w:numId w:val="1009"/>
        </w:numPr>
        <w:pStyle w:val="Compact"/>
      </w:pPr>
      <w:r>
        <w:rPr>
          <w:bCs/>
          <w:b/>
        </w:rPr>
        <w:t xml:space="preserve">Gas wins on speed.</w:t>
      </w:r>
      <w:r>
        <w:t xml:space="preserve"> </w:t>
      </w:r>
      <w:r>
        <w:t xml:space="preserve">Around 117 projects are already pursuing gas connections, which take 6–24 months against a 15-year electricity wait. If speed dominates, the carbon-optimal answer loses to the fast one regardless of what the model says.</w:t>
      </w:r>
    </w:p>
    <w:p>
      <w:pPr>
        <w:numPr>
          <w:ilvl w:val="0"/>
          <w:numId w:val="1009"/>
        </w:numPr>
        <w:pStyle w:val="Compact"/>
      </w:pPr>
      <w:r>
        <w:rPr>
          <w:bCs/>
          <w:b/>
        </w:rPr>
        <w:t xml:space="preserve">In-house substitution.</w:t>
      </w:r>
      <w:r>
        <w:t xml:space="preserve"> </w:t>
      </w:r>
      <w:r>
        <w:t xml:space="preserve">Hyperscalers have energy teams that can run PyPSA. Our defence is the life-cycle layer and the UK tariff layer, not the optimisation.</w:t>
      </w:r>
    </w:p>
    <w:p>
      <w:pPr>
        <w:numPr>
          <w:ilvl w:val="0"/>
          <w:numId w:val="1009"/>
        </w:numPr>
        <w:pStyle w:val="Compact"/>
      </w:pPr>
      <w:r>
        <w:rPr>
          <w:bCs/>
          <w:b/>
        </w:rPr>
        <w:t xml:space="preserve">Credibility.</w:t>
      </w:r>
      <w:r>
        <w:t xml:space="preserve"> </w:t>
      </w:r>
      <w:r>
        <w:t xml:space="preserve">A model without a track record faces a due-diligence burden that PLEXOS and Arup do not. Publication, peer review and a reference client each shrink this.</w:t>
      </w:r>
    </w:p>
    <w:p>
      <w:pPr>
        <w:numPr>
          <w:ilvl w:val="0"/>
          <w:numId w:val="1009"/>
        </w:numPr>
        <w:pStyle w:val="Compact"/>
      </w:pPr>
      <w:r>
        <w:rPr>
          <w:bCs/>
          <w:b/>
        </w:rPr>
        <w:t xml:space="preserve">Open inputs.</w:t>
      </w:r>
      <w:r>
        <w:t xml:space="preserve"> </w:t>
      </w:r>
      <w:r>
        <w:t xml:space="preserve">Fuel cell and vessel capital costs currently carry spreads of roughly 4.5× and 2×, which means the cost axis of every hydrogen architecture is not yet defensible. Carbon-only hydrogen results are defensible today; cost-optimal hydrogen results are not. Closing these is the precondition for selling hydrogen conclusions at all.</w:t>
      </w:r>
    </w:p>
    <w:bookmarkEnd w:id="46"/>
    <w:bookmarkStart w:id="47" w:name="sources"/>
    <w:p>
      <w:pPr>
        <w:pStyle w:val="Heading1"/>
      </w:pPr>
      <w:r>
        <w:t xml:space="preserve">13. Sources</w:t>
      </w:r>
    </w:p>
    <w:p>
      <w:pPr>
        <w:pStyle w:val="FirstParagraph"/>
      </w:pPr>
      <w:r>
        <w:t xml:space="preserve">Ofgem,</w:t>
      </w:r>
      <w:r>
        <w:t xml:space="preserve"> </w:t>
      </w:r>
      <w:r>
        <w:rPr>
          <w:iCs/>
          <w:i/>
        </w:rPr>
        <w:t xml:space="preserve">Proposed data centre connection reforms</w:t>
      </w:r>
      <w:r>
        <w:t xml:space="preserve"> </w:t>
      </w:r>
      <w:r>
        <w:t xml:space="preserve">consultation, 29 July 2026 · NESO,</w:t>
      </w:r>
      <w:r>
        <w:t xml:space="preserve"> </w:t>
      </w:r>
      <w:r>
        <w:rPr>
          <w:iCs/>
          <w:i/>
        </w:rPr>
        <w:t xml:space="preserve">Connections reform</w:t>
      </w:r>
      <w:r>
        <w:t xml:space="preserve"> </w:t>
      </w:r>
      <w:r>
        <w:t xml:space="preserve">and</w:t>
      </w:r>
      <w:r>
        <w:t xml:space="preserve"> </w:t>
      </w:r>
      <w:r>
        <w:rPr>
          <w:iCs/>
          <w:i/>
        </w:rPr>
        <w:t xml:space="preserve">Future Energy Scenarios 2025</w:t>
      </w:r>
      <w:r>
        <w:t xml:space="preserve"> </w:t>
      </w:r>
      <w:r>
        <w:t xml:space="preserve">· Knight Frank,</w:t>
      </w:r>
      <w:r>
        <w:t xml:space="preserve"> </w:t>
      </w:r>
      <w:r>
        <w:rPr>
          <w:iCs/>
          <w:i/>
        </w:rPr>
        <w:t xml:space="preserve">Connection reform update</w:t>
      </w:r>
      <w:r>
        <w:t xml:space="preserve">, December 2025 · Commission for Regulation of Utilities (Ireland),</w:t>
      </w:r>
      <w:r>
        <w:t xml:space="preserve"> </w:t>
      </w:r>
      <w:r>
        <w:rPr>
          <w:iCs/>
          <w:i/>
        </w:rPr>
        <w:t xml:space="preserve">Decision on new electricity connection policy for data centres</w:t>
      </w:r>
      <w:r>
        <w:t xml:space="preserve">, 12 December 2025 · UK Parliament Research Briefing CBP-10315,</w:t>
      </w:r>
      <w:r>
        <w:t xml:space="preserve"> </w:t>
      </w:r>
      <w:r>
        <w:rPr>
          <w:iCs/>
          <w:i/>
        </w:rPr>
        <w:t xml:space="preserve">Data centres</w:t>
      </w:r>
      <w:r>
        <w:t xml:space="preserve">, 27 May 2026 · UK Department for Transport,</w:t>
      </w:r>
      <w:r>
        <w:t xml:space="preserve"> </w:t>
      </w:r>
      <w:r>
        <w:rPr>
          <w:iCs/>
          <w:i/>
        </w:rPr>
        <w:t xml:space="preserve">Net Zero Ports: summary of responses</w:t>
      </w:r>
      <w:r>
        <w:t xml:space="preserve">, 28 August 2026 · Roadnight Taylor,</w:t>
      </w:r>
      <w:r>
        <w:t xml:space="preserve"> </w:t>
      </w:r>
      <w:r>
        <w:rPr>
          <w:iCs/>
          <w:i/>
        </w:rPr>
        <w:t xml:space="preserve">Powering 2030</w:t>
      </w:r>
      <w:r>
        <w:t xml:space="preserve">, 2026 · ERCOT,</w:t>
      </w:r>
      <w:r>
        <w:t xml:space="preserve"> </w:t>
      </w:r>
      <w:r>
        <w:rPr>
          <w:iCs/>
          <w:i/>
        </w:rPr>
        <w:t xml:space="preserve">Large Load Update</w:t>
      </w:r>
      <w:r>
        <w:t xml:space="preserve">, April 2026 · PJM Interim Resource Adequacy Service filing, 31 July 2026 · Dominion / Virginia State Corporation Commission filings · IEA,</w:t>
      </w:r>
      <w:r>
        <w:t xml:space="preserve"> </w:t>
      </w:r>
      <w:r>
        <w:rPr>
          <w:iCs/>
          <w:i/>
        </w:rPr>
        <w:t xml:space="preserve">Energy and AI</w:t>
      </w:r>
      <w:r>
        <w:t xml:space="preserve">, 2025 · JLL,</w:t>
      </w:r>
      <w:r>
        <w:t xml:space="preserve"> </w:t>
      </w:r>
      <w:r>
        <w:rPr>
          <w:iCs/>
          <w:i/>
        </w:rPr>
        <w:t xml:space="preserve">EMEA Data Centre Report</w:t>
      </w:r>
      <w:r>
        <w:t xml:space="preserve">, mid-year 2026 · Epoch AI,</w:t>
      </w:r>
      <w:r>
        <w:t xml:space="preserve"> </w:t>
      </w:r>
      <w:r>
        <w:rPr>
          <w:iCs/>
          <w:i/>
        </w:rPr>
        <w:t xml:space="preserve">AI data centre cost breakdown</w:t>
      </w:r>
      <w:r>
        <w:t xml:space="preserve">, May 2026 · Global Data Center Hub,</w:t>
      </w:r>
      <w:r>
        <w:t xml:space="preserve"> </w:t>
      </w:r>
      <w:r>
        <w:rPr>
          <w:iCs/>
          <w:i/>
        </w:rPr>
        <w:t xml:space="preserve">What a data center actually costs</w:t>
      </w:r>
      <w:r>
        <w:t xml:space="preserve">, September 2026 · Vendr and Emerald Power carbon accounting pricing surveys, 2026 · UL Solutions HOMER pricing and documentation · XENDEE DESIGN pricing and hydrogen module pages · PyPSA, GenX and HyDesign documentation · ecoinvent licensing terms · Equinix press release, 19 June 2026 · Arup written evidence to Parliament on UK data centres · Contracts Finder award to WSP, Liverpool City Council, 2024.</w:t>
      </w:r>
    </w:p>
    <w:p>
      <w:pPr>
        <w:pStyle w:val="BodyText"/>
      </w:pPr>
      <w:r>
        <w:rPr>
          <w:iCs/>
          <w:i/>
        </w:rPr>
        <w:t xml:space="preserve">Every figure in this brief is drawn from the source named beside it. Where we have derived a number ourselves — the cost of delay in §2.4, the power system capital share in §1, the pricing bands in §5 — we have said so. Items we could not verify are named as such in §6 and §3 rather than quietly dropped.</w:t>
      </w:r>
    </w:p>
    <w:bookmarkEnd w:id="47"/>
    <w:sectPr>
      <w:footerReference w:type="default" r:id="rId9"/>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rFonts w:ascii="Calibri" w:hAnsi="Calibri"/>
        <w:color w:val="7A848C"/>
        <w:sz w:val="17"/>
      </w:rPr>
      <w:t>Commercial brief — the grid-constrained load optimiser</w:t>
      <w:tab/>
    </w:r>
    <w:r>
      <w:rPr>
        <w:rFonts w:ascii="Calibri" w:hAnsi="Calibri"/>
        <w:color w:val="7A848C"/>
        <w:sz w:val="17"/>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283" w:lineRule="auto"/>
    </w:pPr>
    <w:rPr>
      <w:rFonts w:ascii="Calibri" w:cs="Calibri" w:eastAsia="Calibri" w:hAnsi="Calibri"/>
      <w:color w:val="1A1A1A"/>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0"/>
      <w:jc w:val="center"/>
    </w:pPr>
    <w:rPr>
      <w:rFonts w:ascii="Calibri" w:asciiTheme="majorHAnsi" w:cs="Calibri" w:cstheme="majorBidi" w:eastAsia="Calibri" w:eastAsiaTheme="majorEastAsia" w:hAnsi="Calibri" w:hAnsiTheme="majorHAnsi"/>
      <w:b/>
      <w:bCs/>
      <w:i w:val="0"/>
      <w:color w:val="0B3D5C"/>
      <w:sz w:val="52"/>
      <w:szCs w:val="36"/>
    </w:rPr>
  </w:style>
  <w:style w:styleId="Subtitle" w:type="paragraph">
    <w:name w:val="Subtitle"/>
    <w:basedOn w:val="Title"/>
    <w:next w:val="BodyText"/>
    <w:qFormat/>
    <w:pPr>
      <w:keepNext/>
      <w:keepLines/>
      <w:spacing w:after="360" w:before="0"/>
      <w:jc w:val="center"/>
    </w:pPr>
    <w:rPr>
      <w:rFonts w:ascii="Calibri" w:cs="Calibri" w:eastAsia="Calibri" w:hAnsi="Calibri"/>
      <w:b w:val="0"/>
      <w:i w:val="0"/>
      <w:color w:val="5A636B"/>
      <w:sz w:val="25"/>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20"/>
      <w:ind w:firstLine="0" w:left="317" w:right="480"/>
    </w:pPr>
    <w:rPr>
      <w:rFonts w:ascii="Calibri" w:cs="Calibri" w:eastAsia="Calibri" w:hAnsi="Calibri"/>
      <w:i w:val="0"/>
      <w:color w:val="223344"/>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9"/>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b w:val="0"/>
      <w:i/>
      <w:color w:val="5A636B"/>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this is for, and why they would pay</dc:title>
  <dc:creator/>
  <cp:keywords/>
  <dcterms:created xsi:type="dcterms:W3CDTF">2026-09-17T11:28:16Z</dcterms:created>
  <dcterms:modified xsi:type="dcterms:W3CDTF">2026-09-17T11:28:16Z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Commercial brief for the grid-constrained load optimiser — September 2026</vt:lpwstr>
  </property>
</Properties>
</file>