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m="http://schemas.openxmlformats.org/officeDocument/2006/math" xmlns:r="http://schemas.openxmlformats.org/officeDocument/2006/relationships">
  <w:body>
    <w:p>
      <w:pPr>
        <w:spacing w:before="480" w:after="480" w:line="288" w:lineRule="auto"/>
        <w:ind w:left="0"/>
      </w:pPr>
      <w:r>
        <w:rPr>
          <w:rFonts w:eastAsia="等线" w:ascii="Arial" w:cs="Arial" w:hAnsi="Arial"/>
          <w:b w:val="true"/>
          <w:sz w:val="52"/>
        </w:rPr>
        <w:t>差分隐私真的能保护联邦学习免受梯度泄露攻击吗？</w:t>
      </w:r>
    </w:p>
    <w:p>
      <w:pPr>
        <w:spacing w:before="120" w:after="120" w:line="288" w:lineRule="auto"/>
        <w:ind w:left="0"/>
        <w:jc w:val="left"/>
      </w:pPr>
      <w:r>
        <w:rPr>
          <w:rFonts w:eastAsia="等线" w:ascii="Arial" w:cs="Arial" w:hAnsi="Arial"/>
          <w:b w:val="true"/>
          <w:sz w:val="22"/>
        </w:rPr>
        <w:t>胡佳慧</w:t>
      </w:r>
      <w:r>
        <w:rPr>
          <w:rFonts w:eastAsia="等线" w:ascii="Arial" w:cs="Arial" w:hAnsi="Arial"/>
          <w:sz w:val="22"/>
        </w:rPr>
        <w:t>、</w:t>
      </w:r>
      <w:r>
        <w:rPr>
          <w:rFonts w:eastAsia="等线" w:ascii="Arial" w:cs="Arial" w:hAnsi="Arial"/>
          <w:b w:val="true"/>
          <w:sz w:val="22"/>
        </w:rPr>
        <w:t>杜佳成</w:t>
      </w:r>
      <w:r>
        <w:rPr>
          <w:rFonts w:eastAsia="等线" w:ascii="Arial" w:cs="Arial" w:hAnsi="Arial"/>
          <w:sz w:val="22"/>
        </w:rPr>
        <w:t>、</w:t>
      </w:r>
      <w:r>
        <w:rPr>
          <w:rFonts w:eastAsia="等线" w:ascii="Arial" w:cs="Arial" w:hAnsi="Arial"/>
          <w:b w:val="true"/>
          <w:sz w:val="22"/>
        </w:rPr>
        <w:t>王志波</w:t>
      </w:r>
      <w:r>
        <w:rPr>
          <w:rFonts w:eastAsia="等线" w:ascii="Arial" w:cs="Arial" w:hAnsi="Arial"/>
          <w:sz w:val="22"/>
        </w:rPr>
        <w:t>（IEEE高级会员）、</w:t>
      </w:r>
      <w:r>
        <w:rPr>
          <w:rFonts w:eastAsia="等线" w:ascii="Arial" w:cs="Arial" w:hAnsi="Arial"/>
          <w:b w:val="true"/>
          <w:sz w:val="22"/>
        </w:rPr>
        <w:t>庞 Xiaoyi</w:t>
      </w:r>
      <w:r>
        <w:rPr>
          <w:rFonts w:eastAsia="等线" w:ascii="Arial" w:cs="Arial" w:hAnsi="Arial"/>
          <w:sz w:val="22"/>
        </w:rPr>
        <w:t>、</w:t>
      </w:r>
      <w:r>
        <w:rPr>
          <w:rFonts w:eastAsia="等线" w:ascii="Arial" w:cs="Arial" w:hAnsi="Arial"/>
          <w:b w:val="true"/>
          <w:sz w:val="22"/>
        </w:rPr>
        <w:t>周亚杰</w:t>
      </w:r>
      <w:r>
        <w:rPr>
          <w:rFonts w:eastAsia="等线" w:ascii="Arial" w:cs="Arial" w:hAnsi="Arial"/>
          <w:sz w:val="22"/>
        </w:rPr>
        <w:t>、</w:t>
      </w:r>
      <w:r>
        <w:rPr>
          <w:rFonts w:eastAsia="等线" w:ascii="Arial" w:cs="Arial" w:hAnsi="Arial"/>
          <w:b w:val="true"/>
          <w:sz w:val="22"/>
        </w:rPr>
        <w:t>孙鹏</w:t>
      </w:r>
      <w:r>
        <w:rPr>
          <w:rFonts w:eastAsia="等线" w:ascii="Arial" w:cs="Arial" w:hAnsi="Arial"/>
          <w:sz w:val="22"/>
        </w:rPr>
        <w:t>、</w:t>
      </w:r>
      <w:r>
        <w:rPr>
          <w:rFonts w:eastAsia="等线" w:ascii="Arial" w:cs="Arial" w:hAnsi="Arial"/>
          <w:b w:val="true"/>
          <w:sz w:val="22"/>
        </w:rPr>
        <w:t>任奎</w:t>
      </w:r>
      <w:r>
        <w:rPr>
          <w:rFonts w:eastAsia="等线" w:ascii="Arial" w:cs="Arial" w:hAnsi="Arial"/>
          <w:sz w:val="22"/>
        </w:rPr>
        <w:t>（IEEE会士）</w:t>
      </w:r>
    </w:p>
    <w:p>
      <w:pPr>
        <w:pStyle w:val="2"/>
        <w:spacing w:before="320" w:after="120" w:line="288" w:lineRule="auto"/>
        <w:ind w:left="0"/>
        <w:jc w:val="left"/>
        <w:outlineLvl w:val="1"/>
      </w:pPr>
      <w:bookmarkStart w:name="heading_0" w:id="0"/>
      <w:r>
        <w:rPr>
          <w:rFonts w:eastAsia="等线" w:ascii="Arial" w:cs="Arial" w:hAnsi="Arial"/>
          <w:b w:val="true"/>
          <w:sz w:val="32"/>
        </w:rPr>
        <w:t>摘要</w:t>
      </w:r>
      <w:bookmarkEnd w:id="0"/>
    </w:p>
    <w:p>
      <w:pPr>
        <w:spacing w:before="120" w:after="120" w:line="288" w:lineRule="auto"/>
        <w:ind w:left="0"/>
        <w:jc w:val="left"/>
      </w:pPr>
      <w:r>
        <w:rPr>
          <w:rFonts w:eastAsia="等线" w:ascii="Arial" w:cs="Arial" w:hAnsi="Arial"/>
          <w:sz w:val="22"/>
        </w:rPr>
        <w:t>联邦学习（FL）易受梯度泄露攻击（GLA）影响，攻击者可通过共享梯度或模型更新恢复本地私有训练数据。为保障隐私，差分隐私（DP）被应用于联邦学习，通过对本地梯度（即本地差分隐私LDP）或全局模型更新（即中央差分隐私CDP）进行裁剪和加噪实现隐私保护。然而，差分隐私抵御梯度泄露攻击的有效性仍需深入研究——部分研究简要验证了差分隐私可保护联邦学习免受梯度泄露攻击，另一些研究则对其防御能力提出质疑。本文通过实证评估中央差分隐私和本地差分隐私抵御梯度泄露攻击的性能，并重点关注联邦学习中隐私与效用的权衡关系。研究发现：1）采用逐层裁剪策略的中央差分隐私，以及具备合理隐私保障的本地差分隐私，能够抵御现有梯度泄露攻击；2）中央差分隐私和本地差分隐私在训练浅层模型时可实现隐私与效用的平衡，但在深层模型（如残差网络ResNets）训练中无法保证这一平衡。受差分隐私中裁剪操作关键作用的启发，本文提出一种改进型攻击方法，无需额外信息即可将裁剪操作融入现有梯度泄露攻击。实验结果表明，该攻击方法可破解中央差分隐私的保护，并削弱本地差分隐私的防御效果。综上，本文验证了差分隐私的有效性，同时揭示了其在梯度泄露攻击下的脆弱性，希望为利用差分隐私防御联邦学习中的梯度泄露攻击提供指导，并为未来隐私保护型联邦学习的设计提供启发。</w:t>
      </w:r>
    </w:p>
    <w:p>
      <w:pPr>
        <w:spacing w:before="120" w:after="120" w:line="288" w:lineRule="auto"/>
        <w:ind w:left="0"/>
        <w:jc w:val="left"/>
      </w:pPr>
      <w:r>
        <w:rPr>
          <w:rFonts w:eastAsia="等线" w:ascii="Arial" w:cs="Arial" w:hAnsi="Arial"/>
          <w:b w:val="true"/>
          <w:sz w:val="22"/>
        </w:rPr>
        <w:t>关键词</w:t>
      </w:r>
      <w:r>
        <w:rPr>
          <w:rFonts w:eastAsia="等线" w:ascii="Arial" w:cs="Arial" w:hAnsi="Arial"/>
          <w:sz w:val="22"/>
        </w:rPr>
        <w:t>：差分隐私；联邦学习；梯度泄露攻击</w:t>
      </w:r>
    </w:p>
    <w:p>
      <w:pPr>
        <w:pStyle w:val="2"/>
        <w:spacing w:before="320" w:after="120" w:line="288" w:lineRule="auto"/>
        <w:ind w:left="0"/>
        <w:jc w:val="left"/>
        <w:outlineLvl w:val="1"/>
      </w:pPr>
      <w:bookmarkStart w:name="heading_1" w:id="1"/>
      <w:r>
        <w:rPr>
          <w:rFonts w:eastAsia="等线" w:ascii="Arial" w:cs="Arial" w:hAnsi="Arial"/>
          <w:b w:val="true"/>
          <w:sz w:val="32"/>
        </w:rPr>
        <w:t>一、引言</w:t>
      </w:r>
      <w:bookmarkEnd w:id="1"/>
    </w:p>
    <w:p>
      <w:pPr>
        <w:spacing w:before="120" w:after="120" w:line="288" w:lineRule="auto"/>
        <w:ind w:left="0"/>
        <w:jc w:val="left"/>
      </w:pPr>
      <w:r>
        <w:rPr>
          <w:rFonts w:eastAsia="等线" w:ascii="Arial" w:cs="Arial" w:hAnsi="Arial"/>
          <w:sz w:val="22"/>
        </w:rPr>
        <w:t>物联网（IoT）开启了数十亿设备联网的时代，这些设备产生了海量数据。物联网的核心价值在于利用这些数据驱动智能化发展，而边缘智能将成为物联网生态系统的关键解决方案。随着边缘智能的兴起，联邦学习（FL）[1]作为一种去中心化机器学习技术应运而生——多个客户端无需将本地数据发送至中央服务器，即可联合训练模型。在每一轮通信中，所有被选中的客户端会从服务器接收全局模型，利用私有数据训练本地模型，随后将权重或梯度上传至服务器；服务器根据预设聚合规则聚合本地更新，生成新的全局模型并发送给客户端，进入下一轮训练。与集中式机器学习相比，联邦学习无需集中私有数据，显著降低了客户端的隐私顾虑。然而，联邦学习仍面临诸多隐私风险，例如攻击者可发起成员推理攻击[2-5]、属性推理攻击[6-8]和数据重构攻击[9-12]，以推断训练数据中的敏感信息。尤其值得注意的是，攻击者可通过梯度泄露攻击（GLA）[9]从共享梯度中重构目标客户端的私有训练数据，因为共享的模型参数或梯度包含丰富的私有训练数据信息[13]。</w:t>
      </w:r>
    </w:p>
    <w:p>
      <w:pPr>
        <w:spacing w:before="120" w:after="120" w:line="288" w:lineRule="auto"/>
        <w:ind w:left="0"/>
        <w:jc w:val="left"/>
      </w:pPr>
      <w:r>
        <w:rPr>
          <w:rFonts w:eastAsia="等线" w:ascii="Arial" w:cs="Arial" w:hAnsi="Arial"/>
          <w:sz w:val="22"/>
        </w:rPr>
        <w:t>为进一步保护数据隐私，差分隐私（DP）被引入联邦学习，用于对敏感信息（如梯度）进行裁剪和扰动。如图1所示，现有差分隐私联邦学习（DP-FL）[14-17]中，差分隐私主要有两种形式：1）中央差分隐私（CDP）：差分隐私机制在可信中央服务器上执行。客户端在将模型更新发送至服务器前对其进行裁剪；为防止外部攻击者窃取模型隐私，服务器聚合本地模型更新并对聚合结果加噪，随后将混淆后的全局模型广播给客户端。2）本地差分隐私（LDP）：服务器不可信，差分隐私机制在客户端上执行。具体而言，为防止不可信服务器窃取隐私，客户端在训练过程中对梯度进行裁剪和加噪，再将模型更新共享给不可信服务器。</w:t>
      </w:r>
    </w:p>
    <w:p>
      <w:pPr>
        <w:spacing w:before="120" w:after="120" w:line="288" w:lineRule="auto"/>
        <w:ind w:left="0"/>
        <w:jc w:val="left"/>
      </w:pPr>
      <w:r>
        <w:rPr>
          <w:rFonts w:eastAsia="等线" w:ascii="Arial" w:cs="Arial" w:hAnsi="Arial"/>
          <w:b w:val="true"/>
          <w:sz w:val="22"/>
        </w:rPr>
        <w:t>图1 联邦学习中的中央差分隐私与本地差分隐私</w:t>
      </w:r>
    </w:p>
    <w:p>
      <w:pPr>
        <w:spacing w:before="120" w:after="120" w:line="288" w:lineRule="auto"/>
        <w:ind w:left="0"/>
        <w:jc w:val="left"/>
      </w:pPr>
      <w:r>
        <w:rPr>
          <w:rFonts w:eastAsia="等线" w:ascii="Arial" w:cs="Arial" w:hAnsi="Arial"/>
          <w:sz w:val="22"/>
        </w:rPr>
        <w:t>已有研究表明，差分隐私可应对成员推理攻击和属性推理攻击[18-21]。作为一种新兴隐私攻击范式，梯度泄露攻击对差分隐私联邦学习的影响尚未得到深入研究：一方面，部分研究[16,17,22]提出利用差分隐私防御联邦学习中的梯度泄露攻击，但仅基于较早的梯度泄露攻击[9,10]进行了有限评估；另一方面，部分研究[23,24]指出差分隐私可能不足以防御联邦学习中的梯度泄露攻击，但研究[23]仅分别评估了梯度裁剪和梯度扰动的性能，研究[24]对本地差分隐私的评估实验数量较少，且未调整裁剪值等隐私参数。这些研究均未对本地差分隐私和中央差分隐私进行全面评估，因此无法充分证明差分隐私的无效性。上述两类研究结论相互矛盾，且均缺乏充分证据支持，因此亟需全面评估中央差分隐私和本地差分隐私抵御联邦学习中梯度泄露攻击的有效性。</w:t>
      </w:r>
    </w:p>
    <w:p>
      <w:pPr>
        <w:spacing w:before="120" w:after="120" w:line="288" w:lineRule="auto"/>
        <w:ind w:left="0"/>
        <w:jc w:val="left"/>
      </w:pPr>
      <w:r>
        <w:rPr>
          <w:rFonts w:eastAsia="等线" w:ascii="Arial" w:cs="Arial" w:hAnsi="Arial"/>
          <w:sz w:val="22"/>
        </w:rPr>
        <w:t>本文重点回答以下问题：差分隐私真的能保护联邦学习免受梯度泄露攻击吗？具体而言，本文从隐私与效用权衡的角度出发，探究差分隐私方法能否在不显著降低模型准确率的前提下，保护联邦学习免受梯度泄露攻击。为此，本文首先通过改变隐私参数（如噪声系数、隐私预算、裁剪范数）、隐私操作（如裁剪和扰动）和裁剪策略（如逐层裁剪和模型级裁剪），全面评估差分隐私联邦学习抵御梯度泄露攻击的性能；随后，通过提出一种改进型攻击方法（将裁剪操作融入现有攻击方案），探究差分隐私联邦学习在梯度泄露攻击下的脆弱性。通过评估，本文验证了差分隐私的有效性，同时揭示了其在梯度泄露攻击下的脆弱性，希望为更好地利用差分隐私防御联邦学习中的梯度泄露攻击提供建议，并为隐私保护型联邦学习的设计提供指导。</w:t>
      </w:r>
    </w:p>
    <w:p>
      <w:pPr>
        <w:spacing w:before="120" w:after="120" w:line="288" w:lineRule="auto"/>
        <w:ind w:left="0"/>
        <w:jc w:val="left"/>
      </w:pPr>
      <w:r>
        <w:rPr>
          <w:rFonts w:eastAsia="等线" w:ascii="Arial" w:cs="Arial" w:hAnsi="Arial"/>
          <w:sz w:val="22"/>
        </w:rPr>
        <w:t>本文的主要贡献如下：</w:t>
      </w:r>
    </w:p>
    <w:p>
      <w:pPr>
        <w:numPr>
          <w:numId w:val="1"/>
        </w:numPr>
        <w:spacing w:before="120" w:after="120" w:line="288" w:lineRule="auto"/>
        <w:ind w:left="0"/>
        <w:jc w:val="left"/>
      </w:pPr>
      <w:r>
        <w:rPr>
          <w:rFonts w:eastAsia="等线" w:ascii="Arial" w:cs="Arial" w:hAnsi="Arial"/>
          <w:sz w:val="22"/>
        </w:rPr>
        <w:t>在多种模型架构和数据集上，评估了中央差分隐私和本地差分隐私抵御梯度泄露攻击的性能。结果表明，采用逐层裁剪策略的中央差分隐私，以及具备合理扰动水平（即非微小噪声）的本地差分隐私，能够有效抵御梯度泄露攻击；且中央差分隐私和本地差分隐私仅在浅层网络中实现了模型效用与隐私保护的良好平衡。</w:t>
      </w:r>
    </w:p>
    <w:p>
      <w:pPr>
        <w:numPr>
          <w:numId w:val="2"/>
        </w:numPr>
        <w:spacing w:before="120" w:after="120" w:line="288" w:lineRule="auto"/>
        <w:ind w:left="0"/>
        <w:jc w:val="left"/>
      </w:pPr>
      <w:r>
        <w:rPr>
          <w:rFonts w:eastAsia="等线" w:ascii="Arial" w:cs="Arial" w:hAnsi="Arial"/>
          <w:sz w:val="22"/>
        </w:rPr>
        <w:t>阐明了隐私参数、隐私操作和裁剪策略对差分隐私抵御梯度泄露攻击有效性的影响。结果表明，裁剪操作和逐层裁剪方式在抵御梯度泄露攻击方面具有优越性。</w:t>
      </w:r>
    </w:p>
    <w:p>
      <w:pPr>
        <w:numPr>
          <w:numId w:val="3"/>
        </w:numPr>
        <w:spacing w:before="120" w:after="120" w:line="288" w:lineRule="auto"/>
        <w:ind w:left="0"/>
        <w:jc w:val="left"/>
      </w:pPr>
      <w:r>
        <w:rPr>
          <w:rFonts w:eastAsia="等线" w:ascii="Arial" w:cs="Arial" w:hAnsi="Arial"/>
          <w:sz w:val="22"/>
        </w:rPr>
        <w:t>提出一种融合裁剪操作的新型梯度泄露攻击方法，以增强对差分隐私联邦学习的攻击效果。结果表明，该攻击方法可从中央差分隐私保护的联邦学习中完全恢复私有训练数据，并在本地差分隐私场景下比现有最优攻击（SOTA）泄露更多信息，验证了差分隐私联邦学习的脆弱性。</w:t>
      </w:r>
    </w:p>
    <w:p>
      <w:pPr>
        <w:spacing w:before="120" w:after="120" w:line="288" w:lineRule="auto"/>
        <w:ind w:left="0"/>
        <w:jc w:val="left"/>
      </w:pPr>
      <w:r>
        <w:rPr>
          <w:rFonts w:eastAsia="等线" w:ascii="Arial" w:cs="Arial" w:hAnsi="Arial"/>
          <w:sz w:val="22"/>
        </w:rPr>
        <w:t>本文其余部分结构如下：第二节回顾梯度泄露攻击与联邦学习中的隐私保护技术；第三节介绍梯度泄露攻击流程、典型算法及差分隐私联邦学习；第四节全面评估中央差分隐私和本地差分隐私抵御梯度泄露攻击的性能；第五节提出针对差分隐私联邦学习的改进型梯度泄露攻击方法，并进行性能评估；第六节讨论现有差分隐私联邦学习技术，并推荐多种抵御梯度泄露攻击的策略；最后，第七节总结全文。</w:t>
      </w:r>
    </w:p>
    <w:p>
      <w:pPr>
        <w:pStyle w:val="2"/>
        <w:spacing w:before="320" w:after="120" w:line="288" w:lineRule="auto"/>
        <w:ind w:left="0"/>
        <w:jc w:val="left"/>
        <w:outlineLvl w:val="1"/>
      </w:pPr>
      <w:bookmarkStart w:name="heading_2" w:id="2"/>
      <w:r>
        <w:rPr>
          <w:rFonts w:eastAsia="等线" w:ascii="Arial" w:cs="Arial" w:hAnsi="Arial"/>
          <w:b w:val="true"/>
          <w:sz w:val="32"/>
        </w:rPr>
        <w:t>二、相关工作</w:t>
      </w:r>
      <w:bookmarkEnd w:id="2"/>
    </w:p>
    <w:p>
      <w:pPr>
        <w:pStyle w:val="3"/>
        <w:spacing w:before="300" w:after="120" w:line="288" w:lineRule="auto"/>
        <w:ind w:left="0"/>
        <w:jc w:val="left"/>
        <w:outlineLvl w:val="2"/>
      </w:pPr>
      <w:bookmarkStart w:name="heading_3" w:id="3"/>
      <w:r>
        <w:rPr>
          <w:rFonts w:eastAsia="等线" w:ascii="Arial" w:cs="Arial" w:hAnsi="Arial"/>
          <w:b w:val="true"/>
          <w:sz w:val="30"/>
        </w:rPr>
        <w:t>2.1 梯度泄露攻击</w:t>
      </w:r>
      <w:bookmarkEnd w:id="3"/>
    </w:p>
    <w:p>
      <w:pPr>
        <w:spacing w:before="120" w:after="120" w:line="288" w:lineRule="auto"/>
        <w:ind w:left="0"/>
        <w:jc w:val="left"/>
      </w:pPr>
      <w:r>
        <w:rPr>
          <w:rFonts w:eastAsia="等线" w:ascii="Arial" w:cs="Arial" w:hAnsi="Arial"/>
          <w:sz w:val="22"/>
        </w:rPr>
        <w:t>王等人[13]首次发现梯度的隐私脆弱性，从联邦学习的共享更新中重构出原始训练图像。此后，梯度泄露攻击在文献[9]中被正式提出，并在文献[10]中得到快速改进——攻击者可通过模型对应的共享梯度，重构像素级训练图像和令牌级训练文本。现有大多数梯度泄露攻击为基于优化的攻击：攻击者通过生成虚假输入，最小化原始梯度与虚假输入产生的虚假梯度之间的距离，从而重构训练样本。基于此，近期部分梯度泄露攻击聚焦于更复杂的学习任务（如Transformer模型[25,26]、深层网络[11]），并利用大批量和高分辨率输入的平均梯度，实现了更优的重构性能[11,12]。此外，还有部分基于分析的梯度泄露攻击[27,28]，通过求解线性方程组从梯度中恢复私有训练数据，但仅在重构单个或少量数据样本时效果较好。上述攻击（即被动攻击）通常假设服务器是“诚实但好奇”的——服务器会推断训练数据隐私，但诚实遵循联邦学习流程。</w:t>
      </w:r>
    </w:p>
    <w:p>
      <w:pPr>
        <w:spacing w:before="120" w:after="120" w:line="288" w:lineRule="auto"/>
        <w:ind w:left="0"/>
        <w:jc w:val="left"/>
      </w:pPr>
      <w:r>
        <w:rPr>
          <w:rFonts w:eastAsia="等线" w:ascii="Arial" w:cs="Arial" w:hAnsi="Arial"/>
          <w:sz w:val="22"/>
        </w:rPr>
        <w:t>近期出现的部分梯度泄露攻击[29-31]被称为主动攻击，这类攻击假设服务器是恶意的，通过修改共享模型的架构和权重，实现更强大的用户数据恢复。然而，文献[29]仅适用于简单网络（如含少量卷积层的卷积神经网络），其他研究[30,31]需要在原始模型开头插入少量线性层，这极易被检测。因此，考虑到实际联邦学习场景的可能性，本文仅关注被动攻击。</w:t>
      </w:r>
    </w:p>
    <w:p>
      <w:pPr>
        <w:pStyle w:val="3"/>
        <w:spacing w:before="300" w:after="120" w:line="288" w:lineRule="auto"/>
        <w:ind w:left="0"/>
        <w:jc w:val="left"/>
        <w:outlineLvl w:val="2"/>
      </w:pPr>
      <w:bookmarkStart w:name="heading_4" w:id="4"/>
      <w:r>
        <w:rPr>
          <w:rFonts w:eastAsia="等线" w:ascii="Arial" w:cs="Arial" w:hAnsi="Arial"/>
          <w:b w:val="true"/>
          <w:sz w:val="30"/>
        </w:rPr>
        <w:t>2.2 联邦学习中的隐私保护</w:t>
      </w:r>
      <w:bookmarkEnd w:id="4"/>
    </w:p>
    <w:p>
      <w:pPr>
        <w:spacing w:before="120" w:after="120" w:line="288" w:lineRule="auto"/>
        <w:ind w:left="0"/>
        <w:jc w:val="left"/>
      </w:pPr>
      <w:r>
        <w:rPr>
          <w:rFonts w:eastAsia="等线" w:ascii="Arial" w:cs="Arial" w:hAnsi="Arial"/>
          <w:sz w:val="22"/>
        </w:rPr>
        <w:t>联邦学习中的隐私保护研究大致可分为基于密码学的方法和基于差分隐私的方法。</w:t>
      </w:r>
    </w:p>
    <w:p>
      <w:pPr>
        <w:spacing w:before="120" w:after="120" w:line="288" w:lineRule="auto"/>
        <w:ind w:left="0"/>
        <w:jc w:val="left"/>
      </w:pPr>
      <w:r>
        <w:rPr>
          <w:rFonts w:eastAsia="等线" w:ascii="Arial" w:cs="Arial" w:hAnsi="Arial"/>
          <w:sz w:val="22"/>
        </w:rPr>
        <w:t>基于密码学的方法中，常用技术为安全多方计算（MPC）。安全多方计算可在多个客户端的私有输入上安全计算函数输出，仅向服务器披露预期输出。具体而言，联邦学习利用安全多方计算技术中的同态加密[32,33]或秘密共享[34,35]实现安全聚合，保护单个梯度不被服务器获取。基于密码学的方法通常可在不损害效用的前提下，保证单个梯度的安全性和隐私性，但这类方法会使计算时间、通信带宽和数据存储呈指数级增长。此外，近期研究表明，服务器仍可从聚合梯度中推断隐私信息[36,37]。</w:t>
      </w:r>
    </w:p>
    <w:p>
      <w:pPr>
        <w:spacing w:before="120" w:after="120" w:line="288" w:lineRule="auto"/>
        <w:ind w:left="0"/>
        <w:jc w:val="left"/>
      </w:pPr>
      <w:r>
        <w:rPr>
          <w:rFonts w:eastAsia="等线" w:ascii="Arial" w:cs="Arial" w:hAnsi="Arial"/>
          <w:sz w:val="22"/>
        </w:rPr>
        <w:t>差分隐私[38]由于具有轻量级开销和灵活性，也被广泛应用于联邦学习。根据服务器的信任级别，基于差分隐私的联邦学习可分为两类：基于中央差分隐私的联邦学习（CDP-FL）[14,39-41]通常假设服务器可信，对聚合更新进行扰动，模型准确率较高但隐私保障较弱。尽管中央差分隐私联邦学习中的裁剪操作可在客户端或服务器端执行，但为增强隐私性，通常在客户端执行。基于本地差分隐私的联邦学习（LDP-FL）[16,42-46]可在服务器不可信的场景下工作，客户端在本地对更新梯度进行扰动。然而，尽管本地差分隐私提供了更高的隐私保障，但往往会牺牲模型准确率。为提高模型效用，近期本地差分隐私研究[44-46]采用了洗牌方案：在将本地混淆后的更新传输至服务器前，通过洗牌器对其进行置换（即实现客户端更新的匿名化），从而在相同隐私级别下使用更少噪声。</w:t>
      </w:r>
    </w:p>
    <w:p>
      <w:pPr>
        <w:spacing w:before="120" w:after="120" w:line="288" w:lineRule="auto"/>
        <w:ind w:left="0"/>
        <w:jc w:val="left"/>
      </w:pPr>
      <w:r>
        <w:rPr>
          <w:rFonts w:eastAsia="等线" w:ascii="Arial" w:cs="Arial" w:hAnsi="Arial"/>
          <w:sz w:val="22"/>
        </w:rPr>
        <w:t>目前，差分隐私是联邦学习中的主流隐私保护技术。已有研究表明，差分隐私可应对成员推理攻击和属性推理攻击[18-21]。作为一种新兴隐私攻击范式，梯度泄露攻击对差分隐私联邦学习的影响尚未得到深入研究。</w:t>
      </w:r>
    </w:p>
    <w:p>
      <w:pPr>
        <w:pStyle w:val="2"/>
        <w:spacing w:before="320" w:after="120" w:line="288" w:lineRule="auto"/>
        <w:ind w:left="0"/>
        <w:jc w:val="left"/>
        <w:outlineLvl w:val="1"/>
      </w:pPr>
      <w:bookmarkStart w:name="heading_5" w:id="5"/>
      <w:r>
        <w:rPr>
          <w:rFonts w:eastAsia="等线" w:ascii="Arial" w:cs="Arial" w:hAnsi="Arial"/>
          <w:b w:val="true"/>
          <w:sz w:val="32"/>
        </w:rPr>
        <w:t>三、预备知识</w:t>
      </w:r>
      <w:bookmarkEnd w:id="5"/>
    </w:p>
    <w:p>
      <w:pPr>
        <w:pStyle w:val="3"/>
        <w:spacing w:before="300" w:after="120" w:line="288" w:lineRule="auto"/>
        <w:ind w:left="0"/>
        <w:jc w:val="left"/>
        <w:outlineLvl w:val="2"/>
      </w:pPr>
      <w:bookmarkStart w:name="heading_6" w:id="6"/>
      <w:r>
        <w:rPr>
          <w:rFonts w:eastAsia="等线" w:ascii="Arial" w:cs="Arial" w:hAnsi="Arial"/>
          <w:b w:val="true"/>
          <w:sz w:val="30"/>
        </w:rPr>
        <w:t>3.1 梯度泄露攻击算法</w:t>
      </w:r>
      <w:bookmarkEnd w:id="6"/>
    </w:p>
    <w:p>
      <w:pPr>
        <w:spacing w:before="120" w:after="120" w:line="288" w:lineRule="auto"/>
        <w:ind w:left="0"/>
        <w:jc w:val="left"/>
      </w:pPr>
      <w:r>
        <w:rPr>
          <w:rFonts w:eastAsia="等线" w:ascii="Arial" w:cs="Arial" w:hAnsi="Arial"/>
          <w:sz w:val="22"/>
        </w:rPr>
        <w:t>本节介绍基于优化的梯度泄露攻击（本文重点研究对象）的工作流程，并展示四种典型梯度泄露攻击方法。</w:t>
      </w:r>
    </w:p>
    <w:p>
      <w:pPr>
        <w:spacing w:before="120" w:after="120" w:line="288" w:lineRule="auto"/>
        <w:ind w:left="0"/>
        <w:jc w:val="left"/>
      </w:pPr>
      <w:r>
        <w:rPr>
          <w:rFonts w:eastAsia="等线" w:ascii="Arial" w:cs="Arial" w:hAnsi="Arial"/>
          <w:b w:val="true"/>
          <w:sz w:val="22"/>
        </w:rPr>
        <w:t>攻击流程</w:t>
      </w:r>
      <w:r>
        <w:rPr>
          <w:rFonts w:eastAsia="等线" w:ascii="Arial" w:cs="Arial" w:hAnsi="Arial"/>
          <w:sz w:val="22"/>
        </w:rPr>
        <w:t>：攻击者首先通过窃听获取目标客户端的梯度信息g和参数为θ的全局模型；若攻击者为服务器，则可直接获取模型和梯度信息。随后，攻击者生成虚假数据(x, y)（包括输入x和对应标签y），在虚假数据上执行类似的模型训练，得到虚假梯度∇_θ L_θ(x, y)。攻击者通过迭代更新虚假数据，最小化虚假梯度与目标客户端梯度之间的距离；经过一定迭代次数后，攻击者获得与目标客户端私有数据接近的虚假数据样本。</w:t>
      </w:r>
    </w:p>
    <w:p>
      <w:pPr>
        <w:spacing w:before="120" w:after="120" w:line="288" w:lineRule="auto"/>
        <w:ind w:left="0"/>
        <w:jc w:val="left"/>
      </w:pPr>
      <w:r>
        <w:rPr>
          <w:rFonts w:eastAsia="等线" w:ascii="Arial" w:cs="Arial" w:hAnsi="Arial"/>
          <w:sz w:val="22"/>
        </w:rPr>
        <w:t>现有基于优化的攻击通常遵循上述流程，但在优化目标、优化器和标签预测方法上存在差异。以下列出四种具有代表性的梯度泄露攻击研究：</w:t>
      </w:r>
    </w:p>
    <w:p>
      <w:pPr>
        <w:spacing w:before="120" w:after="120" w:line="288" w:lineRule="auto"/>
        <w:ind w:left="0"/>
        <w:jc w:val="left"/>
      </w:pPr>
      <w:r>
        <w:rPr>
          <w:rFonts w:eastAsia="等线" w:ascii="Arial" w:cs="Arial" w:hAnsi="Arial"/>
          <w:b w:val="true"/>
          <w:sz w:val="22"/>
        </w:rPr>
        <w:t>DLG[9]</w:t>
      </w:r>
      <w:r>
        <w:rPr>
          <w:rFonts w:eastAsia="等线" w:ascii="Arial" w:cs="Arial" w:hAnsi="Arial"/>
          <w:sz w:val="22"/>
        </w:rPr>
        <w:t>：该研究将梯度匹配问题表示为公式(1)，使用欧氏距离衡量虚假梯度与原始梯度的相似度，并采用L-BFGS作为优化器。在标签预测方面，作者在优化过程中同步更新输入和标签信息。</w:t>
      </w:r>
    </w:p>
    <w:p>
      <w:pPr>
        <w:spacing w:before="120" w:after="120" w:line="288" w:lineRule="auto"/>
        <w:ind w:left="0"/>
        <w:jc w:val="left"/>
      </w:pPr>
      <w:r>
        <w:rPr>
          <w:rFonts w:eastAsia="等线" w:ascii="Arial" w:cs="Arial" w:hAnsi="Arial"/>
          <w:sz w:val="22"/>
        </w:rPr>
      </w:r>
      <m:oMath>
        <m:r>
          <w:rPr>
            <w:rFonts w:ascii="Cambria Math" w:hAnsi="Cambria Math"/>
          </w:rPr>
          <w:t>arg \operatorname* {min}_{x, y}\left| \nabla_{\theta} \mathcal{L}_{\theta}(x, y)-g\right| ^{2} \quad(1)</w:t>
        </m:r>
      </m:oMath>
    </w:p>
    <w:p>
      <w:pPr>
        <w:spacing w:before="120" w:after="120" w:line="288" w:lineRule="auto"/>
        <w:ind w:left="0"/>
        <w:jc w:val="left"/>
      </w:pPr>
      <w:r>
        <w:rPr>
          <w:rFonts w:eastAsia="等线" w:ascii="Arial" w:cs="Arial" w:hAnsi="Arial"/>
          <w:b w:val="true"/>
          <w:sz w:val="22"/>
        </w:rPr>
        <w:t>iDLG[9]</w:t>
      </w:r>
      <w:r>
        <w:rPr>
          <w:rFonts w:eastAsia="等线" w:ascii="Arial" w:cs="Arial" w:hAnsi="Arial"/>
          <w:sz w:val="22"/>
        </w:rPr>
        <w:t>：DLG的后续研究，提出一种从梯度中提取真实标签的简单方法，然后使用提取的标签和L-BFGS优化公式(1)。</w:t>
      </w:r>
    </w:p>
    <w:p>
      <w:pPr>
        <w:spacing w:before="120" w:after="120" w:line="288" w:lineRule="auto"/>
        <w:ind w:left="0"/>
        <w:jc w:val="left"/>
      </w:pPr>
      <w:r>
        <w:rPr>
          <w:rFonts w:eastAsia="等线" w:ascii="Arial" w:cs="Arial" w:hAnsi="Arial"/>
          <w:sz w:val="22"/>
        </w:rPr>
        <w:t>DLG和iDLG仅在重构最大批次大小为8的低分辨率图像时有效，且根据本文实验，二者仅在重构单个图像时性能稳定。</w:t>
      </w:r>
    </w:p>
    <w:p>
      <w:pPr>
        <w:spacing w:before="120" w:after="120" w:line="288" w:lineRule="auto"/>
        <w:ind w:left="0"/>
        <w:jc w:val="left"/>
      </w:pPr>
      <w:r>
        <w:rPr>
          <w:rFonts w:eastAsia="等线" w:ascii="Arial" w:cs="Arial" w:hAnsi="Arial"/>
          <w:b w:val="true"/>
          <w:sz w:val="22"/>
        </w:rPr>
        <w:t>InvertGrad[11]</w:t>
      </w:r>
      <w:r>
        <w:rPr>
          <w:rFonts w:eastAsia="等线" w:ascii="Arial" w:cs="Arial" w:hAnsi="Arial"/>
          <w:sz w:val="22"/>
        </w:rPr>
        <w:t>：作者用余弦距离替代欧氏距离，并在优化函数中添加总变差范数（TV）。总变差范数作为正则化项，可从大批量的平均梯度中恢复更真实的数据。因此，优化问题表示为：</w:t>
      </w:r>
    </w:p>
    <w:p>
      <w:pPr>
        <w:spacing w:before="120" w:after="120" w:line="288" w:lineRule="auto"/>
        <w:ind w:left="0"/>
        <w:jc w:val="left"/>
      </w:pPr>
      <w:r>
        <w:rPr>
          <w:rFonts w:eastAsia="等线" w:ascii="Arial" w:cs="Arial" w:hAnsi="Arial"/>
          <w:sz w:val="22"/>
        </w:rPr>
      </w:r>
      <m:oMath>
        <m:r>
          <w:rPr>
            <w:rFonts w:ascii="Cambria Math" w:hAnsi="Cambria Math"/>
          </w:rPr>
          <w:t>arg \operatorname*{min}_{x} 1-\frac{\left&lt;\mathcal{L}_{\theta}(x, y), g\right&gt;}{\left| \mathcal{L}_{\theta}(x, y)\right| | g| }+\alpha_{T V} R_{T V}(x) \quad(2)</w:t>
        </m:r>
      </m:oMath>
    </w:p>
    <w:p>
      <w:pPr>
        <w:spacing w:before="120" w:after="120" w:line="288" w:lineRule="auto"/>
        <w:ind w:left="0"/>
        <w:jc w:val="left"/>
      </w:pPr>
      <w:r>
        <w:rPr>
          <w:rFonts w:eastAsia="等线" w:ascii="Arial" w:cs="Arial" w:hAnsi="Arial"/>
          <w:sz w:val="22"/>
        </w:rPr>
        <w:t>其中，R_TV(x)表示总变差，α_TV控制目标函数中正则化项的权重。该研究提前推断标签信息，并使用Adam优化器求解优化问题。</w:t>
      </w:r>
    </w:p>
    <w:p>
      <w:pPr>
        <w:spacing w:before="120" w:after="120" w:line="288" w:lineRule="auto"/>
        <w:ind w:left="0"/>
        <w:jc w:val="left"/>
      </w:pPr>
      <w:r>
        <w:rPr>
          <w:rFonts w:eastAsia="等线" w:ascii="Arial" w:cs="Arial" w:hAnsi="Arial"/>
          <w:b w:val="true"/>
          <w:sz w:val="22"/>
        </w:rPr>
        <w:t>GI[12]</w:t>
      </w:r>
      <w:r>
        <w:rPr>
          <w:rFonts w:eastAsia="等线" w:ascii="Arial" w:cs="Arial" w:hAnsi="Arial"/>
          <w:sz w:val="22"/>
        </w:rPr>
        <w:t>：该研究仍使用欧氏距离，但在正则化项中添加了总变差范数、l₂范数和批量归一化（BN），记为R_f；同时，通过考虑多个随机初始化种子并计算平均数据作为参考，在正则化项中联合添加组一致性R_g。优化问题表示为：</w:t>
      </w:r>
    </w:p>
    <w:p>
      <w:pPr>
        <w:spacing w:before="120" w:after="120" w:line="288" w:lineRule="auto"/>
        <w:ind w:left="0"/>
        <w:jc w:val="left"/>
      </w:pPr>
      <w:r>
        <w:rPr>
          <w:rFonts w:eastAsia="等线" w:ascii="Arial" w:cs="Arial" w:hAnsi="Arial"/>
          <w:sz w:val="22"/>
        </w:rPr>
      </w:r>
      <m:oMath>
        <m:r>
          <w:rPr>
            <w:rFonts w:ascii="Cambria Math" w:hAnsi="Cambria Math"/>
          </w:rPr>
          <w:t>arg \operatorname* {min}_{x}\left| \nabla _{\theta }{\mathcal {L}}_{\theta }(x,y)-g\right| ^{2}+\alpha _{f}R_{f}(x)+\alpha _{g}R_{g}(x) \quad(3)</w:t>
        </m:r>
      </m:oMath>
    </w:p>
    <w:p>
      <w:pPr>
        <w:spacing w:before="120" w:after="120" w:line="288" w:lineRule="auto"/>
        <w:ind w:left="0"/>
        <w:jc w:val="left"/>
      </w:pPr>
      <w:r>
        <w:rPr>
          <w:rFonts w:eastAsia="等线" w:ascii="Arial" w:cs="Arial" w:hAnsi="Arial"/>
          <w:sz w:val="22"/>
        </w:rPr>
        <w:t>在上述所有攻击中，InvertGrad和GI是近期研究[23,47]中广泛使用的现有最优攻击。当输入分辨率较高时，GI的重构性能优于InvertGrad，但GI基于一个强假设——攻击者知晓私有批次的精确批量归一化（BN）统计信息。文献[47]对批量归一化统计信息的消融分析表明，若不知晓批量归一化统计信息，高分辨率图像的批量重构仍难以实现。此外，在联邦学习领域常用的联邦平均（FedAvg）本地训练中，单次批次样本的批量归一化统计信息会在多次前向传播迭代中丢失。因此，除非另有说明，本文选择InvertGrad作为默认攻击方案。</w:t>
      </w:r>
    </w:p>
    <w:p>
      <w:pPr>
        <w:spacing w:before="120" w:after="120" w:line="288" w:lineRule="auto"/>
        <w:ind w:left="0"/>
        <w:jc w:val="left"/>
      </w:pPr>
      <w:r>
        <w:rPr>
          <w:rFonts w:eastAsia="等线" w:ascii="Arial" w:cs="Arial" w:hAnsi="Arial"/>
          <w:sz w:val="22"/>
        </w:rPr>
        <w:t>上文已从理论上分析了InvertGrad和GI的差异，并解释了为何选择InvertGrad作为本文的主要攻击算法。下文将主要展示两种算法在ImageNet[48]上的实验结果，直观介绍二者的差异——需注意，GI相对于InvertGrad的性能提升源于批量归一化信息的使用，这实际上是一种过度假设。</w:t>
      </w:r>
    </w:p>
    <w:p>
      <w:pPr>
        <w:spacing w:before="120" w:after="120" w:line="288" w:lineRule="auto"/>
        <w:ind w:left="0"/>
        <w:jc w:val="left"/>
      </w:pPr>
      <w:r>
        <w:rPr>
          <w:rFonts w:eastAsia="等线" w:ascii="Arial" w:cs="Arial" w:hAnsi="Arial"/>
          <w:sz w:val="22"/>
        </w:rPr>
        <w:t>为对比InvertGrad和GI，图2展示了在ResNet-18模型和ImageNet数据集上的重构图像。本文评估了不同图像分辨率（32×32至256×256）对重构性能的影响，结果表明，在任何图像分辨率下均存在一定程度的隐私泄露，但当图像分辨率超过64×64后，重构图像变得难以识别。总体而言，GI在高分辨率图像上表现更优，因为其将批量归一化信息融入了优化目标；在32×32分辨率下，两种攻击均表现出相对稳定的恢复效果。考虑到InvertGrad在联邦学习中的稳定性能，本文在评估中选择32×32作为默认图像分辨率。</w:t>
      </w:r>
    </w:p>
    <w:p>
      <w:pPr>
        <w:spacing w:before="120" w:after="120" w:line="288" w:lineRule="auto"/>
        <w:ind w:left="0"/>
        <w:jc w:val="left"/>
      </w:pPr>
      <w:r>
        <w:rPr>
          <w:rFonts w:eastAsia="等线" w:ascii="Arial" w:cs="Arial" w:hAnsi="Arial"/>
          <w:b w:val="true"/>
          <w:sz w:val="22"/>
        </w:rPr>
        <w:t>图2 ImageNet数据集的重构结果</w:t>
      </w:r>
    </w:p>
    <w:p>
      <w:pPr>
        <w:pStyle w:val="3"/>
        <w:spacing w:before="300" w:after="120" w:line="288" w:lineRule="auto"/>
        <w:ind w:left="0"/>
        <w:jc w:val="left"/>
        <w:outlineLvl w:val="2"/>
      </w:pPr>
      <w:bookmarkStart w:name="heading_7" w:id="7"/>
      <w:r>
        <w:rPr>
          <w:rFonts w:eastAsia="等线" w:ascii="Arial" w:cs="Arial" w:hAnsi="Arial"/>
          <w:b w:val="true"/>
          <w:sz w:val="30"/>
        </w:rPr>
        <w:t>3.2 基于差分隐私的联邦学习</w:t>
      </w:r>
      <w:bookmarkEnd w:id="7"/>
    </w:p>
    <w:p>
      <w:pPr>
        <w:spacing w:before="120" w:after="120" w:line="288" w:lineRule="auto"/>
        <w:ind w:left="0"/>
        <w:jc w:val="left"/>
      </w:pPr>
      <w:r>
        <w:rPr>
          <w:rFonts w:eastAsia="等线" w:ascii="Arial" w:cs="Arial" w:hAnsi="Arial"/>
          <w:sz w:val="22"/>
        </w:rPr>
        <w:t>差分隐私是一种数学隐私技术——当数据集中的单个数据点发生变化时，算法输出的变化在统计上可忽略不计。因此，差分隐私被广泛用于文献中的数据隐私保护[49,50]。</w:t>
      </w:r>
    </w:p>
    <w:p>
      <w:pPr>
        <w:spacing w:before="120" w:after="120" w:line="288" w:lineRule="auto"/>
        <w:ind w:left="0"/>
        <w:jc w:val="left"/>
      </w:pPr>
      <w:r>
        <w:rPr>
          <w:rFonts w:eastAsia="等线" w:ascii="Arial" w:cs="Arial" w:hAnsi="Arial"/>
          <w:b w:val="true"/>
          <w:sz w:val="22"/>
        </w:rPr>
        <w:t>定义1（差分隐私[38]）</w:t>
      </w:r>
      <w:r>
        <w:rPr>
          <w:rFonts w:eastAsia="等线" w:ascii="Arial" w:cs="Arial" w:hAnsi="Arial"/>
          <w:sz w:val="22"/>
        </w:rPr>
        <w:t>：若对于任意两个仅相差一条记录的相邻数据集D和D'，以及任意子集S⊆Range(M)，随机机制M满足：</w:t>
      </w:r>
    </w:p>
    <w:p>
      <w:pPr>
        <w:spacing w:before="120" w:after="120" w:line="288" w:lineRule="auto"/>
        <w:ind w:left="0"/>
        <w:jc w:val="left"/>
      </w:pPr>
      <w:r>
        <w:rPr>
          <w:rFonts w:eastAsia="等线" w:ascii="Arial" w:cs="Arial" w:hAnsi="Arial"/>
          <w:sz w:val="22"/>
        </w:rPr>
      </w:r>
      <m:oMath xmlns:mml="http://www.w3.org/1998/Math/MathML">
        <m:r>
          <w:rPr>
            <w:rFonts w:ascii="Cambria Math" w:hAnsi="Cambria Math"/>
          </w:rPr>
          <m:t>Pr</m:t>
        </m:r>
        <m:d>
          <m:dPr>
            <m:sepChr m:val=","/>
          </m:dPr>
          <m:e>
            <m:r>
              <m:rPr>
                <m:scr m:val="script"/>
              </m:rPr>
              <w:rPr>
                <w:rFonts w:ascii="Cambria Math" w:hAnsi="Cambria Math"/>
              </w:rPr>
              <m:t>M</m:t>
            </m:r>
            <m:d>
              <m:dPr>
                <m:sepChr m:val=","/>
              </m:dPr>
              <m:e>
                <m:r>
                  <w:rPr>
                    <w:rFonts w:ascii="Cambria Math" w:hAnsi="Cambria Math"/>
                  </w:rPr>
                  <m:t>D</m:t>
                </m:r>
              </m:e>
            </m:d>
            <m:r>
              <w:rPr>
                <w:rFonts w:ascii="Cambria Math" w:hAnsi="Cambria Math"/>
              </w:rPr>
              <m:t>∈S</m:t>
            </m:r>
          </m:e>
        </m:d>
        <m:r>
          <w:rPr>
            <w:rFonts w:ascii="Cambria Math" w:hAnsi="Cambria Math"/>
          </w:rPr>
          <m:t>≤</m:t>
        </m:r>
        <m:sSup>
          <m:e>
            <m:r>
              <w:rPr>
                <w:rFonts w:ascii="Cambria Math" w:hAnsi="Cambria Math"/>
              </w:rPr>
              <m:t>e</m:t>
            </m:r>
          </m:e>
          <m:sup>
            <m:r>
              <w:rPr>
                <w:rFonts w:ascii="Cambria Math" w:hAnsi="Cambria Math"/>
              </w:rPr>
              <m:t>ϵ</m:t>
            </m:r>
          </m:sup>
        </m:sSup>
        <m:r>
          <w:rPr>
            <w:rFonts w:ascii="Cambria Math" w:hAnsi="Cambria Math"/>
          </w:rPr>
          <m:t>Pr</m:t>
        </m:r>
        <m:d>
          <m:dPr>
            <m:sepChr m:val=","/>
          </m:dPr>
          <m:e>
            <m:r>
              <m:rPr>
                <m:scr m:val="script"/>
              </m:rPr>
              <w:rPr>
                <w:rFonts w:ascii="Cambria Math" w:hAnsi="Cambria Math"/>
              </w:rPr>
              <m:t>M</m:t>
            </m:r>
            <m:d>
              <m:dPr>
                <m:sepChr m:val=","/>
              </m:dPr>
              <m:e>
                <m:sSup>
                  <m:e>
                    <m:r>
                      <w:rPr>
                        <w:rFonts w:ascii="Cambria Math" w:hAnsi="Cambria Math"/>
                      </w:rPr>
                      <m:t>D</m:t>
                    </m:r>
                  </m:e>
                  <m:sup>
                    <m:r>
                      <w:rPr>
                        <w:rFonts w:ascii="Cambria Math" w:hAnsi="Cambria Math"/>
                      </w:rPr>
                      <m:t>'</m:t>
                    </m:r>
                  </m:sup>
                </m:sSup>
              </m:e>
            </m:d>
            <m:r>
              <w:rPr>
                <w:rFonts w:ascii="Cambria Math" w:hAnsi="Cambria Math"/>
              </w:rPr>
              <m:t>∈S</m:t>
            </m:r>
          </m:e>
        </m:d>
        <m:r>
          <w:rPr>
            <w:rFonts w:ascii="Cambria Math" w:hAnsi="Cambria Math"/>
          </w:rPr>
          <m:t>+δ</m:t>
        </m:r>
      </m:oMath>
    </w:p>
    <w:p>
      <w:pPr>
        <w:spacing w:before="120" w:after="120" w:line="288" w:lineRule="auto"/>
        <w:ind w:left="0"/>
        <w:jc w:val="left"/>
      </w:pPr>
      <w:r>
        <w:rPr>
          <w:rFonts w:eastAsia="等线" w:ascii="Arial" w:cs="Arial" w:hAnsi="Arial"/>
          <w:sz w:val="22"/>
        </w:rPr>
        <w:t>则称M提供(ε, δ)-差分隐私。</w:t>
      </w:r>
    </w:p>
    <w:p>
      <w:pPr>
        <w:spacing w:before="120" w:after="120" w:line="288" w:lineRule="auto"/>
        <w:ind w:left="0"/>
        <w:jc w:val="left"/>
      </w:pPr>
      <w:r>
        <w:rPr>
          <w:rFonts w:eastAsia="等线" w:ascii="Arial" w:cs="Arial" w:hAnsi="Arial"/>
          <w:sz w:val="22"/>
        </w:rPr>
        <w:t>其中，ε为隐私预算，ε越小表示M(D)与M(D')的输出差异越小，隐私保护级别越高；参数δ（0≤δ&lt;1）保证隐私损失超过ε的概率不超过δ，且δ应小于1/|D|。</w:t>
      </w:r>
    </w:p>
    <w:p>
      <w:pPr>
        <w:spacing w:before="120" w:after="120" w:line="288" w:lineRule="auto"/>
        <w:ind w:left="0"/>
        <w:jc w:val="left"/>
      </w:pPr>
      <w:r>
        <w:rPr>
          <w:rFonts w:eastAsia="等线" w:ascii="Arial" w:cs="Arial" w:hAnsi="Arial"/>
          <w:sz w:val="22"/>
        </w:rPr>
        <w:t>高斯机制是一种经典的差分隐私机制，广泛应用于机器学习——在输出f(D)的每个坐标上添加具有一定方差的零均值高斯噪声。</w:t>
      </w:r>
    </w:p>
    <w:p>
      <w:pPr>
        <w:spacing w:before="120" w:after="120" w:line="288" w:lineRule="auto"/>
        <w:ind w:left="0"/>
        <w:jc w:val="left"/>
      </w:pPr>
      <w:r>
        <w:rPr>
          <w:rFonts w:eastAsia="等线" w:ascii="Arial" w:cs="Arial" w:hAnsi="Arial"/>
          <w:b w:val="true"/>
          <w:sz w:val="22"/>
        </w:rPr>
        <w:t>定义2（高斯机制[51]）</w:t>
      </w:r>
      <w:r>
        <w:rPr>
          <w:rFonts w:eastAsia="等线" w:ascii="Arial" w:cs="Arial" w:hAnsi="Arial"/>
          <w:sz w:val="22"/>
        </w:rPr>
        <w:t>：给定定义域为D的函数f:D→R，若机制M满足：</w:t>
      </w:r>
    </w:p>
    <w:p>
      <w:pPr>
        <w:spacing w:before="120" w:after="120" w:line="288" w:lineRule="auto"/>
        <w:ind w:left="0"/>
        <w:jc w:val="left"/>
      </w:pPr>
      <w:r>
        <w:rPr>
          <w:rFonts w:eastAsia="等线" w:ascii="Arial" w:cs="Arial" w:hAnsi="Arial"/>
          <w:sz w:val="22"/>
        </w:rPr>
      </w:r>
      <m:oMath xmlns:mml="http://www.w3.org/1998/Math/MathML">
        <m:r>
          <m:rPr>
            <m:scr m:val="script"/>
          </m:rPr>
          <w:rPr>
            <w:rFonts w:ascii="Cambria Math" w:hAnsi="Cambria Math"/>
          </w:rPr>
          <m:t>M</m:t>
        </m:r>
        <m:d>
          <m:dPr>
            <m:sepChr m:val=","/>
          </m:dPr>
          <m:e>
            <m:r>
              <w:rPr>
                <w:rFonts w:ascii="Cambria Math" w:hAnsi="Cambria Math"/>
              </w:rPr>
              <m:t>D</m:t>
            </m:r>
          </m:e>
        </m:d>
        <m:r>
          <w:rPr>
            <w:rFonts w:ascii="Cambria Math" w:hAnsi="Cambria Math"/>
          </w:rPr>
          <m:t>=f</m:t>
        </m:r>
        <m:d>
          <m:dPr>
            <m:sepChr m:val=","/>
          </m:dPr>
          <m:e>
            <m:r>
              <w:rPr>
                <w:rFonts w:ascii="Cambria Math" w:hAnsi="Cambria Math"/>
              </w:rPr>
              <m:t>D</m:t>
            </m:r>
          </m:e>
        </m:d>
        <m:r>
          <w:rPr>
            <w:rFonts w:ascii="Cambria Math" w:hAnsi="Cambria Math"/>
          </w:rPr>
          <m:t>+</m:t>
        </m:r>
        <m:r>
          <m:rPr>
            <m:scr m:val="script"/>
          </m:rPr>
          <w:rPr>
            <w:rFonts w:ascii="Cambria Math" w:hAnsi="Cambria Math"/>
          </w:rPr>
          <m:t>N</m:t>
        </m:r>
        <m:d>
          <m:dPr>
            <m:sepChr m:val=","/>
          </m:dPr>
          <m:e>
            <m:r>
              <w:rPr>
                <w:rFonts w:ascii="Cambria Math" w:hAnsi="Cambria Math"/>
              </w:rPr>
              <m:t>0</m:t>
            </m:r>
          </m:e>
          <m:e>
            <m:sSup>
              <m:e>
                <m:r>
                  <w:rPr>
                    <w:rFonts w:ascii="Cambria Math" w:hAnsi="Cambria Math"/>
                  </w:rPr>
                  <m:t>σ</m:t>
                </m:r>
              </m:e>
              <m:sup>
                <m:r>
                  <w:rPr>
                    <w:rFonts w:ascii="Cambria Math" w:hAnsi="Cambria Math"/>
                  </w:rPr>
                  <m:t>2</m:t>
                </m:r>
              </m:sup>
            </m:sSup>
            <m:sSubSup>
              <m:e>
                <m:r>
                  <w:rPr>
                    <w:rFonts w:ascii="Cambria Math" w:hAnsi="Cambria Math"/>
                  </w:rPr>
                  <m:t>S</m:t>
                </m:r>
              </m:e>
              <m:sub>
                <m:r>
                  <w:rPr>
                    <w:rFonts w:ascii="Cambria Math" w:hAnsi="Cambria Math"/>
                  </w:rPr>
                  <m:t>f</m:t>
                </m:r>
              </m:sub>
              <m:sup>
                <m:r>
                  <w:rPr>
                    <w:rFonts w:ascii="Cambria Math" w:hAnsi="Cambria Math"/>
                  </w:rPr>
                  <m:t>2</m:t>
                </m:r>
              </m:sup>
            </m:sSubSup>
          </m:e>
        </m:d>
      </m:oMath>
    </w:p>
    <w:p>
      <w:pPr>
        <w:spacing w:before="120" w:after="120" w:line="288" w:lineRule="auto"/>
        <w:ind w:left="0"/>
        <w:jc w:val="left"/>
      </w:pPr>
      <w:r>
        <w:rPr>
          <w:rFonts w:eastAsia="等线" w:ascii="Arial" w:cs="Arial" w:hAnsi="Arial"/>
          <w:sz w:val="22"/>
        </w:rPr>
        <w:t>则M提供(ε, δ)-差分隐私。</w:t>
      </w:r>
    </w:p>
    <w:p>
      <w:pPr>
        <w:spacing w:before="120" w:after="120" w:line="288" w:lineRule="auto"/>
        <w:ind w:left="0"/>
        <w:jc w:val="left"/>
      </w:pPr>
      <w:r>
        <w:rPr>
          <w:rFonts w:eastAsia="等线" w:ascii="Arial" w:cs="Arial" w:hAnsi="Arial"/>
          <w:sz w:val="22"/>
        </w:rPr>
        <w:t>其中，σ为噪声系数，S_f=max_{D,D'} ||f(D)-f(D')||₂为f的敏感性（即当输入数据集D中添加或删除一条记录时，f输出的最大可能变化）。通常，σ²&gt;2log(1.25/δ)/ε²。对于f:D→R^d（d≥2）的高维函数，每个坐标独立采样自N(0, σ²S_f²)的噪声。</w:t>
      </w:r>
    </w:p>
    <w:p>
      <w:pPr>
        <w:spacing w:before="120" w:after="120" w:line="288" w:lineRule="auto"/>
        <w:ind w:left="0"/>
        <w:jc w:val="left"/>
      </w:pPr>
      <w:r>
        <w:rPr>
          <w:rFonts w:eastAsia="等线" w:ascii="Arial" w:cs="Arial" w:hAnsi="Arial"/>
          <w:sz w:val="22"/>
        </w:rPr>
        <w:t>将差分隐私应用于联邦学习（及机器学习）通常包括参数（需保护的敏感信息）裁剪和扰动操作：裁剪通过限制数据集中单条记录查询值的l₂范数，上界化查询函数的敏感性S_f；扰动指对敏感查询信息添加噪声。</w:t>
      </w:r>
    </w:p>
    <w:p>
      <w:pPr>
        <w:spacing w:before="120" w:after="120" w:line="288" w:lineRule="auto"/>
        <w:ind w:left="0"/>
        <w:jc w:val="left"/>
      </w:pPr>
      <w:r>
        <w:rPr>
          <w:rFonts w:eastAsia="等线" w:ascii="Arial" w:cs="Arial" w:hAnsi="Arial"/>
          <w:b w:val="true"/>
          <w:sz w:val="22"/>
        </w:rPr>
        <w:t>中央差分隐私与本地差分隐私对比</w:t>
      </w:r>
      <w:r>
        <w:rPr>
          <w:rFonts w:eastAsia="等线" w:ascii="Arial" w:cs="Arial" w:hAnsi="Arial"/>
          <w:sz w:val="22"/>
        </w:rPr>
        <w:t>：参考文献[19]，差分隐私联邦学习可分为两类，即中央差分隐私联邦学习和本地差分隐私联邦学习。1）中央差分隐私联邦学习中，服务器可信，用高斯噪声扰动聚合更新；2）本地差分隐私联邦学习中，服务器不可信，客户端在将更新共享给服务器前，对本地更新进行扰动。具体而言，每个客户端使用本地训练数据集执行差分隐私随机梯度下降（DP-SGD）[52]（实际中常用的差分隐私训练方法），并将最终扰动后的模型或更新上传至不可信服务器。二者的本质区别在于，中央差分隐私在服务器层面执行隐私保护，而本地差分隐私在客户端层面执行隐私保护——这体现在中央差分隐私通常计算整个联邦学习训练过程的隐私预算，而本地差分隐私仅单独跟踪每个客户端的隐私预算。</w:t>
      </w:r>
    </w:p>
    <w:p>
      <w:pPr>
        <w:spacing w:before="120" w:after="120" w:line="288" w:lineRule="auto"/>
        <w:ind w:left="0"/>
        <w:jc w:val="left"/>
      </w:pPr>
      <w:r>
        <w:rPr>
          <w:rFonts w:eastAsia="等线" w:ascii="Arial" w:cs="Arial" w:hAnsi="Arial"/>
          <w:sz w:val="22"/>
        </w:rPr>
        <w:t>算法1展示了中央差分隐私联邦学习的伪代码，算法2展示了本地差分隐私联邦学习的伪代码。需注意，“样本”（即中央差分隐私联邦学习中的随机客户端选择，或本地差分隐私联邦学习中的样本子采样）是否做出贡献的不确定性，可增强该“样本”的隐私性。在基于采样的隐私增强背景下，矩会计师（MA）[52]仍是许多差分隐私训练库中用于隐私核算（即计算隐私预算）的标准方法。</w:t>
      </w:r>
    </w:p>
    <w:p>
      <w:pPr>
        <w:spacing w:before="120" w:after="120" w:line="288" w:lineRule="auto"/>
        <w:ind w:left="0"/>
        <w:jc w:val="left"/>
      </w:pPr>
      <w:r>
        <w:rPr>
          <w:rFonts w:eastAsia="等线" w:ascii="Arial" w:cs="Arial" w:hAnsi="Arial"/>
          <w:b w:val="true"/>
          <w:sz w:val="22"/>
        </w:rPr>
        <w:t>算法1 基于中央差分隐私的联邦学习（CDP-FL）</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p>
        </w:tc>
      </w:tr>
    </w:tbl>
    <w:p>
      <w:pPr>
        <w:spacing w:before="120" w:after="120" w:line="288" w:lineRule="auto"/>
        <w:ind w:left="0"/>
        <w:jc w:val="left"/>
      </w:pPr>
      <w:r>
        <w:rPr>
          <w:rFonts w:eastAsia="等线" w:ascii="Arial" w:cs="Arial" w:hAnsi="Arial"/>
          <w:b w:val="true"/>
          <w:sz w:val="22"/>
        </w:rPr>
        <w:t>算法2 基于本地差分隐私的联邦学习（LDP-FL）</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p>
        </w:tc>
      </w:tr>
    </w:tbl>
    <w:p>
      <w:pPr>
        <w:spacing w:before="120" w:after="120" w:line="288" w:lineRule="auto"/>
        <w:ind w:left="0"/>
        <w:jc w:val="left"/>
      </w:pPr>
      <w:r>
        <w:rPr>
          <w:rFonts w:eastAsia="等线" w:ascii="Arial" w:cs="Arial" w:hAnsi="Arial"/>
          <w:b w:val="true"/>
          <w:sz w:val="22"/>
        </w:rPr>
        <w:t>裁剪策略</w:t>
      </w:r>
      <w:r>
        <w:rPr>
          <w:rFonts w:eastAsia="等线" w:ascii="Arial" w:cs="Arial" w:hAnsi="Arial"/>
          <w:sz w:val="22"/>
        </w:rPr>
        <w:t>：差分隐私文献[14,53,54]中也讨论了裁剪策略，常用的有扁平裁剪（FClip）和逐层裁剪（LClip）。扁平裁剪中，所有模型层采用相同的裁剪标准；逐层裁剪中，每个层被视为独立向量，单独进行裁剪。裁剪策略的详细信息如表1所示。考虑到确定C_j的过程较为复杂，且与本文研究重点无关，本文参考文献[14]，简单设置所有层j的C_j=C/√m，其中m为模型的层数。</w:t>
      </w:r>
    </w:p>
    <w:p>
      <w:pPr>
        <w:spacing w:before="120" w:after="120" w:line="288" w:lineRule="auto"/>
        <w:ind w:left="0"/>
        <w:jc w:val="left"/>
      </w:pPr>
      <w:r>
        <w:rPr>
          <w:rFonts w:eastAsia="等线" w:ascii="Arial" w:cs="Arial" w:hAnsi="Arial"/>
          <w:b w:val="true"/>
          <w:sz w:val="22"/>
        </w:rPr>
        <w:t>表1 两种裁剪策略说明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裁剪策略</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裁剪函数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裁剪范数（C）</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扁平裁剪（FClip）</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acc>
                <m:accPr>
                  <m:chr m:val="̅"/>
                </m:accPr>
                <m:e>
                  <m:r>
                    <w:rPr>
                      <w:rFonts w:ascii="Cambria Math" w:hAnsi="Cambria Math"/>
                    </w:rPr>
                    <m:t>Δ</m:t>
                  </m:r>
                </m:e>
              </m:acc>
              <m:r>
                <w:rPr>
                  <w:rFonts w:ascii="Cambria Math" w:hAnsi="Cambria Math"/>
                </w:rPr>
                <m:t>=Δ/</m:t>
              </m:r>
              <m:r>
                <m:rPr>
                  <m:sty m:val="p"/>
                </m:rPr>
                <w:rPr>
                  <w:rFonts w:ascii="Cambria Math" w:hAnsi="Cambria Math"/>
                </w:rPr>
                <m:t>max</m:t>
              </m:r>
              <m:d>
                <m:dPr>
                  <m:sepChr m:val=","/>
                </m:dPr>
                <m:e>
                  <m:r>
                    <w:rPr>
                      <w:rFonts w:ascii="Cambria Math" w:hAnsi="Cambria Math"/>
                    </w:rPr>
                    <m:t>1</m:t>
                  </m:r>
                </m:e>
                <m:e>
                  <m:f>
                    <m:fPr>
                      <m:type m:val="bar"/>
                    </m:fPr>
                    <m:num>
                      <m:r>
                        <w:rPr>
                          <w:rFonts w:ascii="Cambria Math" w:hAnsi="Cambria Math"/>
                        </w:rPr>
                        <m:t>|Δ</m:t>
                      </m:r>
                      <m:sSub>
                        <m:e>
                          <m:r>
                            <w:rPr>
                              <w:rFonts w:ascii="Cambria Math" w:hAnsi="Cambria Math"/>
                            </w:rPr>
                            <m:t>|</m:t>
                          </m:r>
                        </m:e>
                        <m:sub>
                          <m:r>
                            <w:rPr>
                              <w:rFonts w:ascii="Cambria Math" w:hAnsi="Cambria Math"/>
                            </w:rPr>
                            <m:t>2</m:t>
                          </m:r>
                        </m:sub>
                      </m:sSub>
                    </m:num>
                    <m:den>
                      <m:r>
                        <w:rPr>
                          <w:rFonts w:ascii="Cambria Math" w:hAnsi="Cambria Math"/>
                        </w:rPr>
                        <m:t>C</m:t>
                      </m:r>
                    </m:den>
                  </m:f>
                </m:e>
              </m:d>
            </m:oMath>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r>
                <w:rPr>
                  <w:rFonts w:ascii="Cambria Math" w:hAnsi="Cambria Math"/>
                </w:rPr>
                <m:t>C=</m:t>
              </m:r>
              <m:rad>
                <m:radPr>
                  <m:degHide m:val="on"/>
                </m:radPr>
                <m:deg/>
                <m:e>
                  <m:f>
                    <m:fPr>
                      <m:type m:val="bar"/>
                    </m:fPr>
                    <m:num>
                      <m:r>
                        <w:rPr>
                          <w:rFonts w:ascii="Cambria Math" w:hAnsi="Cambria Math"/>
                        </w:rPr>
                        <m:t>C</m:t>
                      </m:r>
                    </m:num>
                    <m:den>
                      <m:nary>
                        <m:naryPr>
                          <m:chr m:val="∑"/>
                          <m:limLoc m:val="subSup"/>
                          <m:grow m:val="1"/>
                          <m:subHide m:val="off"/>
                          <m:supHide m:val="off"/>
                        </m:naryPr>
                        <m:sub>
                          <m:r>
                            <w:rPr>
                              <w:rFonts w:ascii="Cambria Math" w:hAnsi="Cambria Math"/>
                            </w:rPr>
                            <m:t>j=1</m:t>
                          </m:r>
                        </m:sub>
                        <m:sup>
                          <m:r>
                            <w:rPr>
                              <w:rFonts w:ascii="Cambria Math" w:hAnsi="Cambria Math"/>
                            </w:rPr>
                            <m:t>m</m:t>
                          </m:r>
                        </m:sup>
                        <m:e/>
                      </m:nary>
                      <m:sSubSup>
                        <m:e>
                          <m:r>
                            <w:rPr>
                              <w:rFonts w:ascii="Cambria Math" w:hAnsi="Cambria Math"/>
                            </w:rPr>
                            <m:t>C</m:t>
                          </m:r>
                        </m:e>
                        <m:sub>
                          <m:r>
                            <w:rPr>
                              <w:rFonts w:ascii="Cambria Math" w:hAnsi="Cambria Math"/>
                            </w:rPr>
                            <m:t>j</m:t>
                          </m:r>
                        </m:sub>
                        <m:sup>
                          <m:r>
                            <w:rPr>
                              <w:rFonts w:ascii="Cambria Math" w:hAnsi="Cambria Math"/>
                            </w:rPr>
                            <m:t>2</m:t>
                          </m:r>
                        </m:sup>
                      </m:sSubSup>
                    </m:den>
                  </m:f>
                </m:e>
              </m:rad>
            </m:oMath>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逐层裁剪（LClip）</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acc>
                <m:accPr>
                  <m:chr m:val="̅"/>
                </m:accPr>
                <m:e>
                  <m:r>
                    <w:rPr>
                      <w:rFonts w:ascii="Cambria Math" w:hAnsi="Cambria Math"/>
                    </w:rPr>
                    <m:t>Δ</m:t>
                  </m:r>
                </m:e>
              </m:acc>
              <m:r>
                <w:rPr>
                  <w:rFonts w:ascii="Cambria Math" w:hAnsi="Cambria Math"/>
                </w:rPr>
                <m:t>=</m:t>
              </m:r>
              <m:sSub>
                <m:e>
                  <m:r>
                    <w:rPr>
                      <w:rFonts w:ascii="Cambria Math" w:hAnsi="Cambria Math"/>
                    </w:rPr>
                    <m:t>Δ</m:t>
                  </m:r>
                </m:e>
                <m:sub>
                  <m:r>
                    <w:rPr>
                      <w:rFonts w:ascii="Cambria Math" w:hAnsi="Cambria Math"/>
                    </w:rPr>
                    <m:t>j</m:t>
                  </m:r>
                </m:sub>
              </m:sSub>
              <m:r>
                <w:rPr>
                  <w:rFonts w:ascii="Cambria Math" w:hAnsi="Cambria Math"/>
                </w:rPr>
                <m:t>/</m:t>
              </m:r>
              <m:r>
                <m:rPr>
                  <m:sty m:val="p"/>
                </m:rPr>
                <w:rPr>
                  <w:rFonts w:ascii="Cambria Math" w:hAnsi="Cambria Math"/>
                </w:rPr>
                <m:t>max</m:t>
              </m:r>
              <m:d>
                <m:dPr>
                  <m:sepChr m:val=","/>
                </m:dPr>
                <m:e>
                  <m:r>
                    <w:rPr>
                      <w:rFonts w:ascii="Cambria Math" w:hAnsi="Cambria Math"/>
                    </w:rPr>
                    <m:t>1</m:t>
                  </m:r>
                </m:e>
                <m:e>
                  <m:f>
                    <m:fPr>
                      <m:type m:val="bar"/>
                    </m:fPr>
                    <m:num>
                      <m:sSub>
                        <m:e>
                          <m:d>
                            <m:dPr>
                              <m:begChr m:val="|"/>
                              <m:sepChr m:val=","/>
                              <m:endChr m:val="|"/>
                            </m:dPr>
                            <m:e>
                              <m:sSub>
                                <m:e>
                                  <m:acc>
                                    <m:accPr>
                                      <m:chr m:val="̅"/>
                                    </m:accPr>
                                    <m:e>
                                      <m:r>
                                        <w:rPr>
                                          <w:rFonts w:ascii="Cambria Math" w:hAnsi="Cambria Math"/>
                                        </w:rPr>
                                        <m:t>Δ</m:t>
                                      </m:r>
                                    </m:e>
                                  </m:acc>
                                </m:e>
                                <m:sub>
                                  <m:r>
                                    <w:rPr>
                                      <w:rFonts w:ascii="Cambria Math" w:hAnsi="Cambria Math"/>
                                    </w:rPr>
                                    <m:t>j</m:t>
                                  </m:r>
                                </m:sub>
                              </m:sSub>
                            </m:e>
                          </m:d>
                        </m:e>
                        <m:sub>
                          <m:r>
                            <w:rPr>
                              <w:rFonts w:ascii="Cambria Math" w:hAnsi="Cambria Math"/>
                            </w:rPr>
                            <m:t>2</m:t>
                          </m:r>
                        </m:sub>
                      </m:sSub>
                    </m:num>
                    <m:den>
                      <m:sSub>
                        <m:e>
                          <m:r>
                            <w:rPr>
                              <w:rFonts w:ascii="Cambria Math" w:hAnsi="Cambria Math"/>
                            </w:rPr>
                            <m:t>C</m:t>
                          </m:r>
                        </m:e>
                        <m:sub>
                          <m:r>
                            <w:rPr>
                              <w:rFonts w:ascii="Cambria Math" w:hAnsi="Cambria Math"/>
                            </w:rPr>
                            <m:t>j</m:t>
                          </m:r>
                        </m:sub>
                      </m:sSub>
                    </m:den>
                  </m:f>
                </m:e>
              </m:d>
            </m:oMath>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bl>
    <w:p>
      <w:pPr>
        <w:spacing w:before="120" w:after="120" w:line="288" w:lineRule="auto"/>
        <w:ind w:left="0"/>
        <w:jc w:val="left"/>
      </w:pPr>
      <w:r>
        <w:rPr>
          <w:rFonts w:eastAsia="等线" w:ascii="Arial" w:cs="Arial" w:hAnsi="Arial"/>
          <w:sz w:val="22"/>
        </w:rPr>
        <w:t>注：Δ为模型更新（中央差分隐私联邦学习）或梯度（本地差分隐私联邦学习），C为裁剪范数；Δ_j为第j层的模型更新或梯度，C_j为该层的裁剪范数。</w:t>
      </w:r>
    </w:p>
    <w:p>
      <w:pPr>
        <w:pStyle w:val="3"/>
        <w:spacing w:before="300" w:after="120" w:line="288" w:lineRule="auto"/>
        <w:ind w:left="0"/>
        <w:jc w:val="left"/>
        <w:outlineLvl w:val="2"/>
      </w:pPr>
      <w:bookmarkStart w:name="heading_8" w:id="8"/>
      <w:r>
        <w:rPr>
          <w:rFonts w:eastAsia="等线" w:ascii="Arial" w:cs="Arial" w:hAnsi="Arial"/>
          <w:b w:val="true"/>
          <w:sz w:val="30"/>
        </w:rPr>
        <w:t>3.3 威胁模型</w:t>
      </w:r>
      <w:bookmarkEnd w:id="8"/>
    </w:p>
    <w:p>
      <w:pPr>
        <w:spacing w:before="120" w:after="120" w:line="288" w:lineRule="auto"/>
        <w:ind w:left="0"/>
        <w:jc w:val="left"/>
      </w:pPr>
      <w:r>
        <w:rPr>
          <w:rFonts w:eastAsia="等线" w:ascii="Arial" w:cs="Arial" w:hAnsi="Arial"/>
          <w:sz w:val="22"/>
        </w:rPr>
        <w:t>本文旨在研究采用差分隐私技术的联邦学习系统中，与梯度泄露攻击相关的特定脆弱性。所考虑的威胁模型包括以下方面：攻击者角色、攻击者能力和攻击者目标。</w:t>
      </w:r>
    </w:p>
    <w:p>
      <w:pPr>
        <w:spacing w:before="120" w:after="120" w:line="288" w:lineRule="auto"/>
        <w:ind w:left="0"/>
        <w:jc w:val="left"/>
      </w:pPr>
      <w:r>
        <w:rPr>
          <w:rFonts w:eastAsia="等线" w:ascii="Arial" w:cs="Arial" w:hAnsi="Arial"/>
          <w:b w:val="true"/>
          <w:sz w:val="22"/>
        </w:rPr>
        <w:t>攻击者角色</w:t>
      </w:r>
      <w:r>
        <w:rPr>
          <w:rFonts w:eastAsia="等线" w:ascii="Arial" w:cs="Arial" w:hAnsi="Arial"/>
          <w:sz w:val="22"/>
        </w:rPr>
        <w:t>：中央差分隐私联邦学习中，外部攻击者窃听通信信道，从窃取的参数中推断敏感数据；本地差分隐私联邦学习中，攻击者可能是内部实体（即服务器），试图从观察到的参数中推断敏感数据。</w:t>
      </w:r>
    </w:p>
    <w:p>
      <w:pPr>
        <w:spacing w:before="120" w:after="120" w:line="288" w:lineRule="auto"/>
        <w:ind w:left="0"/>
        <w:jc w:val="left"/>
      </w:pPr>
      <w:r>
        <w:rPr>
          <w:rFonts w:eastAsia="等线" w:ascii="Arial" w:cs="Arial" w:hAnsi="Arial"/>
          <w:b w:val="true"/>
          <w:sz w:val="22"/>
        </w:rPr>
        <w:t>攻击者能力</w:t>
      </w:r>
      <w:r>
        <w:rPr>
          <w:rFonts w:eastAsia="等线" w:ascii="Arial" w:cs="Arial" w:hAnsi="Arial"/>
          <w:sz w:val="22"/>
        </w:rPr>
        <w:t>：原则上，作为内部攻击者的服务器，其攻击能力强于外部攻击者。但考虑到隐蔽性，本文仅关注被动攻击策略——服务器仅能观察和分析参数，无法主动操纵联邦学习过程。在此背景下，中央差分隐私联邦学习和本地差分隐私联邦学习中的攻击者，攻击能力相当，因为联邦学习训练过程中也会传输全局模型和梯度等关键信息。</w:t>
      </w:r>
    </w:p>
    <w:p>
      <w:pPr>
        <w:spacing w:before="120" w:after="120" w:line="288" w:lineRule="auto"/>
        <w:ind w:left="0"/>
        <w:jc w:val="left"/>
      </w:pPr>
      <w:r>
        <w:rPr>
          <w:rFonts w:eastAsia="等线" w:ascii="Arial" w:cs="Arial" w:hAnsi="Arial"/>
          <w:b w:val="true"/>
          <w:sz w:val="22"/>
        </w:rPr>
        <w:t>攻击者目标</w:t>
      </w:r>
      <w:r>
        <w:rPr>
          <w:rFonts w:eastAsia="等线" w:ascii="Arial" w:cs="Arial" w:hAnsi="Arial"/>
          <w:sz w:val="22"/>
        </w:rPr>
        <w:t>：攻击者的主要目标是通过从观察到的模型参数中重构原始训练数据，侵犯个体隐私。中央差分隐私联邦学习中，攻击者旨在规避中央差分隐私的防御，对裁剪后的模型更新发起攻击；本地差分隐私联邦学习中，攻击者需绕过本地差分隐私的保护，从带噪模型更新中推断原始数据。需注意，本地差分隐私联邦学习中的攻击者面临的防御更强。</w:t>
      </w:r>
    </w:p>
    <w:p>
      <w:pPr>
        <w:pStyle w:val="3"/>
        <w:spacing w:before="300" w:after="120" w:line="288" w:lineRule="auto"/>
        <w:ind w:left="0"/>
        <w:jc w:val="left"/>
        <w:outlineLvl w:val="2"/>
      </w:pPr>
      <w:bookmarkStart w:name="heading_9" w:id="9"/>
      <w:r>
        <w:rPr>
          <w:rFonts w:eastAsia="等线" w:ascii="Arial" w:cs="Arial" w:hAnsi="Arial"/>
          <w:b w:val="true"/>
          <w:sz w:val="30"/>
        </w:rPr>
        <w:t>3.4 差分隐私抵御梯度泄露攻击的现有评估</w:t>
      </w:r>
      <w:bookmarkEnd w:id="9"/>
    </w:p>
    <w:p>
      <w:pPr>
        <w:spacing w:before="120" w:after="120" w:line="288" w:lineRule="auto"/>
        <w:ind w:left="0"/>
        <w:jc w:val="left"/>
      </w:pPr>
      <w:r>
        <w:rPr>
          <w:rFonts w:eastAsia="等线" w:ascii="Arial" w:cs="Arial" w:hAnsi="Arial"/>
          <w:sz w:val="22"/>
        </w:rPr>
        <w:t>前文提到，研究[24]声称本地差分隐私可能不足以防御联邦学习中的梯度泄露攻击。然而，作者仅基于CIFAR10数据集上的10分类图像分类任务，评估了FedCDP（一种采用逐层裁剪的本地差分隐私机制）[16]的效用-隐私权衡性能，且未明确披露所使用的模型。因此，单一实验不足以说明差分隐私联邦学习在隐私与效用权衡方面的性能。最重要的是，作者仅基于单一裁剪范数（C=4）的实验，就声称本地差分隐私无法抵御梯度泄露攻击——实际上，这一裁剪范数较大，会导致裁剪操作失效。基于研究[24]的开源代码[2]，本文使用多个更小的裁剪范数，复现了FedCDP的评估实验，观察到重构性能大幅下降。如图3所示，当C=0.5时，FedCDP能有效抵御梯度泄露攻击。因此，现有研究未对本地差分隐私和中央差分隐私进行全面评估，无法充分证明差分隐私的无效性。</w:t>
      </w:r>
    </w:p>
    <w:p>
      <w:pPr>
        <w:spacing w:before="120" w:after="120" w:line="288" w:lineRule="auto"/>
        <w:ind w:left="0"/>
        <w:jc w:val="left"/>
      </w:pPr>
      <w:r>
        <w:rPr>
          <w:rFonts w:eastAsia="等线" w:ascii="Arial" w:cs="Arial" w:hAnsi="Arial"/>
          <w:b w:val="true"/>
          <w:sz w:val="22"/>
        </w:rPr>
        <w:t>图3 现有评估工作[24]中，不同裁剪范数下FedCDP的重构结果</w:t>
      </w:r>
    </w:p>
    <w:p>
      <w:pPr>
        <w:pStyle w:val="2"/>
        <w:spacing w:before="320" w:after="120" w:line="288" w:lineRule="auto"/>
        <w:ind w:left="0"/>
        <w:jc w:val="left"/>
        <w:outlineLvl w:val="1"/>
      </w:pPr>
      <w:bookmarkStart w:name="heading_10" w:id="10"/>
      <w:r>
        <w:rPr>
          <w:rFonts w:eastAsia="等线" w:ascii="Arial" w:cs="Arial" w:hAnsi="Arial"/>
          <w:b w:val="true"/>
          <w:sz w:val="32"/>
        </w:rPr>
        <w:t>四、差分隐私抵御梯度泄露攻击的评估</w:t>
      </w:r>
      <w:bookmarkEnd w:id="10"/>
    </w:p>
    <w:p>
      <w:pPr>
        <w:spacing w:before="120" w:after="120" w:line="288" w:lineRule="auto"/>
        <w:ind w:left="0"/>
        <w:jc w:val="left"/>
      </w:pPr>
      <w:r>
        <w:rPr>
          <w:rFonts w:eastAsia="等线" w:ascii="Arial" w:cs="Arial" w:hAnsi="Arial"/>
          <w:sz w:val="22"/>
        </w:rPr>
        <w:t>本节评估是否可通过对模型更新进行裁剪和加噪，利用差分隐私保护联邦学习中的数据隐私，使其免受梯度泄露攻击[3]。具体而言，本文旨在明确中央差分隐私和本地差分隐私能否在效用与抵御此类攻击之间实现良好平衡。综上，本文评估了差分隐私中的隐私参数（如噪声系数σ、裁剪范数C）和隐私操作（如裁剪和扰动）对抵御梯度泄露攻击的影响。</w:t>
      </w:r>
    </w:p>
    <w:p>
      <w:pPr>
        <w:pStyle w:val="3"/>
        <w:spacing w:before="300" w:after="120" w:line="288" w:lineRule="auto"/>
        <w:ind w:left="0"/>
        <w:jc w:val="left"/>
        <w:outlineLvl w:val="2"/>
      </w:pPr>
      <w:bookmarkStart w:name="heading_11" w:id="11"/>
      <w:r>
        <w:rPr>
          <w:rFonts w:eastAsia="等线" w:ascii="Arial" w:cs="Arial" w:hAnsi="Arial"/>
          <w:b w:val="true"/>
          <w:sz w:val="30"/>
        </w:rPr>
        <w:t>4.1 实验设置</w:t>
      </w:r>
      <w:bookmarkEnd w:id="11"/>
    </w:p>
    <w:p>
      <w:pPr>
        <w:spacing w:before="120" w:after="120" w:line="288" w:lineRule="auto"/>
        <w:ind w:left="0"/>
        <w:jc w:val="left"/>
      </w:pPr>
      <w:r>
        <w:rPr>
          <w:rFonts w:eastAsia="等线" w:ascii="Arial" w:cs="Arial" w:hAnsi="Arial"/>
          <w:sz w:val="22"/>
        </w:rPr>
        <w:t>所有实验基于PyTorch实现，在配备Intel(R) Xeon(R) Gold 6248 CPU（2.50 GHz）、251 GB内存和四块GeForce RTX 2080Ti显卡的工作站上执行。</w:t>
      </w:r>
    </w:p>
    <w:p>
      <w:pPr>
        <w:spacing w:before="120" w:after="120" w:line="288" w:lineRule="auto"/>
        <w:ind w:left="0"/>
        <w:jc w:val="left"/>
      </w:pPr>
      <w:r>
        <w:rPr>
          <w:rFonts w:eastAsia="等线" w:ascii="Arial" w:cs="Arial" w:hAnsi="Arial"/>
          <w:sz w:val="22"/>
        </w:rPr>
        <w:t>本文考虑包含100个客户端的联邦学习系统，训练数据在客户端之间均匀分布。评估涉及四种模型架构（LeNet[55]、ResNet-18、ResNet-34[56]、VGG-11[57]）和六个基准图像数据集（MNIST[58]、EMNIST[59]、Tiny-ImageNet[60]、GTSRB[61]、CIFAR10、CIFAR100[62]）：MNIST图像调整为32×32，分为训练集（60000个样本）和测试集（10000个样本）；EMNIST图像调整为32×32，分为训练集（387361个样本）和测试集（23941个样本）；CIFAR10和CIFAR100分为训练集（50000个样本）和测试集（10000个样本）；Tiny-ImageNet包含200类图像（每类500个样本），共100000个图像，调整为32×32彩色图像，每类包含500个训练图像、50个验证图像和50个测试图像；GTSRB包含43类交通标志，分为26640个训练图像和12630个测试图像，图像光照条件各异，背景丰富。通信轮次设置为T=200，每轮随机选择10个客户端参与训练。</w:t>
      </w:r>
    </w:p>
    <w:p>
      <w:pPr>
        <w:spacing w:before="120" w:after="120" w:line="288" w:lineRule="auto"/>
        <w:ind w:left="0"/>
        <w:jc w:val="left"/>
      </w:pPr>
      <w:r>
        <w:rPr>
          <w:rFonts w:eastAsia="等线" w:ascii="Arial" w:cs="Arial" w:hAnsi="Arial"/>
          <w:sz w:val="22"/>
        </w:rPr>
        <w:t>所有样本重构实验中，攻击在训练过程开始时执行，目标客户端的训练超参数默认设置为B=N=16（N为样本数量，B为批次大小）。选择16作为批次大小，旨在平衡两方面需求：梯度泄露攻击通常偏好较小批次大小（以保证有效性），而联邦学习系统实际应用中通常偏好较大批次大小（以保证实用性）。此外，本地优化器默认使用SGD，学习率（lr）为0.01；表6和表8中执行整个联邦学习训练过程时，学习率设置为0.05。每个客户端的本地训练轮次E=5，目标客户端除外（E=1，以保证攻击性能）。表2总结了评估中各图或表使用的攻击超参数详细设置；表3总结了批次大小为16时，10次独立运行的更新（中央差分隐私）和梯度（本地差分隐私）的平均l₂范数，为评估中裁剪范数C的设置提供指导。通常，只有当裁剪范数C小于待保护私有值的l₂范数时，裁剪操作才会生效。</w:t>
      </w:r>
    </w:p>
    <w:p>
      <w:pPr>
        <w:spacing w:before="120" w:after="120" w:line="288" w:lineRule="auto"/>
        <w:ind w:left="0"/>
        <w:jc w:val="left"/>
      </w:pPr>
      <w:r>
        <w:rPr>
          <w:rFonts w:eastAsia="等线" w:ascii="Arial" w:cs="Arial" w:hAnsi="Arial"/>
          <w:b w:val="true"/>
          <w:sz w:val="22"/>
        </w:rPr>
        <w:t>表2 评估中攻击方案的超参数总结</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图/表</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超参数</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图4、图6、表4</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攻击迭代次数=3000，α_TV=1e-4，攻击学习率=0.1</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图5、表5、表6、表8</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攻击迭代次数=3000，攻击学习率=0.1；MNIST、EMNIST的α_TV=0；CIFAR10、CIFAR100、ImageNet、GTSRB的α_TV=1e-4</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图7</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攻击迭代次数=10000，α_TV=1e-3，攻击学习率=0.1，α_f=α_g=1e-4</w:t>
            </w:r>
          </w:p>
        </w:tc>
      </w:tr>
    </w:tbl>
    <w:p>
      <w:pPr>
        <w:spacing w:before="120" w:after="120" w:line="288" w:lineRule="auto"/>
        <w:ind w:left="0"/>
        <w:jc w:val="left"/>
      </w:pPr>
      <w:r>
        <w:rPr>
          <w:rFonts w:eastAsia="等线" w:ascii="Arial" w:cs="Arial" w:hAnsi="Arial"/>
          <w:b w:val="true"/>
          <w:sz w:val="22"/>
        </w:rPr>
        <w:t>表3 不同模型和数据集上，模型更新（Δ）和梯度（g）的平均l₂范数总结</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90"/>
        <w:gridCol w:w="690"/>
        <w:gridCol w:w="690"/>
        <w:gridCol w:w="690"/>
        <w:gridCol w:w="690"/>
        <w:gridCol w:w="690"/>
        <w:gridCol w:w="690"/>
        <w:gridCol w:w="690"/>
        <w:gridCol w:w="690"/>
        <w:gridCol w:w="690"/>
        <w:gridCol w:w="690"/>
        <w:gridCol w:w="690"/>
      </w:tblGrid>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LeNet</w:t>
            </w:r>
          </w:p>
        </w:tc>
        <w:tc>
          <w:tcPr>
            <w:tcW w:w="690" w:type="dxa"/>
            <w:tcMar>
              <w:top w:type="dxa" w:w="60"/>
              <w:left w:type="dxa" w:w="120"/>
              <w:bottom w:type="dxa" w:w="30"/>
              <w:right w:type="dxa" w:w="120"/>
            </w:tcMar>
          </w:tcPr>
          <w:p/>
        </w:tc>
        <w:tc>
          <w:tcPr>
            <w:tcW w:w="690" w:type="dxa"/>
            <w:tcMar>
              <w:top w:type="dxa" w:w="60"/>
              <w:left w:type="dxa" w:w="120"/>
              <w:bottom w:type="dxa" w:w="30"/>
              <w:right w:type="dxa" w:w="120"/>
            </w:tcMar>
          </w:tcP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ResNet-18</w:t>
            </w:r>
          </w:p>
        </w:tc>
        <w:tc>
          <w:tcPr>
            <w:tcW w:w="690" w:type="dxa"/>
            <w:tcMar>
              <w:top w:type="dxa" w:w="60"/>
              <w:left w:type="dxa" w:w="120"/>
              <w:bottom w:type="dxa" w:w="30"/>
              <w:right w:type="dxa" w:w="120"/>
            </w:tcMar>
          </w:tcPr>
          <w:p/>
        </w:tc>
        <w:tc>
          <w:tcPr>
            <w:tcW w:w="690" w:type="dxa"/>
            <w:tcMar>
              <w:top w:type="dxa" w:w="60"/>
              <w:left w:type="dxa" w:w="120"/>
              <w:bottom w:type="dxa" w:w="30"/>
              <w:right w:type="dxa" w:w="120"/>
            </w:tcMar>
          </w:tcP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ResNet-34</w:t>
            </w:r>
          </w:p>
        </w:tc>
        <w:tc>
          <w:tcPr>
            <w:tcW w:w="690" w:type="dxa"/>
            <w:tcMar>
              <w:top w:type="dxa" w:w="60"/>
              <w:left w:type="dxa" w:w="120"/>
              <w:bottom w:type="dxa" w:w="30"/>
              <w:right w:type="dxa" w:w="120"/>
            </w:tcMar>
          </w:tcPr>
          <w:p/>
        </w:tc>
        <w:tc>
          <w:tcPr>
            <w:tcW w:w="690" w:type="dxa"/>
            <w:tcMar>
              <w:top w:type="dxa" w:w="60"/>
              <w:left w:type="dxa" w:w="120"/>
              <w:bottom w:type="dxa" w:w="30"/>
              <w:right w:type="dxa" w:w="120"/>
            </w:tcMar>
          </w:tcP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VGG</w:t>
            </w:r>
          </w:p>
        </w:tc>
        <w:tc>
          <w:tcPr>
            <w:tcW w:w="690" w:type="dxa"/>
            <w:tcMar>
              <w:top w:type="dxa" w:w="60"/>
              <w:left w:type="dxa" w:w="120"/>
              <w:bottom w:type="dxa" w:w="30"/>
              <w:right w:type="dxa" w:w="120"/>
            </w:tcMar>
          </w:tcPr>
          <w:p/>
        </w:tc>
      </w:tr>
      <w:tr>
        <w:tc>
          <w:tcPr>
            <w:tcW w:w="690" w:type="dxa"/>
            <w:tcMar>
              <w:top w:type="dxa" w:w="60"/>
              <w:left w:type="dxa" w:w="120"/>
              <w:bottom w:type="dxa" w:w="30"/>
              <w:right w:type="dxa" w:w="120"/>
            </w:tcMar>
          </w:tcP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MNIST</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EMNIST</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CIFAR10</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CIFAR10</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CIFAR100</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ImageNet/GTSRB</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CIFAR10</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CIFAR100</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ImageNet</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CIFAR10</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CIFAR100</w:t>
            </w:r>
          </w:p>
        </w:tc>
      </w:tr>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更新（Δ）</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2.91</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2.45</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3.69</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0.40</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0.37</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0.39</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0.52</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0.50</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0.43</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1.99</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1.70</w:t>
            </w:r>
          </w:p>
        </w:tc>
      </w:tr>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梯度（g）</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13.31</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14.33</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13.68</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1.53</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1.51</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1.62</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2.05</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2.07</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1.96</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1.29</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1.35</w:t>
            </w:r>
          </w:p>
        </w:tc>
      </w:tr>
    </w:tbl>
    <w:p>
      <w:pPr>
        <w:pStyle w:val="3"/>
        <w:spacing w:before="300" w:after="120" w:line="288" w:lineRule="auto"/>
        <w:ind w:left="0"/>
        <w:jc w:val="left"/>
        <w:outlineLvl w:val="2"/>
      </w:pPr>
      <w:bookmarkStart w:name="heading_12" w:id="12"/>
      <w:r>
        <w:rPr>
          <w:rFonts w:eastAsia="等线" w:ascii="Arial" w:cs="Arial" w:hAnsi="Arial"/>
          <w:b w:val="true"/>
          <w:sz w:val="30"/>
        </w:rPr>
        <w:t>4.2 中央差分隐私的评估</w:t>
      </w:r>
      <w:bookmarkEnd w:id="12"/>
    </w:p>
    <w:p>
      <w:pPr>
        <w:spacing w:before="120" w:after="120" w:line="288" w:lineRule="auto"/>
        <w:ind w:left="0"/>
        <w:jc w:val="left"/>
      </w:pPr>
      <w:r>
        <w:rPr>
          <w:rFonts w:eastAsia="等线" w:ascii="Arial" w:cs="Arial" w:hAnsi="Arial"/>
          <w:sz w:val="22"/>
        </w:rPr>
        <w:t>中央差分隐私联邦学习中，每个客户端在本地训练后裁剪本地更新，随后将裁剪后的更新发送至服务器进行进一步聚合和全局扰动。在此情况下，攻击者可窃听并获取服务器全局扰动前，客户端共享的裁剪后更新。因此，只有裁剪操作对梯度起到保护作用，而扰动操作由于在服务器端执行，难以发挥作用。对于外部攻击者而言，混淆后的全局模型不会对梯度泄露攻击的性能产生负面影响，因为窃取的梯度也是基于该混淆全局模型生成的[3]。因此，本节重点关注裁剪策略对中央差分隐私有效性的影响，旨在回答以下研究问题：</w:t>
      </w:r>
    </w:p>
    <w:p>
      <w:pPr>
        <w:numPr>
          <w:numId w:val="4"/>
        </w:numPr>
        <w:spacing w:before="120" w:after="120" w:line="288" w:lineRule="auto"/>
        <w:ind w:left="0"/>
        <w:jc w:val="left"/>
      </w:pPr>
      <w:r>
        <w:rPr>
          <w:rFonts w:eastAsia="等线" w:ascii="Arial" w:cs="Arial" w:hAnsi="Arial"/>
          <w:sz w:val="22"/>
        </w:rPr>
        <w:t>RQ1：中央差分隐私能否保护联邦学习免受梯度泄露攻击？</w:t>
      </w:r>
    </w:p>
    <w:p>
      <w:pPr>
        <w:numPr>
          <w:numId w:val="5"/>
        </w:numPr>
        <w:spacing w:before="120" w:after="120" w:line="288" w:lineRule="auto"/>
        <w:ind w:left="0"/>
        <w:jc w:val="left"/>
      </w:pPr>
      <w:r>
        <w:rPr>
          <w:rFonts w:eastAsia="等线" w:ascii="Arial" w:cs="Arial" w:hAnsi="Arial"/>
          <w:sz w:val="22"/>
        </w:rPr>
        <w:t>RQ2：哪种裁剪策略的防御效果更好——扁平裁剪（FClip）还是逐层裁剪（LClip）？</w:t>
      </w:r>
    </w:p>
    <w:p>
      <w:pPr>
        <w:numPr>
          <w:numId w:val="6"/>
        </w:numPr>
        <w:spacing w:before="120" w:after="120" w:line="288" w:lineRule="auto"/>
        <w:ind w:left="0"/>
        <w:jc w:val="left"/>
      </w:pPr>
      <w:r>
        <w:rPr>
          <w:rFonts w:eastAsia="等线" w:ascii="Arial" w:cs="Arial" w:hAnsi="Arial"/>
          <w:sz w:val="22"/>
        </w:rPr>
        <w:t>RQ3：中央差分隐私能否实现效用与隐私的平衡？</w:t>
      </w:r>
    </w:p>
    <w:p>
      <w:pPr>
        <w:spacing w:before="120" w:after="120" w:line="288" w:lineRule="auto"/>
        <w:ind w:left="0"/>
        <w:jc w:val="left"/>
      </w:pPr>
      <w:r>
        <w:rPr>
          <w:rFonts w:eastAsia="等线" w:ascii="Arial" w:cs="Arial" w:hAnsi="Arial"/>
          <w:b w:val="true"/>
          <w:sz w:val="22"/>
        </w:rPr>
        <w:t>答案1：中央差分隐私可在一定程度上抵御梯度泄露攻击</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为正确执行裁剪，裁剪范数C应小于模型更新的l₂范数。图4展示了当目标客户端以批次大小16执行本地训练，并在上传前裁剪模型更新时，使用InvertGrad的重构结果。观察到更新的平均l₂范数约为0.3，因此设置C=0.1——逐层裁剪通过对不同层的更新采用不同尺度的裁剪，使重构图像难以区分；而扁平裁剪对梯度泄露攻击的抵御效果甚微，这表明InvertGrad的攻击性能不受直接降低梯度幅度的影响。原因在于，梯度作为高维向量，逐层裁剪同时改变了原始梯度的方向和幅度，而扁平裁剪仅缩短了原始梯度的幅度。然而，重构图像仍泄露了部分背景特征信息（如逐层裁剪中的第4、11、13列）。</w:t>
      </w:r>
    </w:p>
    <w:p>
      <w:pPr>
        <w:spacing w:before="120" w:after="120" w:line="288" w:lineRule="auto"/>
        <w:ind w:left="0"/>
        <w:jc w:val="left"/>
      </w:pPr>
      <w:r>
        <w:rPr>
          <w:rFonts w:eastAsia="等线" w:ascii="Arial" w:cs="Arial" w:hAnsi="Arial"/>
          <w:b w:val="true"/>
          <w:sz w:val="22"/>
        </w:rPr>
        <w:t>图4 （第四节B部分答案1）ResNet-18模型和CIFAR100数据集上，中央差分隐私保护梯度时的批量重构结果。逐层裁剪和扁平裁剪的裁剪范数C=0.1。</w:t>
      </w:r>
    </w:p>
    <w:p>
      <w:pPr>
        <w:spacing w:before="120" w:after="120" w:line="288" w:lineRule="auto"/>
        <w:ind w:left="0"/>
        <w:jc w:val="left"/>
      </w:pPr>
      <w:r>
        <w:rPr>
          <w:rFonts w:eastAsia="等线" w:ascii="Arial" w:cs="Arial" w:hAnsi="Arial"/>
          <w:b w:val="true"/>
          <w:sz w:val="22"/>
        </w:rPr>
        <w:t>答案2：逐层裁剪的防御效果优于扁平裁剪</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本文评估了不同裁剪范数下，裁剪策略的抵御性能。使用均方误差（MSE）、峰值信噪比（PSNR）[63]和感知图像块相似度（LPIPS）[64]衡量重构图像与原始图像的相似度，相似度反映重构质量。表4展示了不同裁剪策略和裁剪范数下，批次大小为16的批量重构的三个指标平均值。结果表明，即使使用极小的裁剪范数（C=1e-4），逐层裁剪保护下的重构质量仍差于扁平裁剪，这表明逐层裁剪在抵御攻击方面始终优于扁平裁剪。表5展示了在逐层裁剪和扁平裁剪（采用相似裁剪范数：LeNet和VGG的C=1，ResNets的C=0.1）下，四种模型架构和六个数据集的重构结果。这些结果进一步证明，逐层裁剪的防御性能优于扁平裁剪；且即使采用合理的裁剪范数，扁平裁剪也难以保护训练数据隐私免受梯度泄露攻击。</w:t>
      </w:r>
    </w:p>
    <w:p>
      <w:pPr>
        <w:spacing w:before="120" w:after="120" w:line="288" w:lineRule="auto"/>
        <w:ind w:left="0"/>
        <w:jc w:val="left"/>
      </w:pPr>
      <w:r>
        <w:rPr>
          <w:rFonts w:eastAsia="等线" w:ascii="Arial" w:cs="Arial" w:hAnsi="Arial"/>
          <w:b w:val="true"/>
          <w:sz w:val="22"/>
        </w:rPr>
        <w:t>表4 （第四节B部分答案2）不同裁剪策略和裁剪范数下，ResNet-18模型和CIFAR100数据集上重构样本的质量</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85"/>
        <w:gridCol w:w="1185"/>
        <w:gridCol w:w="1185"/>
        <w:gridCol w:w="1185"/>
        <w:gridCol w:w="1185"/>
        <w:gridCol w:w="1185"/>
        <w:gridCol w:w="1185"/>
      </w:tblGrid>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裁剪范数</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均方误差（MSE）</w:t>
            </w:r>
          </w:p>
        </w:tc>
        <w:tc>
          <w:tcPr>
            <w:tcW w:w="1185" w:type="dxa"/>
            <w:tcMar>
              <w:top w:type="dxa" w:w="60"/>
              <w:left w:type="dxa" w:w="120"/>
              <w:bottom w:type="dxa" w:w="30"/>
              <w:right w:type="dxa" w:w="120"/>
            </w:tcMar>
          </w:tcP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峰值信噪比（PSNR↓）</w:t>
            </w:r>
          </w:p>
        </w:tc>
        <w:tc>
          <w:tcPr>
            <w:tcW w:w="1185" w:type="dxa"/>
            <w:tcMar>
              <w:top w:type="dxa" w:w="60"/>
              <w:left w:type="dxa" w:w="120"/>
              <w:bottom w:type="dxa" w:w="30"/>
              <w:right w:type="dxa" w:w="120"/>
            </w:tcMar>
          </w:tcP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感知图像块相似度（LPIPS↑）</w:t>
            </w:r>
          </w:p>
        </w:tc>
        <w:tc>
          <w:tcPr>
            <w:tcW w:w="1185" w:type="dxa"/>
            <w:tcMar>
              <w:top w:type="dxa" w:w="60"/>
              <w:left w:type="dxa" w:w="120"/>
              <w:bottom w:type="dxa" w:w="30"/>
              <w:right w:type="dxa" w:w="120"/>
            </w:tcMar>
          </w:tcPr>
          <w:p/>
        </w:tc>
      </w:tr>
      <w:tr>
        <w:tc>
          <w:tcPr>
            <w:tcW w:w="1185" w:type="dxa"/>
            <w:tcMar>
              <w:top w:type="dxa" w:w="60"/>
              <w:left w:type="dxa" w:w="120"/>
              <w:bottom w:type="dxa" w:w="30"/>
              <w:right w:type="dxa" w:w="120"/>
            </w:tcMar>
          </w:tcP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逐层裁剪（LClip）</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扁平裁剪（FClip）</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逐层裁剪（LClip）</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扁平裁剪（FClip）</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逐层裁剪（LClip）</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扁平裁剪（FClip）</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C=0.3</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0.1270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0.0075</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9.18</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21.43</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0.1392</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0.0176</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C=0.1</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0.1436</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0.0074</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8.60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21.44</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0.1608</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0.0174</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C=1e-2</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0.1407</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0.0076</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8.68</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21.40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0.1613</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0.0180</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C=1e-3</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0.1385</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0.0101</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8.71</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20.15</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0.1515</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0.0251</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C=1e-4</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0.1368</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0.0690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8.77</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11.78</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0.1657</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0.1561</w:t>
            </w:r>
          </w:p>
        </w:tc>
      </w:tr>
    </w:tbl>
    <w:p>
      <w:pPr>
        <w:spacing w:before="120" w:after="120" w:line="288" w:lineRule="auto"/>
        <w:ind w:left="0"/>
        <w:jc w:val="left"/>
      </w:pPr>
      <w:r>
        <w:rPr>
          <w:rFonts w:eastAsia="等线" w:ascii="Arial" w:cs="Arial" w:hAnsi="Arial"/>
          <w:sz w:val="22"/>
        </w:rPr>
        <w:t>注：加粗字体表示两种裁剪策略在三个指标下的最佳重构结果。</w:t>
      </w:r>
    </w:p>
    <w:p>
      <w:pPr>
        <w:spacing w:before="120" w:after="120" w:line="288" w:lineRule="auto"/>
        <w:ind w:left="0"/>
        <w:jc w:val="left"/>
      </w:pPr>
      <w:r>
        <w:rPr>
          <w:rFonts w:eastAsia="等线" w:ascii="Arial" w:cs="Arial" w:hAnsi="Arial"/>
          <w:b w:val="true"/>
          <w:sz w:val="22"/>
        </w:rPr>
        <w:t>表5 （第四节B部分答案2）中央差分隐私下，两种裁剪策略对应的不同模型和数据集上重构样本的质量（即感知图像块相似度LPIPS↑）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50"/>
        <w:gridCol w:w="750"/>
        <w:gridCol w:w="750"/>
        <w:gridCol w:w="750"/>
        <w:gridCol w:w="750"/>
        <w:gridCol w:w="750"/>
        <w:gridCol w:w="750"/>
        <w:gridCol w:w="750"/>
        <w:gridCol w:w="750"/>
        <w:gridCol w:w="750"/>
        <w:gridCol w:w="750"/>
      </w:tblGrid>
      <w:tr>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LeNet</w:t>
            </w:r>
          </w:p>
        </w:tc>
        <w:tc>
          <w:tcPr>
            <w:tcW w:w="750" w:type="dxa"/>
            <w:tcMar>
              <w:top w:type="dxa" w:w="60"/>
              <w:left w:type="dxa" w:w="120"/>
              <w:bottom w:type="dxa" w:w="30"/>
              <w:right w:type="dxa" w:w="120"/>
            </w:tcMar>
          </w:tcP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ResNet-18</w:t>
            </w:r>
          </w:p>
        </w:tc>
        <w:tc>
          <w:tcPr>
            <w:tcW w:w="750" w:type="dxa"/>
            <w:tcMar>
              <w:top w:type="dxa" w:w="60"/>
              <w:left w:type="dxa" w:w="120"/>
              <w:bottom w:type="dxa" w:w="30"/>
              <w:right w:type="dxa" w:w="120"/>
            </w:tcMar>
          </w:tcPr>
          <w:p/>
        </w:tc>
        <w:tc>
          <w:tcPr>
            <w:tcW w:w="750" w:type="dxa"/>
            <w:tcMar>
              <w:top w:type="dxa" w:w="60"/>
              <w:left w:type="dxa" w:w="120"/>
              <w:bottom w:type="dxa" w:w="30"/>
              <w:right w:type="dxa" w:w="120"/>
            </w:tcMar>
          </w:tcP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ResNet-34</w:t>
            </w:r>
          </w:p>
        </w:tc>
        <w:tc>
          <w:tcPr>
            <w:tcW w:w="750" w:type="dxa"/>
            <w:tcMar>
              <w:top w:type="dxa" w:w="60"/>
              <w:left w:type="dxa" w:w="120"/>
              <w:bottom w:type="dxa" w:w="30"/>
              <w:right w:type="dxa" w:w="120"/>
            </w:tcMar>
          </w:tcPr>
          <w:p/>
        </w:tc>
        <w:tc>
          <w:tcPr>
            <w:tcW w:w="750" w:type="dxa"/>
            <w:tcMar>
              <w:top w:type="dxa" w:w="60"/>
              <w:left w:type="dxa" w:w="120"/>
              <w:bottom w:type="dxa" w:w="30"/>
              <w:right w:type="dxa" w:w="120"/>
            </w:tcMar>
          </w:tcP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VGG</w:t>
            </w:r>
          </w:p>
        </w:tc>
        <w:tc>
          <w:tcPr>
            <w:tcW w:w="750" w:type="dxa"/>
            <w:tcMar>
              <w:top w:type="dxa" w:w="60"/>
              <w:left w:type="dxa" w:w="120"/>
              <w:bottom w:type="dxa" w:w="30"/>
              <w:right w:type="dxa" w:w="120"/>
            </w:tcMar>
          </w:tcPr>
          <w:p/>
        </w:tc>
      </w:tr>
      <w:tr>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数据集</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MNIST</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EMNIST</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CIFAR10</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CIFAR100</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ImageNet/GTSRB</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CIFAR10</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CIFAR100</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ImageNet</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CIFAR10</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CIFAR100</w:t>
            </w:r>
          </w:p>
        </w:tc>
      </w:tr>
      <w:tr>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无差分隐私（No DP）</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0.0676</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0.0189</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0.0821</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0.0174</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0.0187</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0.0974</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0.0222</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0.0337</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0.1636</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0.1255</w:t>
            </w:r>
          </w:p>
        </w:tc>
      </w:tr>
      <w:tr>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扁平裁剪（FClip）</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0.0677</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0.0189</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0.0758</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0.0188</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0.0192</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0.0900</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0.0265</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0.0405</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0.1598</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0.1206</w:t>
            </w:r>
          </w:p>
        </w:tc>
      </w:tr>
      <w:tr>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逐层裁剪（LClip）</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0.5937</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0.6194</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0.1549</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0.1564</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0.1678</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0.1504</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0.1499</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0.1627</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0.2057</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0.1703</w:t>
            </w:r>
          </w:p>
        </w:tc>
      </w:tr>
    </w:tbl>
    <w:p>
      <w:pPr>
        <w:spacing w:before="120" w:after="120" w:line="288" w:lineRule="auto"/>
        <w:ind w:left="0"/>
        <w:jc w:val="left"/>
      </w:pPr>
      <w:r>
        <w:rPr>
          <w:rFonts w:eastAsia="等线" w:ascii="Arial" w:cs="Arial" w:hAnsi="Arial"/>
          <w:b w:val="true"/>
          <w:sz w:val="22"/>
        </w:rPr>
        <w:t>答案3：浅层模型下，采用逐层裁剪的中央差分隐私可实现效用与隐私的良好平衡</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本文评估了两种裁剪策略下，裁剪范数对中央差分隐私联邦学习训练性能的影响——所有选定的裁剪范数均足以保护训练样本的隐私。表6展示了当整个联邦学习训练过程受中央差分隐私保护（采用不同裁剪范数，可抵御梯度泄露攻击）时，不同模型和数据集对应的各类图像分类任务的测试准确率（视觉重构结果快照如图5所示）。结果表明，裁剪范数越大（即原始信息损失越少），训练性能不一定越好——这是因为聚合更新中添加的噪声会被裁剪范数放大：相同隐私预算下，裁剪范数越大，噪声系数越大，效用越低，模型性能越差。总体而言，采用逐层裁剪的中央差分隐私，其效用与隐私的平衡效果优于采用扁平裁剪的中央差分隐私。采用扁平裁剪的中央差分隐私需要极小的裁剪范数（C≤1e-4）才能防止梯度泄露攻击，但这会完全破坏模型训练性能。此外，裁剪范数的取值及其对训练性能的影响，也因图像分类任务而异。因此，尽管在中央差分隐私中，选择裁剪范数抵御梯度攻击较为容易，但如何选择合适的裁剪范数以保证准确率，仍是中央差分隐私面临的重要挑战。</w:t>
      </w:r>
    </w:p>
    <w:p>
      <w:pPr>
        <w:spacing w:before="120" w:after="120" w:line="288" w:lineRule="auto"/>
        <w:ind w:left="0"/>
        <w:jc w:val="left"/>
      </w:pPr>
      <w:r>
        <w:rPr>
          <w:rFonts w:eastAsia="等线" w:ascii="Arial" w:cs="Arial" w:hAnsi="Arial"/>
          <w:b w:val="true"/>
          <w:sz w:val="22"/>
        </w:rPr>
        <w:t>表6 （第四节B部分答案3）中央差分隐私中，不同裁剪范数和裁剪策略对应的各类图像分类任务的测试准确率（%）</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85"/>
        <w:gridCol w:w="1185"/>
        <w:gridCol w:w="1185"/>
        <w:gridCol w:w="1185"/>
        <w:gridCol w:w="1185"/>
        <w:gridCol w:w="1185"/>
        <w:gridCol w:w="1185"/>
      </w:tblGrid>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数据集</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无差分隐私（No DP）</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中央差分隐私+逐层裁剪（CDP+LClip）</w:t>
            </w:r>
          </w:p>
        </w:tc>
        <w:tc>
          <w:tcPr>
            <w:tcW w:w="1185" w:type="dxa"/>
            <w:tcMar>
              <w:top w:type="dxa" w:w="60"/>
              <w:left w:type="dxa" w:w="120"/>
              <w:bottom w:type="dxa" w:w="30"/>
              <w:right w:type="dxa" w:w="120"/>
            </w:tcMar>
          </w:tcPr>
          <w:p/>
        </w:tc>
        <w:tc>
          <w:tcPr>
            <w:tcW w:w="1185" w:type="dxa"/>
            <w:tcMar>
              <w:top w:type="dxa" w:w="60"/>
              <w:left w:type="dxa" w:w="120"/>
              <w:bottom w:type="dxa" w:w="30"/>
              <w:right w:type="dxa" w:w="120"/>
            </w:tcMar>
          </w:tcP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中央差分隐私+扁平裁剪（CDP+FClip）</w:t>
            </w:r>
          </w:p>
        </w:tc>
      </w:tr>
      <w:tr>
        <w:tc>
          <w:tcPr>
            <w:tcW w:w="1185" w:type="dxa"/>
            <w:tcMar>
              <w:top w:type="dxa" w:w="60"/>
              <w:left w:type="dxa" w:w="120"/>
              <w:bottom w:type="dxa" w:w="30"/>
              <w:right w:type="dxa" w:w="120"/>
            </w:tcMar>
          </w:tcPr>
          <w:p/>
        </w:tc>
        <w:tc>
          <w:tcPr>
            <w:tcW w:w="1185" w:type="dxa"/>
            <w:tcMar>
              <w:top w:type="dxa" w:w="60"/>
              <w:left w:type="dxa" w:w="120"/>
              <w:bottom w:type="dxa" w:w="30"/>
              <w:right w:type="dxa" w:w="120"/>
            </w:tcMar>
          </w:tcPr>
          <w:p/>
        </w:tc>
        <w:tc>
          <w:tcPr>
            <w:tcW w:w="1185" w:type="dxa"/>
            <w:tcMar>
              <w:top w:type="dxa" w:w="60"/>
              <w:left w:type="dxa" w:w="120"/>
              <w:bottom w:type="dxa" w:w="30"/>
              <w:right w:type="dxa" w:w="120"/>
            </w:tcMar>
          </w:tcP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C=0.1</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C=1</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C=2</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C=1e-4</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LeNet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MNIST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96</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95</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96</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r>
      <w:tr>
        <w:tc>
          <w:tcPr>
            <w:tcW w:w="1185" w:type="dxa"/>
            <w:tcMar>
              <w:top w:type="dxa" w:w="60"/>
              <w:left w:type="dxa" w:w="120"/>
              <w:bottom w:type="dxa" w:w="30"/>
              <w:right w:type="dxa" w:w="120"/>
            </w:tcMar>
          </w:tcP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EMNIST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86</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67</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88</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r>
      <w:tr>
        <w:tc>
          <w:tcPr>
            <w:tcW w:w="1185" w:type="dxa"/>
            <w:tcMar>
              <w:top w:type="dxa" w:w="60"/>
              <w:left w:type="dxa" w:w="120"/>
              <w:bottom w:type="dxa" w:w="30"/>
              <w:right w:type="dxa" w:w="120"/>
            </w:tcMar>
          </w:tcP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CIFAR10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55</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29</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47</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ResNet-18</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CIFAR10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76</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52</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47</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46</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r>
      <w:tr>
        <w:tc>
          <w:tcPr>
            <w:tcW w:w="1185" w:type="dxa"/>
            <w:tcMar>
              <w:top w:type="dxa" w:w="60"/>
              <w:left w:type="dxa" w:w="120"/>
              <w:bottom w:type="dxa" w:w="30"/>
              <w:right w:type="dxa" w:w="120"/>
            </w:tcMar>
          </w:tcP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CIFAR100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38</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r>
      <w:tr>
        <w:tc>
          <w:tcPr>
            <w:tcW w:w="1185" w:type="dxa"/>
            <w:tcMar>
              <w:top w:type="dxa" w:w="60"/>
              <w:left w:type="dxa" w:w="120"/>
              <w:bottom w:type="dxa" w:w="30"/>
              <w:right w:type="dxa" w:w="120"/>
            </w:tcMar>
          </w:tcP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ImageNet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ResNet-34</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CIFAR10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72</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36</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39</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r>
      <w:tr>
        <w:tc>
          <w:tcPr>
            <w:tcW w:w="1185" w:type="dxa"/>
            <w:tcMar>
              <w:top w:type="dxa" w:w="60"/>
              <w:left w:type="dxa" w:w="120"/>
              <w:bottom w:type="dxa" w:w="30"/>
              <w:right w:type="dxa" w:w="120"/>
            </w:tcMar>
          </w:tcP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CIFAR100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36</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r>
      <w:tr>
        <w:tc>
          <w:tcPr>
            <w:tcW w:w="1185" w:type="dxa"/>
            <w:tcMar>
              <w:top w:type="dxa" w:w="60"/>
              <w:left w:type="dxa" w:w="120"/>
              <w:bottom w:type="dxa" w:w="30"/>
              <w:right w:type="dxa" w:w="120"/>
            </w:tcMar>
          </w:tcP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GTSRB</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96</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37</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44</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54</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VGG</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CIFAR10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81</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61</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65</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65</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r>
      <w:tr>
        <w:tc>
          <w:tcPr>
            <w:tcW w:w="1185" w:type="dxa"/>
            <w:tcMar>
              <w:top w:type="dxa" w:w="60"/>
              <w:left w:type="dxa" w:w="120"/>
              <w:bottom w:type="dxa" w:w="30"/>
              <w:right w:type="dxa" w:w="120"/>
            </w:tcMar>
          </w:tcP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CIFAR100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45</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r>
    </w:tbl>
    <w:p>
      <w:pPr>
        <w:spacing w:before="120" w:after="120" w:line="288" w:lineRule="auto"/>
        <w:ind w:left="0"/>
        <w:jc w:val="left"/>
      </w:pPr>
      <w:r>
        <w:rPr>
          <w:rFonts w:eastAsia="等线" w:ascii="Arial" w:cs="Arial" w:hAnsi="Arial"/>
          <w:sz w:val="22"/>
        </w:rPr>
        <w:t>注：限制隐私预算（ε=10，δ=1e-5），噪声系数σ=1——这在差分隐私文献中是合理的，但实际上其取值与中央差分隐私抵御梯度泄露攻击的能力无关。</w:t>
      </w:r>
    </w:p>
    <w:p>
      <w:pPr>
        <w:spacing w:before="120" w:after="120" w:line="288" w:lineRule="auto"/>
        <w:ind w:left="0"/>
        <w:jc w:val="left"/>
      </w:pPr>
      <w:r>
        <w:rPr>
          <w:rFonts w:eastAsia="等线" w:ascii="Arial" w:cs="Arial" w:hAnsi="Arial"/>
          <w:sz w:val="22"/>
        </w:rPr>
        <w:t>表7展示了不同噪声系数和裁剪范数下，中央差分隐私（逐层裁剪）训练ResNet-18模型和CIFAR10数据集的进一步准确率结果。由于扁平裁剪无法保护客户端隐私，本文未评估中央差分隐私+扁平裁剪的模型训练性能——如表4和图5所示，只有当裁剪值极小（C=1e-4）时，扁平裁剪才能保护裁剪后的梯度免受梯度泄露攻击，但此时梯度中的信息已受损；表6也证实，当C=1e-4时，模型已无法训练。结果表明，即使添加的噪声为零，逐层裁剪也会降低准确率：当裁剪范数C=1时，准确率降至52%；当C=10时，准确率可达70%——需注意，若选择的裁剪范数（C=10）远大于模型更新的l₂范数，中央差分隐私中的裁剪操作将失效。此外，当采用的裁剪范数相对较小且足以保护隐私（C&lt;1）时，准确率不一定随隐私预算的减少而降低。</w:t>
      </w:r>
    </w:p>
    <w:p>
      <w:pPr>
        <w:spacing w:before="120" w:after="120" w:line="288" w:lineRule="auto"/>
        <w:ind w:left="0"/>
        <w:jc w:val="left"/>
      </w:pPr>
      <w:r>
        <w:rPr>
          <w:rFonts w:eastAsia="等线" w:ascii="Arial" w:cs="Arial" w:hAnsi="Arial"/>
          <w:b w:val="true"/>
          <w:sz w:val="22"/>
        </w:rPr>
        <w:t>表7 不同噪声系数（即隐私预算）和裁剪范数下，中央差分隐私训练ResNet-18模型和CIFAR10数据集的测试准确率</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噪声系数σ</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隐私预算ε</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裁剪范数C=0.1（P）</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裁剪范数C=0.5（P）</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裁剪范数C=1（P）</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裁剪范数C=10</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46</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70</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1e5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46</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70</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46</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46</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46</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46</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46</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w:t>
            </w:r>
          </w:p>
        </w:tc>
      </w:tr>
    </w:tbl>
    <w:p>
      <w:pPr>
        <w:spacing w:before="120" w:after="120" w:line="288" w:lineRule="auto"/>
        <w:ind w:left="0"/>
        <w:jc w:val="left"/>
      </w:pPr>
      <w:r>
        <w:rPr>
          <w:rFonts w:eastAsia="等线" w:ascii="Arial" w:cs="Arial" w:hAnsi="Arial"/>
          <w:sz w:val="22"/>
        </w:rPr>
        <w:t>注：标签P表示该裁剪范数可保护共享更新免受梯度泄露攻击，无标签P的裁剪范数无法抵御梯度泄露攻击。</w:t>
      </w:r>
    </w:p>
    <w:p>
      <w:pPr>
        <w:spacing w:before="120" w:after="120" w:line="288" w:lineRule="auto"/>
        <w:ind w:left="0"/>
        <w:jc w:val="left"/>
      </w:pPr>
      <w:r>
        <w:rPr>
          <w:rFonts w:eastAsia="等线" w:ascii="Arial" w:cs="Arial" w:hAnsi="Arial"/>
          <w:b w:val="true"/>
          <w:sz w:val="22"/>
        </w:rPr>
        <w:t>图5 （第四节B部分答案3）表6中图像分类任务的批量重构结果。仅展示表6中裁剪范数上限C对应的结果，所有C≤C·均可保护训练样本的隐私。</w:t>
      </w:r>
    </w:p>
    <w:p>
      <w:pPr>
        <w:pStyle w:val="3"/>
        <w:spacing w:before="300" w:after="120" w:line="288" w:lineRule="auto"/>
        <w:ind w:left="0"/>
        <w:jc w:val="left"/>
        <w:outlineLvl w:val="2"/>
      </w:pPr>
      <w:bookmarkStart w:name="heading_13" w:id="13"/>
      <w:r>
        <w:rPr>
          <w:rFonts w:eastAsia="等线" w:ascii="Arial" w:cs="Arial" w:hAnsi="Arial"/>
          <w:b w:val="true"/>
          <w:sz w:val="30"/>
        </w:rPr>
        <w:t>4.3 本地差分隐私的评估</w:t>
      </w:r>
      <w:bookmarkEnd w:id="13"/>
    </w:p>
    <w:p>
      <w:pPr>
        <w:spacing w:before="120" w:after="120" w:line="288" w:lineRule="auto"/>
        <w:ind w:left="0"/>
        <w:jc w:val="left"/>
      </w:pPr>
      <w:r>
        <w:rPr>
          <w:rFonts w:eastAsia="等线" w:ascii="Arial" w:cs="Arial" w:hAnsi="Arial"/>
          <w:sz w:val="22"/>
        </w:rPr>
        <w:t>本地差分隐私联邦学习中，客户端使用差分隐私随机梯度下降（DP-SGD）算法在其数据集上训练模型。差分隐私随机梯度下降的每一步中，从随机子集样本计算得到的梯度会先被裁剪，再添加噪声以保护隐私。添加的噪声由噪声系数σ和裁剪范数C决定，因此采样自N(0, C²σ²)。经过多步梯度裁剪、扰动和下降后，客户端将最终混淆后的模型或更新上传至服务器。在此差分隐私模式下，裁剪和扰动操作均能保护联邦学习免受“诚实但好奇”的服务器或外部攻击者发起的梯度泄露攻击。本节同样回答以下研究问题：</w:t>
      </w:r>
    </w:p>
    <w:p>
      <w:pPr>
        <w:numPr>
          <w:numId w:val="7"/>
        </w:numPr>
        <w:spacing w:before="120" w:after="120" w:line="288" w:lineRule="auto"/>
        <w:ind w:left="0"/>
        <w:jc w:val="left"/>
      </w:pPr>
      <w:r>
        <w:rPr>
          <w:rFonts w:eastAsia="等线" w:ascii="Arial" w:cs="Arial" w:hAnsi="Arial"/>
          <w:sz w:val="22"/>
        </w:rPr>
        <w:t>RQ1：本地差分隐私能否保护联邦学习免受梯度泄露攻击？</w:t>
      </w:r>
    </w:p>
    <w:p>
      <w:pPr>
        <w:numPr>
          <w:numId w:val="8"/>
        </w:numPr>
        <w:spacing w:before="120" w:after="120" w:line="288" w:lineRule="auto"/>
        <w:ind w:left="0"/>
        <w:jc w:val="left"/>
      </w:pPr>
      <w:r>
        <w:rPr>
          <w:rFonts w:eastAsia="等线" w:ascii="Arial" w:cs="Arial" w:hAnsi="Arial"/>
          <w:sz w:val="22"/>
        </w:rPr>
        <w:t>RQ2：哪种隐私操作对防御更关键——梯度裁剪还是梯度扰动？</w:t>
      </w:r>
    </w:p>
    <w:p>
      <w:pPr>
        <w:numPr>
          <w:numId w:val="9"/>
        </w:numPr>
        <w:spacing w:before="120" w:after="120" w:line="288" w:lineRule="auto"/>
        <w:ind w:left="0"/>
        <w:jc w:val="left"/>
      </w:pPr>
      <w:r>
        <w:rPr>
          <w:rFonts w:eastAsia="等线" w:ascii="Arial" w:cs="Arial" w:hAnsi="Arial"/>
          <w:sz w:val="22"/>
        </w:rPr>
        <w:t>RQ3：本地差分隐私能否实现效用与隐私的平衡？</w:t>
      </w:r>
    </w:p>
    <w:p>
      <w:pPr>
        <w:spacing w:before="120" w:after="120" w:line="288" w:lineRule="auto"/>
        <w:ind w:left="0"/>
        <w:jc w:val="left"/>
      </w:pPr>
      <w:r>
        <w:rPr>
          <w:rFonts w:eastAsia="等线" w:ascii="Arial" w:cs="Arial" w:hAnsi="Arial"/>
          <w:b w:val="true"/>
          <w:sz w:val="22"/>
        </w:rPr>
        <w:t>答案1：结合梯度裁剪和梯度扰动的本地差分隐私，可有效抵御梯度泄露攻击</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本文评估了本地差分隐私抵御梯度泄露攻击的性能。本地差分隐私中，梯度在上传至服务器前，会先经过梯度裁剪，再进行梯度扰动。图6展示了以下三种情况下的梯度重构结果：扁平裁剪（C=0.1）保护梯度、梯度扰动（Cσ=0.001）保护梯度、两种隐私操作结合保护梯度。结果表明，结合梯度裁剪和梯度扰动的本地差分隐私，可有效抵御梯度泄露攻击；而仅使用任意一种隐私操作，重构图像均具有较高的可识别性。这是因为，当噪声相对较小时（Cσ=0.001），梯度信息仍保留了大量原始信息，梯度泄露攻击可基于带噪梯度重构数据；类似地，由于扁平裁剪采用统一裁剪方式，也无法破坏梯度泄露攻击的有效性。然而，一旦梯度被裁剪（即减小至较小值），原本微小的噪声即可有效扰动梯度信息。</w:t>
      </w:r>
    </w:p>
    <w:p>
      <w:pPr>
        <w:spacing w:before="120" w:after="120" w:line="288" w:lineRule="auto"/>
        <w:ind w:left="0"/>
        <w:jc w:val="left"/>
      </w:pPr>
      <w:r>
        <w:rPr>
          <w:rFonts w:eastAsia="等线" w:ascii="Arial" w:cs="Arial" w:hAnsi="Arial"/>
          <w:b w:val="true"/>
          <w:sz w:val="22"/>
        </w:rPr>
        <w:t>图6 （第四节C部分答案1）ResNet-18模型和CIFAR100数据集训练中，梯度受梯度扰动（Cσ=0.001）、梯度扁平裁剪（C=0.1）和本地差分隐私（C=0.1，Cσ=0.001）保护时的批量图像重构结果。</w:t>
      </w:r>
    </w:p>
    <w:p>
      <w:pPr>
        <w:spacing w:before="120" w:after="120" w:line="288" w:lineRule="auto"/>
        <w:ind w:left="0"/>
        <w:jc w:val="left"/>
      </w:pPr>
      <w:r>
        <w:rPr>
          <w:rFonts w:eastAsia="等线" w:ascii="Arial" w:cs="Arial" w:hAnsi="Arial"/>
          <w:b w:val="true"/>
          <w:sz w:val="22"/>
        </w:rPr>
        <w:t>答案2：梯度裁剪的抵御效果优于梯度扰动</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本文分别评估了本地差分隐私中，梯度扰动和梯度裁剪对梯度泄露攻击的抵御性能。为使最终重构结果更易区分，选择调整为64×64的ImageNet作为目标数据集，采用GI作为攻击方案。图7展示了梯度仅受梯度扰动或梯度裁剪保护时，单个图像的重构结果。为禁用梯度裁剪，设置的裁剪范数C远大于梯度的l₂范数；为禁用梯度扰动，设置噪声系数σ=0。实验结果表明，即使添加的噪声与原始梯度相比不可忽略（Cσ=1，原始梯度的l₂范数），重构图像仍泄露了原始图像的部分信息；同时，即使采用较大的裁剪范数（C=40），梯度裁剪（逐层裁剪）也能使重构图像完全不可识别。因此，与梯度扰动相比，梯度裁剪对梯度泄露攻击的抵御效果更优——因为梯度裁剪仅需对梯度进行相对较小的扭曲，即可大幅降低重构质量。需注意，上述梯度裁剪的优越性仅适用于逐层裁剪，如中央差分隐私评估所示，单独的扁平裁剪无法抵御梯度泄露攻击。</w:t>
      </w:r>
    </w:p>
    <w:p>
      <w:pPr>
        <w:spacing w:before="120" w:after="120" w:line="288" w:lineRule="auto"/>
        <w:ind w:left="0"/>
        <w:jc w:val="left"/>
      </w:pPr>
      <w:r>
        <w:rPr>
          <w:rFonts w:eastAsia="等线" w:ascii="Arial" w:cs="Arial" w:hAnsi="Arial"/>
          <w:b w:val="true"/>
          <w:sz w:val="22"/>
        </w:rPr>
        <w:t>图7 （第四节C部分答案2）不同隐私操作下，ResNet-18模型和ImageNet数据集训练中的单个图像重构结果。</w:t>
      </w:r>
    </w:p>
    <w:p>
      <w:pPr>
        <w:spacing w:before="120" w:after="120" w:line="288" w:lineRule="auto"/>
        <w:ind w:left="0"/>
        <w:jc w:val="left"/>
      </w:pPr>
      <w:r>
        <w:rPr>
          <w:rFonts w:eastAsia="等线" w:ascii="Arial" w:cs="Arial" w:hAnsi="Arial"/>
          <w:b w:val="true"/>
          <w:sz w:val="22"/>
        </w:rPr>
        <w:t>答案3：浅层模型训练中，本地差分隐私可实现效用与隐私的更好平衡</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本文评估了本地差分隐私在效用与抵御梯度泄露攻击之间的平衡性能。使用矩会计师（MA）[52]累积本地训练的隐私预算[4]，隐私预算的计算基于样本率（批次大小B/样本数量N）、本地轮次E和隐私系数σ。为设置合理的隐私预算，设置σ=0.65，其中MNIST的B=16、E=5、N=600，CIFAR10和CIFAR100的N=500，ImageNet的N=1000，GTSRB的N=260。因此，LeNet模型和MNIST数据集训练的隐私预算满足（ε=9.35，δ=1e-5），CIFAR10数据集训练的隐私预算满足（ε=10，δ=1e-5）。表8展示了不同裁剪范数下，各类模型和数据集对应的测试准确率和重构质量。感知图像块相似度（LPIPS）值大于0.3，表明当前隐私参数设置足以抵御梯度泄露攻击。准确率结果表明，浅层模型（LeNet）在准确率与隐私之间的平衡性能更优：本地差分隐私训练LeNet模型时，CIFAR10数据集的测试准确率仅下降14.6%（逐层裁剪）和9.4%（扁平裁剪）；而训练ResNet-18模型和CIFAR10数据集时，本地差分隐私导致准确率下降41.3%（逐层裁剪）和43.8%（扁平裁剪）；对于ResNet-34模型和CIFAR100数据集，任何足以保护隐私的裁剪范数C，都仅能使训练准确率获得接近零的提升，导致模型失效；对于VGG模型，本地差分隐私导致CIFAR10数据集的准确率下降53.2%（逐层裁剪）和49.1%（扁平裁剪），CIFAR100数据集的准确率下降44%（逐层裁剪）和43.4%（扁平裁剪）；对于GTSRB数据集，模型准确率在逐层裁剪下下降86.9%，在扁平裁剪下下降85.1%。显然，本地差分隐私应用于深层模型时，会显著损害模型效用。</w:t>
      </w:r>
    </w:p>
    <w:p>
      <w:pPr>
        <w:spacing w:before="120" w:after="120" w:line="288" w:lineRule="auto"/>
        <w:ind w:left="0"/>
        <w:jc w:val="left"/>
      </w:pPr>
      <w:r>
        <w:rPr>
          <w:rFonts w:eastAsia="等线" w:ascii="Arial" w:cs="Arial" w:hAnsi="Arial"/>
          <w:b w:val="true"/>
          <w:sz w:val="22"/>
        </w:rPr>
        <w:t>表8 （第四节C部分答案3）本地差分隐私中，不同裁剪策略对应的各类图像分类任务的测试准确率和重构质量（感知图像块相似度LPIPS）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85"/>
        <w:gridCol w:w="585"/>
        <w:gridCol w:w="585"/>
        <w:gridCol w:w="585"/>
        <w:gridCol w:w="585"/>
        <w:gridCol w:w="585"/>
        <w:gridCol w:w="585"/>
        <w:gridCol w:w="585"/>
        <w:gridCol w:w="585"/>
        <w:gridCol w:w="585"/>
        <w:gridCol w:w="585"/>
        <w:gridCol w:w="585"/>
        <w:gridCol w:w="585"/>
        <w:gridCol w:w="585"/>
      </w:tblGrid>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数据集</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指标</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无差分隐私（No DP）</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本地差分隐私+逐层裁剪（LDP+LClip）</w:t>
            </w:r>
          </w:p>
        </w:tc>
        <w:tc>
          <w:tcPr>
            <w:tcW w:w="585" w:type="dxa"/>
            <w:tcMar>
              <w:top w:type="dxa" w:w="60"/>
              <w:left w:type="dxa" w:w="120"/>
              <w:bottom w:type="dxa" w:w="30"/>
              <w:right w:type="dxa" w:w="120"/>
            </w:tcMar>
          </w:tcPr>
          <w:p/>
        </w:tc>
        <w:tc>
          <w:tcPr>
            <w:tcW w:w="585" w:type="dxa"/>
            <w:tcMar>
              <w:top w:type="dxa" w:w="60"/>
              <w:left w:type="dxa" w:w="120"/>
              <w:bottom w:type="dxa" w:w="30"/>
              <w:right w:type="dxa" w:w="120"/>
            </w:tcMar>
          </w:tcPr>
          <w:p/>
        </w:tc>
        <w:tc>
          <w:tcPr>
            <w:tcW w:w="585" w:type="dxa"/>
            <w:tcMar>
              <w:top w:type="dxa" w:w="60"/>
              <w:left w:type="dxa" w:w="120"/>
              <w:bottom w:type="dxa" w:w="30"/>
              <w:right w:type="dxa" w:w="120"/>
            </w:tcMar>
          </w:tcPr>
          <w:p/>
        </w:tc>
        <w:tc>
          <w:tcPr>
            <w:tcW w:w="585" w:type="dxa"/>
            <w:tcMar>
              <w:top w:type="dxa" w:w="60"/>
              <w:left w:type="dxa" w:w="120"/>
              <w:bottom w:type="dxa" w:w="30"/>
              <w:right w:type="dxa" w:w="120"/>
            </w:tcMar>
          </w:tcP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本地差分隐私+扁平裁剪（LDP+FClip）</w:t>
            </w:r>
          </w:p>
        </w:tc>
        <w:tc>
          <w:tcPr>
            <w:tcW w:w="585" w:type="dxa"/>
            <w:tcMar>
              <w:top w:type="dxa" w:w="60"/>
              <w:left w:type="dxa" w:w="120"/>
              <w:bottom w:type="dxa" w:w="30"/>
              <w:right w:type="dxa" w:w="120"/>
            </w:tcMar>
          </w:tcPr>
          <w:p/>
        </w:tc>
        <w:tc>
          <w:tcPr>
            <w:tcW w:w="585" w:type="dxa"/>
            <w:tcMar>
              <w:top w:type="dxa" w:w="60"/>
              <w:left w:type="dxa" w:w="120"/>
              <w:bottom w:type="dxa" w:w="30"/>
              <w:right w:type="dxa" w:w="120"/>
            </w:tcMar>
          </w:tcPr>
          <w:p/>
        </w:tc>
        <w:tc>
          <w:tcPr>
            <w:tcW w:w="585" w:type="dxa"/>
            <w:tcMar>
              <w:top w:type="dxa" w:w="60"/>
              <w:left w:type="dxa" w:w="120"/>
              <w:bottom w:type="dxa" w:w="30"/>
              <w:right w:type="dxa" w:w="120"/>
            </w:tcMar>
          </w:tcPr>
          <w:p/>
        </w:tc>
        <w:tc>
          <w:tcPr>
            <w:tcW w:w="585" w:type="dxa"/>
            <w:tcMar>
              <w:top w:type="dxa" w:w="60"/>
              <w:left w:type="dxa" w:w="120"/>
              <w:bottom w:type="dxa" w:w="30"/>
              <w:right w:type="dxa" w:w="120"/>
            </w:tcMar>
          </w:tcPr>
          <w:p/>
        </w:tc>
      </w:tr>
      <w:tr>
        <w:tc>
          <w:tcPr>
            <w:tcW w:w="585" w:type="dxa"/>
            <w:tcMar>
              <w:top w:type="dxa" w:w="60"/>
              <w:left w:type="dxa" w:w="120"/>
              <w:bottom w:type="dxa" w:w="30"/>
              <w:right w:type="dxa" w:w="120"/>
            </w:tcMar>
          </w:tcPr>
          <w:p/>
        </w:tc>
        <w:tc>
          <w:tcPr>
            <w:tcW w:w="585" w:type="dxa"/>
            <w:tcMar>
              <w:top w:type="dxa" w:w="60"/>
              <w:left w:type="dxa" w:w="120"/>
              <w:bottom w:type="dxa" w:w="30"/>
              <w:right w:type="dxa" w:w="120"/>
            </w:tcMar>
          </w:tcPr>
          <w:p/>
        </w:tc>
        <w:tc>
          <w:tcPr>
            <w:tcW w:w="585" w:type="dxa"/>
            <w:tcMar>
              <w:top w:type="dxa" w:w="60"/>
              <w:left w:type="dxa" w:w="120"/>
              <w:bottom w:type="dxa" w:w="30"/>
              <w:right w:type="dxa" w:w="120"/>
            </w:tcMar>
          </w:tcPr>
          <w:p/>
        </w:tc>
        <w:tc>
          <w:tcPr>
            <w:tcW w:w="585" w:type="dxa"/>
            <w:tcMar>
              <w:top w:type="dxa" w:w="60"/>
              <w:left w:type="dxa" w:w="120"/>
              <w:bottom w:type="dxa" w:w="30"/>
              <w:right w:type="dxa" w:w="120"/>
            </w:tcMar>
          </w:tcP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C=1</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C=2</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C=5</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C=8</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C=10</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C=1</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C=2</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C=5</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C=8</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C=10</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LeNet</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MNIST</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准确率（Acc.）</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96.0</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89.7</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93.7</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91.9</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89.3</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88.1</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91.7</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94.1</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93.6</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89.5</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89.3</w:t>
            </w:r>
          </w:p>
        </w:tc>
      </w:tr>
      <w:tr>
        <w:tc>
          <w:tcPr>
            <w:tcW w:w="585" w:type="dxa"/>
            <w:tcMar>
              <w:top w:type="dxa" w:w="60"/>
              <w:left w:type="dxa" w:w="120"/>
              <w:bottom w:type="dxa" w:w="30"/>
              <w:right w:type="dxa" w:w="120"/>
            </w:tcMar>
          </w:tcPr>
          <w:p/>
        </w:tc>
        <w:tc>
          <w:tcPr>
            <w:tcW w:w="585" w:type="dxa"/>
            <w:tcMar>
              <w:top w:type="dxa" w:w="60"/>
              <w:left w:type="dxa" w:w="120"/>
              <w:bottom w:type="dxa" w:w="30"/>
              <w:right w:type="dxa" w:w="120"/>
            </w:tcMar>
          </w:tcP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感知图像块相似度（LPIPS）</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0.0676</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0.6773</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0.6533</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0.6731</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0.6913</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0.6730</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0.6673</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0.6599</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0.6842</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0.6621</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0.6738</w:t>
            </w:r>
          </w:p>
        </w:tc>
      </w:tr>
      <w:tr>
        <w:tc>
          <w:tcPr>
            <w:tcW w:w="585" w:type="dxa"/>
            <w:tcMar>
              <w:top w:type="dxa" w:w="60"/>
              <w:left w:type="dxa" w:w="120"/>
              <w:bottom w:type="dxa" w:w="30"/>
              <w:right w:type="dxa" w:w="120"/>
            </w:tcMar>
          </w:tcP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CIFAR10</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准确率（Acc.）</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55.1</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36.4</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40.5</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35.2</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37.2</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35.2</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39.1</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45.7</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44.2</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38.6</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34.7</w:t>
            </w:r>
          </w:p>
        </w:tc>
      </w:tr>
      <w:tr>
        <w:tc>
          <w:tcPr>
            <w:tcW w:w="585" w:type="dxa"/>
            <w:tcMar>
              <w:top w:type="dxa" w:w="60"/>
              <w:left w:type="dxa" w:w="120"/>
              <w:bottom w:type="dxa" w:w="30"/>
              <w:right w:type="dxa" w:w="120"/>
            </w:tcMar>
          </w:tcPr>
          <w:p/>
        </w:tc>
        <w:tc>
          <w:tcPr>
            <w:tcW w:w="585" w:type="dxa"/>
            <w:tcMar>
              <w:top w:type="dxa" w:w="60"/>
              <w:left w:type="dxa" w:w="120"/>
              <w:bottom w:type="dxa" w:w="30"/>
              <w:right w:type="dxa" w:w="120"/>
            </w:tcMar>
          </w:tcP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感知图像块相似度（LPIPS）</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0.1290</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0.3216</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0.3247</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0.3192</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0.3198</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0.3257</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0.3155</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0.3149</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0.3292</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0.3433</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0.3052</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ResNet18</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CIFAR10</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准确率（Acc.）</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76.8</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35.3</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35.5</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33.0</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32.2</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30.9</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30.9</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28.2</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30.2</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32.6</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33.0</w:t>
            </w:r>
          </w:p>
        </w:tc>
      </w:tr>
      <w:tr>
        <w:tc>
          <w:tcPr>
            <w:tcW w:w="585" w:type="dxa"/>
            <w:tcMar>
              <w:top w:type="dxa" w:w="60"/>
              <w:left w:type="dxa" w:w="120"/>
              <w:bottom w:type="dxa" w:w="30"/>
              <w:right w:type="dxa" w:w="120"/>
            </w:tcMar>
          </w:tcPr>
          <w:p/>
        </w:tc>
        <w:tc>
          <w:tcPr>
            <w:tcW w:w="585" w:type="dxa"/>
            <w:tcMar>
              <w:top w:type="dxa" w:w="60"/>
              <w:left w:type="dxa" w:w="120"/>
              <w:bottom w:type="dxa" w:w="30"/>
              <w:right w:type="dxa" w:w="120"/>
            </w:tcMar>
          </w:tcP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感知图像块相似度（LPIPS）</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0.0821</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0.3155</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0.3215</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0.3298</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0.3185</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0.3139</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0.3203</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0.3219</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0.3108</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0.3286</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0.3201</w:t>
            </w:r>
          </w:p>
        </w:tc>
      </w:tr>
      <w:tr>
        <w:tc>
          <w:tcPr>
            <w:tcW w:w="585" w:type="dxa"/>
            <w:tcMar>
              <w:top w:type="dxa" w:w="60"/>
              <w:left w:type="dxa" w:w="120"/>
              <w:bottom w:type="dxa" w:w="30"/>
              <w:right w:type="dxa" w:w="120"/>
            </w:tcMar>
          </w:tcP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CIFAR100</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准确率（Acc.）</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38.7</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5.2</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5.4</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5.4</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5.4</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5.7</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8.3</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8.4</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8.7</w:t>
            </w:r>
          </w:p>
        </w:tc>
      </w:tr>
      <w:tr>
        <w:tc>
          <w:tcPr>
            <w:tcW w:w="585" w:type="dxa"/>
            <w:tcMar>
              <w:top w:type="dxa" w:w="60"/>
              <w:left w:type="dxa" w:w="120"/>
              <w:bottom w:type="dxa" w:w="30"/>
              <w:right w:type="dxa" w:w="120"/>
            </w:tcMar>
          </w:tcPr>
          <w:p/>
        </w:tc>
        <w:tc>
          <w:tcPr>
            <w:tcW w:w="585" w:type="dxa"/>
            <w:tcMar>
              <w:top w:type="dxa" w:w="60"/>
              <w:left w:type="dxa" w:w="120"/>
              <w:bottom w:type="dxa" w:w="30"/>
              <w:right w:type="dxa" w:w="120"/>
            </w:tcMar>
          </w:tcP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感知图像块相似度（LPIPS）</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0.0174</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0.3518</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0.3454</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0.3488</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0.3572</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0.3420</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0.3371</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0.3498</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0.3528</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0.3398</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0.3505</w:t>
            </w:r>
          </w:p>
        </w:tc>
      </w:tr>
      <w:tr>
        <w:tc>
          <w:tcPr>
            <w:tcW w:w="585" w:type="dxa"/>
            <w:tcMar>
              <w:top w:type="dxa" w:w="60"/>
              <w:left w:type="dxa" w:w="120"/>
              <w:bottom w:type="dxa" w:w="30"/>
              <w:right w:type="dxa" w:w="120"/>
            </w:tcMar>
          </w:tcP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ImageNet</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准确率（Acc.）</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18.1</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3.1</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w:t>
            </w:r>
          </w:p>
        </w:tc>
      </w:tr>
      <w:tr>
        <w:tc>
          <w:tcPr>
            <w:tcW w:w="585" w:type="dxa"/>
            <w:tcMar>
              <w:top w:type="dxa" w:w="60"/>
              <w:left w:type="dxa" w:w="120"/>
              <w:bottom w:type="dxa" w:w="30"/>
              <w:right w:type="dxa" w:w="120"/>
            </w:tcMar>
          </w:tcPr>
          <w:p/>
        </w:tc>
        <w:tc>
          <w:tcPr>
            <w:tcW w:w="585" w:type="dxa"/>
            <w:tcMar>
              <w:top w:type="dxa" w:w="60"/>
              <w:left w:type="dxa" w:w="120"/>
              <w:bottom w:type="dxa" w:w="30"/>
              <w:right w:type="dxa" w:w="120"/>
            </w:tcMar>
          </w:tcP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感知图像块相似度（LPIPS）</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0.0187</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0.3383</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0.3529</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0.3465</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0.3274</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0.3298</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0.3414</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0.3442</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0.3564</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0.3353</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0.3309</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ResNet34</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CIFAR10</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准确率（Acc.）</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72.4</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21.1</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25.2</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28.0</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29.1</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27.0</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22.1</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28.5</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26.0</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28.5</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29.6</w:t>
            </w:r>
          </w:p>
        </w:tc>
      </w:tr>
      <w:tr>
        <w:tc>
          <w:tcPr>
            <w:tcW w:w="585" w:type="dxa"/>
            <w:tcMar>
              <w:top w:type="dxa" w:w="60"/>
              <w:left w:type="dxa" w:w="120"/>
              <w:bottom w:type="dxa" w:w="30"/>
              <w:right w:type="dxa" w:w="120"/>
            </w:tcMar>
          </w:tcPr>
          <w:p/>
        </w:tc>
        <w:tc>
          <w:tcPr>
            <w:tcW w:w="585" w:type="dxa"/>
            <w:tcMar>
              <w:top w:type="dxa" w:w="60"/>
              <w:left w:type="dxa" w:w="120"/>
              <w:bottom w:type="dxa" w:w="30"/>
              <w:right w:type="dxa" w:w="120"/>
            </w:tcMar>
          </w:tcP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感知图像块相似度（LPIPS）</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0.0974</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0.3098</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0.3100</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0.3120</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0.3172</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0.3051</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0.3227</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0.3173</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0.3067</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0.2998</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0.3149</w:t>
            </w:r>
          </w:p>
        </w:tc>
      </w:tr>
      <w:tr>
        <w:tc>
          <w:tcPr>
            <w:tcW w:w="585" w:type="dxa"/>
            <w:tcMar>
              <w:top w:type="dxa" w:w="60"/>
              <w:left w:type="dxa" w:w="120"/>
              <w:bottom w:type="dxa" w:w="30"/>
              <w:right w:type="dxa" w:w="120"/>
            </w:tcMar>
          </w:tcP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CIFAR100</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准确率（Acc.）</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36.0</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r>
      <w:tr>
        <w:tc>
          <w:tcPr>
            <w:tcW w:w="585" w:type="dxa"/>
            <w:tcMar>
              <w:top w:type="dxa" w:w="60"/>
              <w:left w:type="dxa" w:w="120"/>
              <w:bottom w:type="dxa" w:w="30"/>
              <w:right w:type="dxa" w:w="120"/>
            </w:tcMar>
          </w:tcPr>
          <w:p/>
        </w:tc>
        <w:tc>
          <w:tcPr>
            <w:tcW w:w="585" w:type="dxa"/>
            <w:tcMar>
              <w:top w:type="dxa" w:w="60"/>
              <w:left w:type="dxa" w:w="120"/>
              <w:bottom w:type="dxa" w:w="30"/>
              <w:right w:type="dxa" w:w="120"/>
            </w:tcMar>
          </w:tcP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感知图像块相似度（LPIPS）</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0.0222</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0.3397</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0.3413</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0.3513</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0.3318</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0.3345</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0.3524</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0.3430</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0.3342</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0.3304</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0.3417</w:t>
            </w:r>
          </w:p>
        </w:tc>
      </w:tr>
      <w:tr>
        <w:tc>
          <w:tcPr>
            <w:tcW w:w="585" w:type="dxa"/>
            <w:tcMar>
              <w:top w:type="dxa" w:w="60"/>
              <w:left w:type="dxa" w:w="120"/>
              <w:bottom w:type="dxa" w:w="30"/>
              <w:right w:type="dxa" w:w="120"/>
            </w:tcMar>
          </w:tcP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GTSRB</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准确率（Acc.）</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96.3</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9.4</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9.0</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7.8</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7.1</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11.2</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10.6</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9.3</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7.3</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5.7</w:t>
            </w:r>
          </w:p>
        </w:tc>
      </w:tr>
      <w:tr>
        <w:tc>
          <w:tcPr>
            <w:tcW w:w="585" w:type="dxa"/>
            <w:tcMar>
              <w:top w:type="dxa" w:w="60"/>
              <w:left w:type="dxa" w:w="120"/>
              <w:bottom w:type="dxa" w:w="30"/>
              <w:right w:type="dxa" w:w="120"/>
            </w:tcMar>
          </w:tcPr>
          <w:p/>
        </w:tc>
        <w:tc>
          <w:tcPr>
            <w:tcW w:w="585" w:type="dxa"/>
            <w:tcMar>
              <w:top w:type="dxa" w:w="60"/>
              <w:left w:type="dxa" w:w="120"/>
              <w:bottom w:type="dxa" w:w="30"/>
              <w:right w:type="dxa" w:w="120"/>
            </w:tcMar>
          </w:tcP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感知图像块相似度（LPIPS）</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0.0337</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0.3406</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0.3411</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0.3548</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0.3487</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0.3497</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0.3397</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0.3523</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0.3493</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0.3486</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0.3471</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VGG</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CIFAR10</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准确率（Acc.）</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81.2</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28.0</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23.7</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21.1</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18.9</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18.8</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32.1</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28.5</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21.5</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18.8</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18.5</w:t>
            </w:r>
          </w:p>
        </w:tc>
      </w:tr>
      <w:tr>
        <w:tc>
          <w:tcPr>
            <w:tcW w:w="585" w:type="dxa"/>
            <w:tcMar>
              <w:top w:type="dxa" w:w="60"/>
              <w:left w:type="dxa" w:w="120"/>
              <w:bottom w:type="dxa" w:w="30"/>
              <w:right w:type="dxa" w:w="120"/>
            </w:tcMar>
          </w:tcPr>
          <w:p/>
        </w:tc>
        <w:tc>
          <w:tcPr>
            <w:tcW w:w="585" w:type="dxa"/>
            <w:tcMar>
              <w:top w:type="dxa" w:w="60"/>
              <w:left w:type="dxa" w:w="120"/>
              <w:bottom w:type="dxa" w:w="30"/>
              <w:right w:type="dxa" w:w="120"/>
            </w:tcMar>
          </w:tcP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感知图像块相似度（LPIPS）</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0.1636</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0.2920</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0.3024</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0.2985</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0.3027</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0.2932</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0.3020</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0.3003</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0.2994</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0.3033</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0.3028</w:t>
            </w:r>
          </w:p>
        </w:tc>
      </w:tr>
      <w:tr>
        <w:tc>
          <w:tcPr>
            <w:tcW w:w="585" w:type="dxa"/>
            <w:tcMar>
              <w:top w:type="dxa" w:w="60"/>
              <w:left w:type="dxa" w:w="120"/>
              <w:bottom w:type="dxa" w:w="30"/>
              <w:right w:type="dxa" w:w="120"/>
            </w:tcMar>
          </w:tcP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CIFAR100</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准确率（Acc.）</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45.7</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w:t>
            </w:r>
          </w:p>
        </w:tc>
      </w:tr>
      <w:tr>
        <w:tc>
          <w:tcPr>
            <w:tcW w:w="585" w:type="dxa"/>
            <w:tcMar>
              <w:top w:type="dxa" w:w="60"/>
              <w:left w:type="dxa" w:w="120"/>
              <w:bottom w:type="dxa" w:w="30"/>
              <w:right w:type="dxa" w:w="120"/>
            </w:tcMar>
          </w:tcPr>
          <w:p/>
        </w:tc>
        <w:tc>
          <w:tcPr>
            <w:tcW w:w="585" w:type="dxa"/>
            <w:tcMar>
              <w:top w:type="dxa" w:w="60"/>
              <w:left w:type="dxa" w:w="120"/>
              <w:bottom w:type="dxa" w:w="30"/>
              <w:right w:type="dxa" w:w="120"/>
            </w:tcMar>
          </w:tcP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感知图像块相似度（LPIPS）</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0.1255</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0.3330</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0.3395</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0.3435</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0.3434</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0.3325</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0.3293</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0.3380</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0.3417</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0.3314</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0.3273</w:t>
            </w:r>
          </w:p>
        </w:tc>
      </w:tr>
    </w:tbl>
    <w:p>
      <w:pPr>
        <w:spacing w:before="120" w:after="120" w:line="288" w:lineRule="auto"/>
        <w:ind w:left="0"/>
        <w:jc w:val="left"/>
      </w:pPr>
      <w:r>
        <w:rPr>
          <w:rFonts w:eastAsia="等线" w:ascii="Arial" w:cs="Arial" w:hAnsi="Arial"/>
          <w:sz w:val="22"/>
        </w:rPr>
        <w:t>注：[4]残差网络（ResNets）中采用的批量归一化，导致同一批次内的样本相互依赖，因此无法提供残差网络的隐私分析。</w:t>
      </w:r>
    </w:p>
    <w:p>
      <w:pPr>
        <w:spacing w:before="120" w:after="120" w:line="288" w:lineRule="auto"/>
        <w:ind w:left="0"/>
        <w:jc w:val="left"/>
      </w:pPr>
      <w:r>
        <w:rPr>
          <w:rFonts w:eastAsia="等线" w:ascii="Arial" w:cs="Arial" w:hAnsi="Arial"/>
          <w:sz w:val="22"/>
        </w:rPr>
        <w:t>基于表8，表9展示了裁剪范数C=1时，不同噪声系数下，本地差分隐私训练ResNet-18模型和CIFAR10数据集的进一步准确率结果。需注意，由于残差网络中采用了批量归一化，无法计算此时的隐私预算。结果表明，准确率不会随噪声水平的变化发生显著波动，且添加较低水平的噪声不一定能提高训练性能——例如，噪声系数σ=0.1时的测试准确率，略低于噪声系数σ=0.5时的准确率。若将差分隐私融入联邦学习，进一步研究这一现象将是未来值得探索的方向。</w:t>
      </w:r>
    </w:p>
    <w:p>
      <w:pPr>
        <w:spacing w:before="120" w:after="120" w:line="288" w:lineRule="auto"/>
        <w:ind w:left="0"/>
        <w:jc w:val="left"/>
      </w:pPr>
      <w:r>
        <w:rPr>
          <w:rFonts w:eastAsia="等线" w:ascii="Arial" w:cs="Arial" w:hAnsi="Arial"/>
          <w:b w:val="true"/>
          <w:sz w:val="22"/>
        </w:rPr>
        <w:t>表9 不同噪声系数下，本地差分隐私训练ResNet-18模型和CIFAR10数据集的测试准确率</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5"/>
        <w:gridCol w:w="825"/>
        <w:gridCol w:w="825"/>
        <w:gridCol w:w="825"/>
        <w:gridCol w:w="825"/>
        <w:gridCol w:w="825"/>
        <w:gridCol w:w="825"/>
        <w:gridCol w:w="825"/>
        <w:gridCol w:w="825"/>
        <w:gridCol w:w="825"/>
      </w:tblGrid>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裁剪策略</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噪声系数σ</w:t>
            </w:r>
          </w:p>
        </w:tc>
        <w:tc>
          <w:tcPr>
            <w:tcW w:w="825" w:type="dxa"/>
            <w:tcMar>
              <w:top w:type="dxa" w:w="60"/>
              <w:left w:type="dxa" w:w="120"/>
              <w:bottom w:type="dxa" w:w="30"/>
              <w:right w:type="dxa" w:w="120"/>
            </w:tcMar>
          </w:tcPr>
          <w:p/>
        </w:tc>
        <w:tc>
          <w:tcPr>
            <w:tcW w:w="825" w:type="dxa"/>
            <w:tcMar>
              <w:top w:type="dxa" w:w="60"/>
              <w:left w:type="dxa" w:w="120"/>
              <w:bottom w:type="dxa" w:w="30"/>
              <w:right w:type="dxa" w:w="120"/>
            </w:tcMar>
          </w:tcPr>
          <w:p/>
        </w:tc>
        <w:tc>
          <w:tcPr>
            <w:tcW w:w="825" w:type="dxa"/>
            <w:tcMar>
              <w:top w:type="dxa" w:w="60"/>
              <w:left w:type="dxa" w:w="120"/>
              <w:bottom w:type="dxa" w:w="30"/>
              <w:right w:type="dxa" w:w="120"/>
            </w:tcMar>
          </w:tcPr>
          <w:p/>
        </w:tc>
        <w:tc>
          <w:tcPr>
            <w:tcW w:w="825" w:type="dxa"/>
            <w:tcMar>
              <w:top w:type="dxa" w:w="60"/>
              <w:left w:type="dxa" w:w="120"/>
              <w:bottom w:type="dxa" w:w="30"/>
              <w:right w:type="dxa" w:w="120"/>
            </w:tcMar>
          </w:tcPr>
          <w:p/>
        </w:tc>
        <w:tc>
          <w:tcPr>
            <w:tcW w:w="825" w:type="dxa"/>
            <w:tcMar>
              <w:top w:type="dxa" w:w="60"/>
              <w:left w:type="dxa" w:w="120"/>
              <w:bottom w:type="dxa" w:w="30"/>
              <w:right w:type="dxa" w:w="120"/>
            </w:tcMar>
          </w:tcPr>
          <w:p/>
        </w:tc>
        <w:tc>
          <w:tcPr>
            <w:tcW w:w="825" w:type="dxa"/>
            <w:tcMar>
              <w:top w:type="dxa" w:w="60"/>
              <w:left w:type="dxa" w:w="120"/>
              <w:bottom w:type="dxa" w:w="30"/>
              <w:right w:type="dxa" w:w="120"/>
            </w:tcMar>
          </w:tcPr>
          <w:p/>
        </w:tc>
        <w:tc>
          <w:tcPr>
            <w:tcW w:w="825" w:type="dxa"/>
            <w:tcMar>
              <w:top w:type="dxa" w:w="60"/>
              <w:left w:type="dxa" w:w="120"/>
              <w:bottom w:type="dxa" w:w="30"/>
              <w:right w:type="dxa" w:w="120"/>
            </w:tcMar>
          </w:tcPr>
          <w:p/>
        </w:tc>
        <w:tc>
          <w:tcPr>
            <w:tcW w:w="825" w:type="dxa"/>
            <w:tcMar>
              <w:top w:type="dxa" w:w="60"/>
              <w:left w:type="dxa" w:w="120"/>
              <w:bottom w:type="dxa" w:w="30"/>
              <w:right w:type="dxa" w:w="120"/>
            </w:tcMar>
          </w:tcPr>
          <w:p/>
        </w:tc>
      </w:tr>
      <w:tr>
        <w:tc>
          <w:tcPr>
            <w:tcW w:w="825" w:type="dxa"/>
            <w:tcMar>
              <w:top w:type="dxa" w:w="60"/>
              <w:left w:type="dxa" w:w="120"/>
              <w:bottom w:type="dxa" w:w="30"/>
              <w:right w:type="dxa" w:w="120"/>
            </w:tcMar>
          </w:tcP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0.4</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本地差分隐私+逐层裁剪（LDP+LClip）</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42</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33</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33</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本地差分隐私+扁平裁剪（LDP+FClip）</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27</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28</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r>
    </w:tbl>
    <w:p>
      <w:pPr>
        <w:pStyle w:val="3"/>
        <w:spacing w:before="300" w:after="120" w:line="288" w:lineRule="auto"/>
        <w:ind w:left="0"/>
        <w:jc w:val="left"/>
        <w:outlineLvl w:val="2"/>
      </w:pPr>
      <w:bookmarkStart w:name="heading_14" w:id="14"/>
      <w:r>
        <w:rPr>
          <w:rFonts w:eastAsia="等线" w:ascii="Arial" w:cs="Arial" w:hAnsi="Arial"/>
          <w:b w:val="true"/>
          <w:sz w:val="30"/>
        </w:rPr>
        <w:t>4.4 中央差分隐私与本地差分隐私的对比讨论</w:t>
      </w:r>
      <w:bookmarkEnd w:id="14"/>
    </w:p>
    <w:p>
      <w:pPr>
        <w:spacing w:before="120" w:after="120" w:line="288" w:lineRule="auto"/>
        <w:ind w:left="0"/>
        <w:jc w:val="left"/>
      </w:pPr>
      <w:r>
        <w:rPr>
          <w:rFonts w:eastAsia="等线" w:ascii="Arial" w:cs="Arial" w:hAnsi="Arial"/>
          <w:sz w:val="22"/>
        </w:rPr>
        <w:t>基于上述实验结果，本节从抵御梯度泄露攻击的有效性和对模型效用的影响两个方面，对比中央差分隐私和本地差分隐私。</w:t>
      </w:r>
    </w:p>
    <w:p>
      <w:pPr>
        <w:spacing w:before="120" w:after="120" w:line="288" w:lineRule="auto"/>
        <w:ind w:left="0"/>
        <w:jc w:val="left"/>
      </w:pPr>
      <w:r>
        <w:rPr>
          <w:rFonts w:eastAsia="等线" w:ascii="Arial" w:cs="Arial" w:hAnsi="Arial"/>
          <w:sz w:val="22"/>
        </w:rPr>
        <w:t>在隐私保护有效性方面，本地差分隐私通过在将梯度共享给服务器前添加噪声，无疑为训练样本提供了更强的隐私保障。从图4（中央差分隐私保护下的重构图像）和图6（本地差分隐私保护下的重构图像）可以看出，中央差分隐私保护下的重构图像泄露的信息更多。尽管如此，采用逐层裁剪的中央差分隐私仍能有效保护原始图像中的敏感数据，因为重构图像模糊不清，难以区分。然而，采用扁平裁剪的中央差分隐私无法用于防御联邦学习中的梯度泄露攻击——表4和表6证实，采用合理裁剪范数时，中央差分隐私+扁平裁剪无法保护训练样本；而采用极小裁剪范数时，会完全破坏模型训练过程。</w:t>
      </w:r>
    </w:p>
    <w:p>
      <w:pPr>
        <w:spacing w:before="120" w:after="120" w:line="288" w:lineRule="auto"/>
        <w:ind w:left="0"/>
        <w:jc w:val="left"/>
      </w:pPr>
      <w:r>
        <w:rPr>
          <w:rFonts w:eastAsia="等线" w:ascii="Arial" w:cs="Arial" w:hAnsi="Arial"/>
          <w:sz w:val="22"/>
        </w:rPr>
        <w:t>在模型效用方面，浅层模型训练中，采用逐层裁剪的中央差分隐私和本地差分隐私均能实现效用与隐私的良好平衡。但当隐私参数设置足以抵御梯度泄露攻击时，中央差分隐私的模型效用优于本地差分隐私。如表6和表8所示，训练LeNet模型时，中央差分隐私可实现与无差分隐私场景相当的高模型准确率，而本地差分隐私会导致模型准确率显著下降。这是因为本地差分隐私必须考虑每个个体的最坏情况隐私泄露，因此需要添加更多噪声以保证隐私；而中央差分隐私在聚合后添加噪声，相同隐私保护级别下，通常可实现更高的模型准确率。</w:t>
      </w:r>
    </w:p>
    <w:p>
      <w:pPr>
        <w:pStyle w:val="2"/>
        <w:spacing w:before="320" w:after="120" w:line="288" w:lineRule="auto"/>
        <w:ind w:left="0"/>
        <w:jc w:val="left"/>
        <w:outlineLvl w:val="1"/>
      </w:pPr>
      <w:bookmarkStart w:name="heading_15" w:id="15"/>
      <w:r>
        <w:rPr>
          <w:rFonts w:eastAsia="等线" w:ascii="Arial" w:cs="Arial" w:hAnsi="Arial"/>
          <w:b w:val="true"/>
          <w:sz w:val="32"/>
        </w:rPr>
        <w:t>五、针对差分隐私联邦学习的改进型梯度泄露攻击</w:t>
      </w:r>
      <w:bookmarkEnd w:id="15"/>
    </w:p>
    <w:p>
      <w:pPr>
        <w:spacing w:before="120" w:after="120" w:line="288" w:lineRule="auto"/>
        <w:ind w:left="0"/>
        <w:jc w:val="left"/>
      </w:pPr>
      <w:r>
        <w:rPr>
          <w:rFonts w:eastAsia="等线" w:ascii="Arial" w:cs="Arial" w:hAnsi="Arial"/>
          <w:sz w:val="22"/>
        </w:rPr>
        <w:t>本节针对差分隐私联邦学习，提出一种将裁剪操作融入现有攻击策略的靶向攻击方法，并通过实验验证该方法的有效性。</w:t>
      </w:r>
    </w:p>
    <w:p>
      <w:pPr>
        <w:pStyle w:val="3"/>
        <w:spacing w:before="300" w:after="120" w:line="288" w:lineRule="auto"/>
        <w:ind w:left="0"/>
        <w:jc w:val="left"/>
        <w:outlineLvl w:val="2"/>
      </w:pPr>
      <w:bookmarkStart w:name="heading_16" w:id="16"/>
      <w:r>
        <w:rPr>
          <w:rFonts w:eastAsia="等线" w:ascii="Arial" w:cs="Arial" w:hAnsi="Arial"/>
          <w:b w:val="true"/>
          <w:sz w:val="30"/>
        </w:rPr>
        <w:t>5.1 攻击方法</w:t>
      </w:r>
      <w:bookmarkEnd w:id="16"/>
    </w:p>
    <w:p>
      <w:pPr>
        <w:spacing w:before="120" w:after="120" w:line="288" w:lineRule="auto"/>
        <w:ind w:left="0"/>
        <w:jc w:val="left"/>
      </w:pPr>
      <w:r>
        <w:rPr>
          <w:rFonts w:eastAsia="等线" w:ascii="Arial" w:cs="Arial" w:hAnsi="Arial"/>
          <w:sz w:val="22"/>
        </w:rPr>
        <w:t>前文已证实，中央差分隐私和本地差分隐私中的裁剪操作，对抵御梯度泄露攻击起到了重要作用。直观而言，裁剪操作导致梯度空间发生偏移，从而误导现有的基于优化的攻击。为增强攻击效果，抑制裁剪操作提供的防御效果，本文提出将裁剪过程融入攻击，以修正搜索空间。具体而言，本文旨在求解以下优化问题：</w:t>
      </w:r>
    </w:p>
    <w:p>
      <w:pPr>
        <w:spacing w:before="120" w:after="120" w:line="288" w:lineRule="auto"/>
        <w:ind w:left="0"/>
        <w:jc w:val="left"/>
      </w:pPr>
      <w:r>
        <w:rPr>
          <w:rFonts w:eastAsia="等线" w:ascii="Arial" w:cs="Arial" w:hAnsi="Arial"/>
          <w:sz w:val="22"/>
        </w:rPr>
      </w:r>
      <m:oMath>
        <m:r>
          <w:rPr>
            <w:rFonts w:ascii="Cambria Math" w:hAnsi="Cambria Math"/>
          </w:rPr>
          <w:t>arg \operatorname* {min}_{x}\mathcal {D}(\tilde {g},\mathcal {T}(\nabla _{\theta }\mathcal {L}_{\theta }(x,y)))+\alpha TV(x) \quad(4)</w:t>
        </m:r>
      </m:oMath>
    </w:p>
    <w:p>
      <w:pPr>
        <w:spacing w:before="120" w:after="120" w:line="288" w:lineRule="auto"/>
        <w:ind w:left="0"/>
        <w:jc w:val="left"/>
      </w:pPr>
      <w:r>
        <w:rPr>
          <w:rFonts w:eastAsia="等线" w:ascii="Arial" w:cs="Arial" w:hAnsi="Arial"/>
          <w:sz w:val="22"/>
        </w:rPr>
        <w:t>其中，</w:t>
      </w:r>
      <w:r>
        <w:rPr>
          <w:rFonts w:eastAsia="等线" w:ascii="Arial" w:cs="Arial" w:hAnsi="Arial"/>
          <w:sz w:val="22"/>
        </w:rPr>
      </w:r>
      <m:oMath xmlns:mml="http://www.w3.org/1998/Math/MathML">
        <m:acc>
          <m:accPr>
            <m:chr m:val="̃"/>
          </m:accPr>
          <m:e>
            <m:r>
              <w:rPr>
                <w:rFonts w:ascii="Cambria Math" w:hAnsi="Cambria Math"/>
              </w:rPr>
              <m:t>g</m:t>
            </m:r>
          </m:e>
        </m:acc>
      </m:oMath>
      <w:r>
        <w:rPr>
          <w:rFonts w:eastAsia="等线" w:ascii="Arial" w:cs="Arial" w:hAnsi="Arial"/>
          <w:sz w:val="22"/>
        </w:rPr>
        <w:t>表示目标客户端共享的混淆梯度，</w:t>
      </w:r>
      <w:r>
        <w:rPr>
          <w:rFonts w:eastAsia="等线" w:ascii="Arial" w:cs="Arial" w:hAnsi="Arial"/>
          <w:sz w:val="22"/>
        </w:rPr>
      </w:r>
      <m:oMath xmlns:mml="http://www.w3.org/1998/Math/MathML">
        <m:sSub>
          <m:e>
            <m:r>
              <w:rPr>
                <w:rFonts w:ascii="Cambria Math" w:hAnsi="Cambria Math"/>
              </w:rPr>
              <m:t>∇</m:t>
            </m:r>
          </m:e>
          <m:sub>
            <m:r>
              <w:rPr>
                <w:rFonts w:ascii="Cambria Math" w:hAnsi="Cambria Math"/>
              </w:rPr>
              <m:t>θ</m:t>
            </m:r>
          </m:sub>
        </m:sSub>
        <m:sSub>
          <m:e>
            <m:r>
              <w:rPr>
                <w:rFonts w:ascii="Cambria Math" w:hAnsi="Cambria Math"/>
              </w:rPr>
              <m:t>L</m:t>
            </m:r>
          </m:e>
          <m:sub>
            <m:r>
              <w:rPr>
                <w:rFonts w:ascii="Cambria Math" w:hAnsi="Cambria Math"/>
              </w:rPr>
              <m:t>θ</m:t>
            </m:r>
          </m:sub>
        </m:sSub>
        <m:d>
          <m:dPr>
            <m:sepChr m:val=","/>
          </m:dPr>
          <m:e>
            <m:r>
              <w:rPr>
                <w:rFonts w:ascii="Cambria Math" w:hAnsi="Cambria Math"/>
              </w:rPr>
              <m:t>x</m:t>
            </m:r>
          </m:e>
          <m:e>
            <m:r>
              <w:rPr>
                <w:rFonts w:ascii="Cambria Math" w:hAnsi="Cambria Math"/>
              </w:rPr>
              <m:t>y</m:t>
            </m:r>
          </m:e>
        </m:d>
      </m:oMath>
      <w:r>
        <w:rPr>
          <w:rFonts w:eastAsia="等线" w:ascii="Arial" w:cs="Arial" w:hAnsi="Arial"/>
          <w:sz w:val="22"/>
        </w:rPr>
        <w:t>表示从虚假样本(x, y)中导出的虚假梯度（x为重构结果，y表示其标签，可提前推断[65]）；</w:t>
      </w:r>
      <w:r>
        <w:rPr>
          <w:rFonts w:eastAsia="等线" w:ascii="Arial" w:cs="Arial" w:hAnsi="Arial"/>
          <w:sz w:val="22"/>
        </w:rPr>
      </w:r>
      <m:oMath xmlns:mml="http://www.w3.org/1998/Math/MathML">
        <m:r>
          <m:rPr>
            <m:scr m:val="script"/>
          </m:rPr>
          <w:rPr>
            <w:rFonts w:ascii="Cambria Math" w:hAnsi="Cambria Math"/>
          </w:rPr>
          <m:t>T</m:t>
        </m:r>
        <m:d>
          <m:dPr>
            <m:sepChr m:val=","/>
          </m:dPr>
          <m:e>
            <m:r>
              <w:rPr>
                <w:rFonts w:ascii="Cambria Math" w:hAnsi="Cambria Math"/>
              </w:rPr>
              <m:t>⋅</m:t>
            </m:r>
          </m:e>
        </m:d>
      </m:oMath>
      <w:r>
        <w:rPr>
          <w:rFonts w:eastAsia="等线" w:ascii="Arial" w:cs="Arial" w:hAnsi="Arial"/>
          <w:sz w:val="22"/>
        </w:rPr>
        <w:t>为转换函数，执行与目标客户端相同的裁剪操作；</w:t>
      </w:r>
      <w:r>
        <w:rPr>
          <w:rFonts w:eastAsia="等线" w:ascii="Arial" w:cs="Arial" w:hAnsi="Arial"/>
          <w:sz w:val="22"/>
        </w:rPr>
      </w:r>
      <m:oMath xmlns:mml="http://www.w3.org/1998/Math/MathML">
        <m:r>
          <m:rPr>
            <m:scr m:val="script"/>
          </m:rPr>
          <w:rPr>
            <w:rFonts w:ascii="Cambria Math" w:hAnsi="Cambria Math"/>
          </w:rPr>
          <m:t>D</m:t>
        </m:r>
        <m:d>
          <m:dPr>
            <m:sepChr m:val=","/>
          </m:dPr>
          <m:e>
            <m:sSub>
              <m:e>
                <m:r>
                  <w:rPr>
                    <w:rFonts w:ascii="Cambria Math" w:hAnsi="Cambria Math"/>
                  </w:rPr>
                  <m:t>g</m:t>
                </m:r>
              </m:e>
              <m:sub>
                <m:r>
                  <w:rPr>
                    <w:rFonts w:ascii="Cambria Math" w:hAnsi="Cambria Math"/>
                  </w:rPr>
                  <m:t>1</m:t>
                </m:r>
              </m:sub>
            </m:sSub>
          </m:e>
          <m:e>
            <m:sSub>
              <m:e>
                <m:r>
                  <w:rPr>
                    <w:rFonts w:ascii="Cambria Math" w:hAnsi="Cambria Math"/>
                  </w:rPr>
                  <m:t>g</m:t>
                </m:r>
              </m:e>
              <m:sub>
                <m:r>
                  <w:rPr>
                    <w:rFonts w:ascii="Cambria Math" w:hAnsi="Cambria Math"/>
                  </w:rPr>
                  <m:t>2</m:t>
                </m:r>
              </m:sub>
            </m:sSub>
          </m:e>
        </m:d>
      </m:oMath>
      <w:r>
        <w:rPr>
          <w:rFonts w:eastAsia="等线" w:ascii="Arial" w:cs="Arial" w:hAnsi="Arial"/>
          <w:sz w:val="22"/>
        </w:rPr>
        <w:t>用于计算两个梯度的距离，可为欧氏距离</w:t>
      </w:r>
      <w:r>
        <w:rPr>
          <w:rFonts w:eastAsia="等线" w:ascii="Arial" w:cs="Arial" w:hAnsi="Arial"/>
          <w:sz w:val="22"/>
        </w:rPr>
      </w:r>
      <m:oMath xmlns:mml="http://www.w3.org/1998/Math/MathML">
        <m:sSup>
          <m:e>
            <m:d>
              <m:dPr>
                <m:begChr m:val="|"/>
                <m:sepChr m:val=","/>
                <m:endChr m:val="|"/>
              </m:dPr>
              <m:e>
                <m:sSub>
                  <m:e>
                    <m:r>
                      <w:rPr>
                        <w:rFonts w:ascii="Cambria Math" w:hAnsi="Cambria Math"/>
                      </w:rPr>
                      <m:t>g</m:t>
                    </m:r>
                  </m:e>
                  <m:sub>
                    <m:r>
                      <w:rPr>
                        <w:rFonts w:ascii="Cambria Math" w:hAnsi="Cambria Math"/>
                      </w:rPr>
                      <m:t>1</m:t>
                    </m:r>
                  </m:sub>
                </m:sSub>
                <m:r>
                  <w:rPr>
                    <w:rFonts w:ascii="Cambria Math" w:hAnsi="Cambria Math"/>
                  </w:rPr>
                  <m:t>-</m:t>
                </m:r>
                <m:sSub>
                  <m:e>
                    <m:r>
                      <w:rPr>
                        <w:rFonts w:ascii="Cambria Math" w:hAnsi="Cambria Math"/>
                      </w:rPr>
                      <m:t>g</m:t>
                    </m:r>
                  </m:e>
                  <m:sub>
                    <m:r>
                      <w:rPr>
                        <w:rFonts w:ascii="Cambria Math" w:hAnsi="Cambria Math"/>
                      </w:rPr>
                      <m:t>2</m:t>
                    </m:r>
                  </m:sub>
                </m:sSub>
              </m:e>
            </m:d>
          </m:e>
          <m:sup>
            <m:r>
              <w:rPr>
                <w:rFonts w:ascii="Cambria Math" w:hAnsi="Cambria Math"/>
              </w:rPr>
              <m:t>2</m:t>
            </m:r>
          </m:sup>
        </m:sSup>
      </m:oMath>
      <w:r>
        <w:rPr>
          <w:rFonts w:eastAsia="等线" w:ascii="Arial" w:cs="Arial" w:hAnsi="Arial"/>
          <w:sz w:val="22"/>
        </w:rPr>
        <w:t>或余弦距离</w:t>
      </w:r>
      <w:r>
        <w:rPr>
          <w:rFonts w:eastAsia="等线" w:ascii="Arial" w:cs="Arial" w:hAnsi="Arial"/>
          <w:sz w:val="22"/>
        </w:rPr>
      </w:r>
      <m:oMath xmlns:mml="http://www.w3.org/1998/Math/MathML">
        <m:r>
          <w:rPr>
            <w:rFonts w:ascii="Cambria Math" w:hAnsi="Cambria Math"/>
          </w:rPr>
          <m:t>1-&lt;</m:t>
        </m:r>
        <m:sSub>
          <m:e>
            <m:r>
              <w:rPr>
                <w:rFonts w:ascii="Cambria Math" w:hAnsi="Cambria Math"/>
              </w:rPr>
              <m:t>g</m:t>
            </m:r>
          </m:e>
          <m:sub>
            <m:r>
              <w:rPr>
                <w:rFonts w:ascii="Cambria Math" w:hAnsi="Cambria Math"/>
              </w:rPr>
              <m:t>1</m:t>
            </m:r>
          </m:sub>
        </m:sSub>
        <m:r>
          <w:rPr>
            <w:rFonts w:ascii="Cambria Math" w:hAnsi="Cambria Math"/>
          </w:rPr>
          <m:t>,</m:t>
        </m:r>
        <m:sSub>
          <m:e>
            <m:r>
              <w:rPr>
                <w:rFonts w:ascii="Cambria Math" w:hAnsi="Cambria Math"/>
              </w:rPr>
              <m:t>g</m:t>
            </m:r>
          </m:e>
          <m:sub>
            <m:r>
              <w:rPr>
                <w:rFonts w:ascii="Cambria Math" w:hAnsi="Cambria Math"/>
              </w:rPr>
              <m:t>2</m:t>
            </m:r>
          </m:sub>
        </m:sSub>
        <m:r>
          <w:rPr>
            <w:rFonts w:ascii="Cambria Math" w:hAnsi="Cambria Math"/>
          </w:rPr>
          <m:t>&gt;/</m:t>
        </m:r>
        <m:d>
          <m:dPr>
            <m:sepChr m:val=","/>
          </m:dPr>
          <m:e>
            <m:d>
              <m:dPr>
                <m:begChr m:val="|"/>
                <m:sepChr m:val=","/>
                <m:endChr m:val="|"/>
              </m:dPr>
              <m:e>
                <m:sSub>
                  <m:e>
                    <m:r>
                      <w:rPr>
                        <w:rFonts w:ascii="Cambria Math" w:hAnsi="Cambria Math"/>
                      </w:rPr>
                      <m:t>g</m:t>
                    </m:r>
                  </m:e>
                  <m:sub>
                    <m:r>
                      <w:rPr>
                        <w:rFonts w:ascii="Cambria Math" w:hAnsi="Cambria Math"/>
                      </w:rPr>
                      <m:t>1</m:t>
                    </m:r>
                  </m:sub>
                </m:sSub>
              </m:e>
            </m:d>
            <m:d>
              <m:dPr>
                <m:begChr m:val="|"/>
                <m:sepChr m:val=","/>
                <m:endChr m:val="|"/>
              </m:dPr>
              <m:e>
                <m:sSub>
                  <m:e>
                    <m:r>
                      <w:rPr>
                        <w:rFonts w:ascii="Cambria Math" w:hAnsi="Cambria Math"/>
                      </w:rPr>
                      <m:t>g</m:t>
                    </m:r>
                  </m:e>
                  <m:sub>
                    <m:r>
                      <w:rPr>
                        <w:rFonts w:ascii="Cambria Math" w:hAnsi="Cambria Math"/>
                      </w:rPr>
                      <m:t>2</m:t>
                    </m:r>
                  </m:sub>
                </m:sSub>
              </m:e>
            </m:d>
          </m:e>
        </m:d>
      </m:oMath>
      <w:r>
        <w:rPr>
          <w:rFonts w:eastAsia="等线" w:ascii="Arial" w:cs="Arial" w:hAnsi="Arial"/>
          <w:sz w:val="22"/>
        </w:rPr>
        <w:t>；</w:t>
      </w:r>
      <w:r>
        <w:rPr>
          <w:rFonts w:eastAsia="等线" w:ascii="Arial" w:cs="Arial" w:hAnsi="Arial"/>
          <w:sz w:val="22"/>
        </w:rPr>
      </w:r>
      <m:oMath xmlns:mml="http://www.w3.org/1998/Math/MathML">
        <m:r>
          <w:rPr>
            <w:rFonts w:ascii="Cambria Math" w:hAnsi="Cambria Math"/>
          </w:rPr>
          <m:t>TV</m:t>
        </m:r>
        <m:d>
          <m:dPr>
            <m:sepChr m:val=","/>
          </m:dPr>
          <m:e>
            <m:r>
              <w:rPr>
                <w:rFonts w:ascii="Cambria Math" w:hAnsi="Cambria Math"/>
              </w:rPr>
              <m:t>x</m:t>
            </m:r>
          </m:e>
        </m:d>
      </m:oMath>
      <w:r>
        <w:rPr>
          <w:rFonts w:eastAsia="等线" w:ascii="Arial" w:cs="Arial" w:hAnsi="Arial"/>
          <w:sz w:val="22"/>
        </w:rPr>
        <w:t>为总变差，作为整个优化问题的简单图像先验。通过优化公式(4)，攻击者可最小化原始混淆梯度与裁剪后的虚假梯度之间的距离，实现更优的数据重构。经过多次优化迭代后，可通过Adam[66]求解该优化问题。下文将详细描述逐层裁剪和扁平裁剪的转换过程，并展示所提攻击方法在采用逐层裁剪的中央差分隐私和本地差分隐私上的实验结果。</w:t>
      </w:r>
    </w:p>
    <w:p>
      <w:pPr>
        <w:spacing w:before="120" w:after="120" w:line="288" w:lineRule="auto"/>
        <w:ind w:left="0"/>
        <w:jc w:val="left"/>
      </w:pPr>
      <w:r>
        <w:rPr>
          <w:rFonts w:eastAsia="等线" w:ascii="Arial" w:cs="Arial" w:hAnsi="Arial"/>
          <w:b w:val="true"/>
          <w:sz w:val="22"/>
        </w:rPr>
        <w:t>转换过程</w:t>
      </w:r>
      <w:r>
        <w:rPr>
          <w:rFonts w:eastAsia="等线" w:ascii="Arial" w:cs="Arial" w:hAnsi="Arial"/>
          <w:sz w:val="22"/>
        </w:rPr>
        <w:t>：转换过程的核心思想是推断客户端使用的裁剪范数，然后采用相同的裁剪策略执行裁剪操作。其基本思路是，梯度的l₂范数受裁剪范数约束，因此可从观察到的梯度的l₂范数中估计裁剪范数。</w:t>
      </w:r>
    </w:p>
    <w:p>
      <w:pPr>
        <w:numPr>
          <w:numId w:val="10"/>
        </w:numPr>
        <w:spacing w:before="120" w:after="120" w:line="288" w:lineRule="auto"/>
        <w:ind w:left="0"/>
        <w:jc w:val="left"/>
      </w:pPr>
      <w:r>
        <w:rPr>
          <w:rFonts w:eastAsia="等线" w:ascii="Arial" w:cs="Arial" w:hAnsi="Arial"/>
          <w:sz w:val="22"/>
        </w:rPr>
        <w:t>逐层裁剪（LClip）：对于这种逐层裁剪方式，攻击者可计算观察到的每一层梯度的l₂范数，将最大值作为裁剪范数；随后，在攻击过程中，攻击者采用逐层裁剪，在每次优化迭代中裁剪</w:t>
      </w:r>
      <w:r>
        <w:rPr>
          <w:rFonts w:eastAsia="等线" w:ascii="Arial" w:cs="Arial" w:hAnsi="Arial"/>
          <w:sz w:val="22"/>
        </w:rPr>
      </w:r>
      <m:oMath xmlns:mml="http://www.w3.org/1998/Math/MathML">
        <m:sSub>
          <m:e>
            <m:r>
              <w:rPr>
                <w:rFonts w:ascii="Cambria Math" w:hAnsi="Cambria Math"/>
              </w:rPr>
              <m:t>∇</m:t>
            </m:r>
          </m:e>
          <m:sub>
            <m:r>
              <w:rPr>
                <w:rFonts w:ascii="Cambria Math" w:hAnsi="Cambria Math"/>
              </w:rPr>
              <m:t>θ</m:t>
            </m:r>
          </m:sub>
        </m:sSub>
        <m:sSub>
          <m:e>
            <m:r>
              <w:rPr>
                <w:rFonts w:ascii="Cambria Math" w:hAnsi="Cambria Math"/>
              </w:rPr>
              <m:t>L</m:t>
            </m:r>
          </m:e>
          <m:sub>
            <m:r>
              <w:rPr>
                <w:rFonts w:ascii="Cambria Math" w:hAnsi="Cambria Math"/>
              </w:rPr>
              <m:t>θ</m:t>
            </m:r>
          </m:sub>
        </m:sSub>
        <m:d>
          <m:dPr>
            <m:sepChr m:val=","/>
          </m:dPr>
          <m:e>
            <m:r>
              <w:rPr>
                <w:rFonts w:ascii="Cambria Math" w:hAnsi="Cambria Math"/>
              </w:rPr>
              <m:t>x</m:t>
            </m:r>
          </m:e>
          <m:e>
            <m:r>
              <w:rPr>
                <w:rFonts w:ascii="Cambria Math" w:hAnsi="Cambria Math"/>
              </w:rPr>
              <m:t>y</m:t>
            </m:r>
          </m:e>
        </m:d>
      </m:oMath>
      <w:r>
        <w:rPr>
          <w:rFonts w:eastAsia="等线" w:ascii="Arial" w:cs="Arial" w:hAnsi="Arial"/>
          <w:sz w:val="22"/>
        </w:rPr>
        <w:t>。</w:t>
      </w:r>
    </w:p>
    <w:p>
      <w:pPr>
        <w:numPr>
          <w:numId w:val="11"/>
        </w:numPr>
        <w:spacing w:before="120" w:after="120" w:line="288" w:lineRule="auto"/>
        <w:ind w:left="0"/>
        <w:jc w:val="left"/>
      </w:pPr>
      <w:r>
        <w:rPr>
          <w:rFonts w:eastAsia="等线" w:ascii="Arial" w:cs="Arial" w:hAnsi="Arial"/>
          <w:sz w:val="22"/>
        </w:rPr>
        <w:t>扁平裁剪（FClip）：对于这种模型级裁剪方式，攻击者将观察到的梯度的l₂范数作为裁剪范数，然后对当前重构结果导出的梯度执行扁平裁剪过程。</w:t>
      </w:r>
    </w:p>
    <w:p>
      <w:pPr>
        <w:spacing w:before="120" w:after="120" w:line="288" w:lineRule="auto"/>
        <w:ind w:left="0"/>
        <w:jc w:val="left"/>
      </w:pPr>
      <w:r>
        <w:rPr>
          <w:rFonts w:eastAsia="等线" w:ascii="Arial" w:cs="Arial" w:hAnsi="Arial"/>
          <w:sz w:val="22"/>
        </w:rPr>
        <w:t>需注意，所提转换过程可融入任何现有的基于优化的梯度泄露攻击。实验中，本文选择InvertGrad作为基准，通过余弦距离衡量梯度相似度，对公式(4)进行约束。</w:t>
      </w:r>
    </w:p>
    <w:p>
      <w:pPr>
        <w:pStyle w:val="3"/>
        <w:spacing w:before="300" w:after="120" w:line="288" w:lineRule="auto"/>
        <w:ind w:left="0"/>
        <w:jc w:val="left"/>
        <w:outlineLvl w:val="2"/>
      </w:pPr>
      <w:bookmarkStart w:name="heading_17" w:id="17"/>
      <w:r>
        <w:rPr>
          <w:rFonts w:eastAsia="等线" w:ascii="Arial" w:cs="Arial" w:hAnsi="Arial"/>
          <w:b w:val="true"/>
          <w:sz w:val="30"/>
        </w:rPr>
        <w:t>5.2 实验结果</w:t>
      </w:r>
      <w:bookmarkEnd w:id="17"/>
    </w:p>
    <w:p>
      <w:pPr>
        <w:spacing w:before="120" w:after="120" w:line="288" w:lineRule="auto"/>
        <w:ind w:left="0"/>
        <w:jc w:val="left"/>
      </w:pPr>
      <w:r>
        <w:rPr>
          <w:rFonts w:eastAsia="等线" w:ascii="Arial" w:cs="Arial" w:hAnsi="Arial"/>
          <w:b w:val="true"/>
          <w:sz w:val="22"/>
        </w:rPr>
        <w:t>所提攻击破解中央差分隐私的保护</w:t>
      </w:r>
      <w:r>
        <w:rPr>
          <w:rFonts w:eastAsia="等线" w:ascii="Arial" w:cs="Arial" w:hAnsi="Arial"/>
          <w:sz w:val="22"/>
        </w:rPr>
        <w:t>：由于采用扁平裁剪的中央差分隐私的防御效果有限，本文重点攻击采用逐层裁剪的中央差分隐私。表10对比了所提攻击方法与InvertGrad在采用逐层裁剪的中央差分隐私联邦学习上的性能。结果表明，所提攻击在重构质量上优于InvertGrad，且当客户端以小批次大小训练浅层模型时，可完全恢复原始图像；即使增大批次大小，重构图像仍具有可识别性。感知图像块相似度（LPIPS）值越小，表示图像重构效果越好，隐私泄露越严重。本文重构结果中的最大感知图像块相似度（最坏情况）为0.0910，表明原始图像存在信息泄露。</w:t>
      </w:r>
    </w:p>
    <w:p>
      <w:pPr>
        <w:spacing w:before="120" w:after="120" w:line="288" w:lineRule="auto"/>
        <w:ind w:left="0"/>
        <w:jc w:val="left"/>
      </w:pPr>
      <w:r>
        <w:rPr>
          <w:rFonts w:eastAsia="等线" w:ascii="Arial" w:cs="Arial" w:hAnsi="Arial"/>
          <w:sz w:val="22"/>
        </w:rPr>
        <w:t>为证明所提攻击（即添加裁剪转换）可稳定实现更优的攻击性能，如表11所示，本文在InvertGrad与所提攻击（即InvertGrad+裁剪）之间进行了10次独立对比实验，展示了感知图像块相似度的均值、标准差（std.）、最佳值、中值和最坏值。结论与表10一致，所提攻击破解了中央差分隐私的保护。</w:t>
      </w:r>
    </w:p>
    <w:p>
      <w:pPr>
        <w:spacing w:before="120" w:after="120" w:line="288" w:lineRule="auto"/>
        <w:ind w:left="0"/>
        <w:jc w:val="left"/>
      </w:pPr>
      <w:r>
        <w:rPr>
          <w:rFonts w:eastAsia="等线" w:ascii="Arial" w:cs="Arial" w:hAnsi="Arial"/>
          <w:sz w:val="22"/>
        </w:rPr>
        <w:t>图8表明，所提转换过程可融入任何现有的基于优化的梯度泄露攻击，并显著提升其在中央差分隐私保护下的图像重构性能。此外，通过展示不同批次大小下，基于批次平均梯度的重构结果，本文验证了所提攻击在批量重构上的有效性，同时也展示了InvertGrad的优越性。DLG和iDLG在批量重构中表现较差；当目标模型（即LeNet）相对简单且缺乏批量归一化信息时，GI的性能显著下降。</w:t>
      </w:r>
    </w:p>
    <w:p>
      <w:pPr>
        <w:spacing w:before="120" w:after="120" w:line="288" w:lineRule="auto"/>
        <w:ind w:left="0"/>
        <w:jc w:val="left"/>
      </w:pPr>
      <w:r>
        <w:rPr>
          <w:rFonts w:eastAsia="等线" w:ascii="Arial" w:cs="Arial" w:hAnsi="Arial"/>
          <w:b w:val="true"/>
          <w:sz w:val="22"/>
        </w:rPr>
        <w:t>表10 不同批次大小、模型和数据集下，InvertGrad与所提攻击在采用逐层裁剪的中央差分隐私联邦学习上的定量重构结果对比（感知图像块相似度LPIPS↓）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35"/>
        <w:gridCol w:w="1035"/>
        <w:gridCol w:w="1035"/>
        <w:gridCol w:w="1035"/>
        <w:gridCol w:w="1035"/>
        <w:gridCol w:w="1035"/>
        <w:gridCol w:w="1035"/>
        <w:gridCol w:w="1035"/>
      </w:tblGrid>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批次大小</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攻击方法</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LeNet</w:t>
            </w:r>
          </w:p>
        </w:tc>
        <w:tc>
          <w:tcPr>
            <w:tcW w:w="1035" w:type="dxa"/>
            <w:tcMar>
              <w:top w:type="dxa" w:w="60"/>
              <w:left w:type="dxa" w:w="120"/>
              <w:bottom w:type="dxa" w:w="30"/>
              <w:right w:type="dxa" w:w="120"/>
            </w:tcMar>
          </w:tcP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ResNet-18</w:t>
            </w:r>
          </w:p>
        </w:tc>
        <w:tc>
          <w:tcPr>
            <w:tcW w:w="1035" w:type="dxa"/>
            <w:tcMar>
              <w:top w:type="dxa" w:w="60"/>
              <w:left w:type="dxa" w:w="120"/>
              <w:bottom w:type="dxa" w:w="30"/>
              <w:right w:type="dxa" w:w="120"/>
            </w:tcMar>
          </w:tcP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ResNet-34</w:t>
            </w:r>
          </w:p>
        </w:tc>
        <w:tc>
          <w:tcPr>
            <w:tcW w:w="1035" w:type="dxa"/>
            <w:tcMar>
              <w:top w:type="dxa" w:w="60"/>
              <w:left w:type="dxa" w:w="120"/>
              <w:bottom w:type="dxa" w:w="30"/>
              <w:right w:type="dxa" w:w="120"/>
            </w:tcMar>
          </w:tcPr>
          <w:p/>
        </w:tc>
      </w:tr>
      <w:tr>
        <w:tc>
          <w:tcPr>
            <w:tcW w:w="1035" w:type="dxa"/>
            <w:tcMar>
              <w:top w:type="dxa" w:w="60"/>
              <w:left w:type="dxa" w:w="120"/>
              <w:bottom w:type="dxa" w:w="30"/>
              <w:right w:type="dxa" w:w="120"/>
            </w:tcMar>
          </w:tcPr>
          <w:p/>
        </w:tc>
        <w:tc>
          <w:tcPr>
            <w:tcW w:w="1035" w:type="dxa"/>
            <w:tcMar>
              <w:top w:type="dxa" w:w="60"/>
              <w:left w:type="dxa" w:w="120"/>
              <w:bottom w:type="dxa" w:w="30"/>
              <w:right w:type="dxa" w:w="120"/>
            </w:tcMar>
          </w:tcP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MNIST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CIFAR10</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CIFAR10</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CIFAR100</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CIFAR10</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CIFAR100</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B=1</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InvertGrad</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0.4292</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0.2526</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0.1832</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0.0727</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0.1814</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0.0713</w:t>
            </w:r>
          </w:p>
        </w:tc>
      </w:tr>
      <w:tr>
        <w:tc>
          <w:tcPr>
            <w:tcW w:w="1035" w:type="dxa"/>
            <w:tcMar>
              <w:top w:type="dxa" w:w="60"/>
              <w:left w:type="dxa" w:w="120"/>
              <w:bottom w:type="dxa" w:w="30"/>
              <w:right w:type="dxa" w:w="120"/>
            </w:tcMar>
          </w:tcP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InvertGrad + 裁剪</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0.0000</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0.0000</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0.0297</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0.0247</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0.0225</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0.0053</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B=4</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InvertGrad</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0.6721</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0.2773</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0.1245</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0.1346</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0.1046</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0.1398</w:t>
            </w:r>
          </w:p>
        </w:tc>
      </w:tr>
      <w:tr>
        <w:tc>
          <w:tcPr>
            <w:tcW w:w="1035" w:type="dxa"/>
            <w:tcMar>
              <w:top w:type="dxa" w:w="60"/>
              <w:left w:type="dxa" w:w="120"/>
              <w:bottom w:type="dxa" w:w="30"/>
              <w:right w:type="dxa" w:w="120"/>
            </w:tcMar>
          </w:tcP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InvertGrad + 裁剪</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0.0000</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0.0074</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0.0323</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0.0735</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0.0658</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0.0468</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B=8</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InvertGrad</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0.5809</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0.2825</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0.0964</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0.1439</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0.1036</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0.1548</w:t>
            </w:r>
          </w:p>
        </w:tc>
      </w:tr>
      <w:tr>
        <w:tc>
          <w:tcPr>
            <w:tcW w:w="1035" w:type="dxa"/>
            <w:tcMar>
              <w:top w:type="dxa" w:w="60"/>
              <w:left w:type="dxa" w:w="120"/>
              <w:bottom w:type="dxa" w:w="30"/>
              <w:right w:type="dxa" w:w="120"/>
            </w:tcMar>
          </w:tcP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InvertGrad + 裁剪</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0.0071</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0.0195</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0.0497</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0.0910</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0.0556</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0.0801</w:t>
            </w:r>
          </w:p>
        </w:tc>
      </w:tr>
    </w:tbl>
    <w:p>
      <w:pPr>
        <w:spacing w:before="120" w:after="120" w:line="288" w:lineRule="auto"/>
        <w:ind w:left="0"/>
        <w:jc w:val="left"/>
      </w:pPr>
      <w:r>
        <w:rPr>
          <w:rFonts w:eastAsia="等线" w:ascii="Arial" w:cs="Arial" w:hAnsi="Arial"/>
          <w:sz w:val="22"/>
        </w:rPr>
        <w:t>注：加粗字体表示完全恢复原始图像的结果，下划线字体表示所提攻击的最坏情况结果。</w:t>
      </w:r>
    </w:p>
    <w:p>
      <w:pPr>
        <w:spacing w:before="120" w:after="120" w:line="288" w:lineRule="auto"/>
        <w:ind w:left="0"/>
        <w:jc w:val="left"/>
      </w:pPr>
      <w:r>
        <w:rPr>
          <w:rFonts w:eastAsia="等线" w:ascii="Arial" w:cs="Arial" w:hAnsi="Arial"/>
          <w:b w:val="true"/>
          <w:sz w:val="22"/>
        </w:rPr>
        <w:t>图8 采用逐层裁剪的中央差分隐私防御下，LeNet模型和CIFAR10数据集训练中，四种基于优化的梯度泄露攻击在攻击过程中添加裁剪转换前后的视觉重构结果对比。</w:t>
      </w:r>
    </w:p>
    <w:p>
      <w:pPr>
        <w:spacing w:before="120" w:after="120" w:line="288" w:lineRule="auto"/>
        <w:ind w:left="0"/>
        <w:jc w:val="left"/>
      </w:pPr>
      <w:r>
        <w:rPr>
          <w:rFonts w:eastAsia="等线" w:ascii="Arial" w:cs="Arial" w:hAnsi="Arial"/>
          <w:b w:val="true"/>
          <w:sz w:val="22"/>
        </w:rPr>
        <w:t>所提攻击削弱本地差分隐私的保护</w:t>
      </w:r>
      <w:r>
        <w:rPr>
          <w:rFonts w:eastAsia="等线" w:ascii="Arial" w:cs="Arial" w:hAnsi="Arial"/>
          <w:sz w:val="22"/>
        </w:rPr>
        <w:t>：本地差分隐私联邦学习中，由于梯度添加了噪声，基于观察到的混淆梯度，确实无法估计精确的裁剪范数。然而，为评估所提攻击方法的有效性，本文仍选择基于近似裁剪范数，将裁剪转换融入攻击过程。考虑到逐层裁剪的有效性，本文继续评估所提攻击在采用逐层裁剪的本地差分隐私上的性能。</w:t>
      </w:r>
    </w:p>
    <w:p>
      <w:pPr>
        <w:spacing w:before="120" w:after="120" w:line="288" w:lineRule="auto"/>
        <w:ind w:left="0"/>
        <w:jc w:val="left"/>
      </w:pPr>
      <w:r>
        <w:rPr>
          <w:rFonts w:eastAsia="等线" w:ascii="Arial" w:cs="Arial" w:hAnsi="Arial"/>
          <w:sz w:val="22"/>
        </w:rPr>
        <w:t>图9展示了InvertGrad与所提攻击方法在本地差分隐私联邦学习上的对比结果。结果表明，当本地差分隐私添加的噪声极小时（Cσ&lt;1e-2），所提攻击可恢复原始图像；而当Cσ=1e-5时，InvertGrad已被防御。这表明，即使基于近似裁剪范数，添加裁剪操作也能有效提升原始InvertGrad在中央差分隐私和本地差分隐私上的性能。然而，实际应用中，本地差分隐私仍有效——因为过小的噪声意味着极大的隐私预算：当C=10、Cσ=0.01时，σ=0.001，导致隐私预算ε=3193，这在差分隐私文献中是不合理的。由于批次大小为1时，已难以攻击本地差分隐私，因此本文不再像评估中央差分隐私那样，进一步探索更大批次大小下的攻击能力。</w:t>
      </w:r>
    </w:p>
    <w:p>
      <w:pPr>
        <w:spacing w:before="120" w:after="120" w:line="288" w:lineRule="auto"/>
        <w:ind w:left="0"/>
        <w:jc w:val="left"/>
      </w:pPr>
      <w:r>
        <w:rPr>
          <w:rFonts w:eastAsia="等线" w:ascii="Arial" w:cs="Arial" w:hAnsi="Arial"/>
          <w:b w:val="true"/>
          <w:sz w:val="22"/>
        </w:rPr>
        <w:t>图9 采用逐层裁剪的本地差分隐私防御下（C=10），LeNet模型和CIFAR10、MNIST数据集训练中，InvertGrad与所提攻击的视觉重构结果对比。</w:t>
      </w:r>
    </w:p>
    <w:p>
      <w:pPr>
        <w:pStyle w:val="2"/>
        <w:spacing w:before="320" w:after="120" w:line="288" w:lineRule="auto"/>
        <w:ind w:left="0"/>
        <w:jc w:val="left"/>
        <w:outlineLvl w:val="1"/>
      </w:pPr>
      <w:bookmarkStart w:name="heading_18" w:id="18"/>
      <w:r>
        <w:rPr>
          <w:rFonts w:eastAsia="等线" w:ascii="Arial" w:cs="Arial" w:hAnsi="Arial"/>
          <w:b w:val="true"/>
          <w:sz w:val="32"/>
        </w:rPr>
        <w:t>六、讨论</w:t>
      </w:r>
      <w:bookmarkEnd w:id="18"/>
    </w:p>
    <w:p>
      <w:pPr>
        <w:pStyle w:val="3"/>
        <w:spacing w:before="300" w:after="120" w:line="288" w:lineRule="auto"/>
        <w:ind w:left="0"/>
        <w:jc w:val="left"/>
        <w:outlineLvl w:val="2"/>
      </w:pPr>
      <w:bookmarkStart w:name="heading_19" w:id="19"/>
      <w:r>
        <w:rPr>
          <w:rFonts w:eastAsia="等线" w:ascii="Arial" w:cs="Arial" w:hAnsi="Arial"/>
          <w:b w:val="true"/>
          <w:sz w:val="30"/>
        </w:rPr>
        <w:t>6.1 联邦学习中的</w:t>
      </w:r>
      <w:bookmarkEnd w:id="19"/>
    </w:p>
    <w:p>
      <w:pPr>
        <w:spacing w:before="120" w:after="120" w:line="288" w:lineRule="auto"/>
        <w:ind w:left="0"/>
        <w:jc w:val="left"/>
      </w:pPr>
      <w:r>
        <w:rPr>
          <w:rFonts w:eastAsia="等线" w:ascii="Arial" w:cs="Arial" w:hAnsi="Arial"/>
          <w:sz w:val="22"/>
        </w:rPr>
        <w:t>|（注：文档部分内容可能由 AI 生成)</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663745">
    <w:lvl>
      <w:start w:val="1"/>
      <w:numFmt w:val="decimal"/>
      <w:suff w:val="tab"/>
      <w:lvlText w:val="%1."/>
      <w:rPr>
        <w:color w:val="3370ff"/>
      </w:rPr>
    </w:lvl>
  </w:abstractNum>
  <w:abstractNum w:abstractNumId="663746">
    <w:lvl>
      <w:start w:val="2"/>
      <w:numFmt w:val="decimal"/>
      <w:suff w:val="tab"/>
      <w:lvlText w:val="%1."/>
      <w:rPr>
        <w:color w:val="3370ff"/>
      </w:rPr>
    </w:lvl>
  </w:abstractNum>
  <w:abstractNum w:abstractNumId="663747">
    <w:lvl>
      <w:start w:val="3"/>
      <w:numFmt w:val="decimal"/>
      <w:suff w:val="tab"/>
      <w:lvlText w:val="%1."/>
      <w:rPr>
        <w:color w:val="3370ff"/>
      </w:rPr>
    </w:lvl>
  </w:abstractNum>
  <w:abstractNum w:abstractNumId="663748">
    <w:lvl>
      <w:numFmt w:val="bullet"/>
      <w:suff w:val="tab"/>
      <w:lvlText w:val="•"/>
      <w:rPr>
        <w:color w:val="3370ff"/>
      </w:rPr>
    </w:lvl>
  </w:abstractNum>
  <w:abstractNum w:abstractNumId="663749">
    <w:lvl>
      <w:numFmt w:val="bullet"/>
      <w:suff w:val="tab"/>
      <w:lvlText w:val="•"/>
      <w:rPr>
        <w:color w:val="3370ff"/>
      </w:rPr>
    </w:lvl>
  </w:abstractNum>
  <w:abstractNum w:abstractNumId="663750">
    <w:lvl>
      <w:numFmt w:val="bullet"/>
      <w:suff w:val="tab"/>
      <w:lvlText w:val="•"/>
      <w:rPr>
        <w:color w:val="3370ff"/>
      </w:rPr>
    </w:lvl>
  </w:abstractNum>
  <w:abstractNum w:abstractNumId="663751">
    <w:lvl>
      <w:numFmt w:val="bullet"/>
      <w:suff w:val="tab"/>
      <w:lvlText w:val="•"/>
      <w:rPr>
        <w:color w:val="3370ff"/>
      </w:rPr>
    </w:lvl>
  </w:abstractNum>
  <w:abstractNum w:abstractNumId="663752">
    <w:lvl>
      <w:numFmt w:val="bullet"/>
      <w:suff w:val="tab"/>
      <w:lvlText w:val="•"/>
      <w:rPr>
        <w:color w:val="3370ff"/>
      </w:rPr>
    </w:lvl>
  </w:abstractNum>
  <w:abstractNum w:abstractNumId="663753">
    <w:lvl>
      <w:numFmt w:val="bullet"/>
      <w:suff w:val="tab"/>
      <w:lvlText w:val="•"/>
      <w:rPr>
        <w:color w:val="3370ff"/>
      </w:rPr>
    </w:lvl>
  </w:abstractNum>
  <w:abstractNum w:abstractNumId="663776">
    <w:lvl>
      <w:numFmt w:val="bullet"/>
      <w:suff w:val="tab"/>
      <w:lvlText w:val="•"/>
      <w:rPr>
        <w:color w:val="3370ff"/>
      </w:rPr>
    </w:lvl>
  </w:abstractNum>
  <w:abstractNum w:abstractNumId="663777">
    <w:lvl>
      <w:numFmt w:val="bullet"/>
      <w:suff w:val="tab"/>
      <w:lvlText w:val="•"/>
      <w:rPr>
        <w:color w:val="3370ff"/>
      </w:rPr>
    </w:lvl>
  </w:abstractNum>
  <w:num w:numId="1">
    <w:abstractNumId w:val="663745"/>
  </w:num>
  <w:num w:numId="2">
    <w:abstractNumId w:val="663746"/>
  </w:num>
  <w:num w:numId="3">
    <w:abstractNumId w:val="663747"/>
  </w:num>
  <w:num w:numId="4">
    <w:abstractNumId w:val="663748"/>
  </w:num>
  <w:num w:numId="5">
    <w:abstractNumId w:val="663749"/>
  </w:num>
  <w:num w:numId="6">
    <w:abstractNumId w:val="663750"/>
  </w:num>
  <w:num w:numId="7">
    <w:abstractNumId w:val="663751"/>
  </w:num>
  <w:num w:numId="8">
    <w:abstractNumId w:val="663752"/>
  </w:num>
  <w:num w:numId="9">
    <w:abstractNumId w:val="663753"/>
  </w:num>
  <w:num w:numId="10">
    <w:abstractNumId w:val="663776"/>
  </w:num>
  <w:num w:numId="11">
    <w:abstractNumId w:val="66377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2025-12-25T07:21:24Z</dcterms:created>
  <dc:creator>Apache POI</dc:creator>
</cp:coreProperties>
</file>