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6870" w:leader="none"/>
        </w:tabs>
        <w:spacing w:lineRule="auto" w:line="360"/>
        <w:rPr/>
      </w:pPr>
      <w:r>
        <w:rPr/>
      </w:r>
    </w:p>
    <w:p>
      <w:pPr>
        <w:pStyle w:val="Normal"/>
        <w:tabs>
          <w:tab w:val="clear" w:pos="420"/>
          <w:tab w:val="left" w:pos="6870" w:leader="none"/>
        </w:tabs>
        <w:spacing w:lineRule="auto" w:line="360"/>
        <w:rPr/>
      </w:pPr>
      <w:r>
        <w:rPr/>
      </w:r>
    </w:p>
    <w:p>
      <w:pPr>
        <w:pStyle w:val="Normal"/>
        <w:tabs>
          <w:tab w:val="clear" w:pos="420"/>
          <w:tab w:val="left" w:pos="6870" w:leader="none"/>
        </w:tabs>
        <w:spacing w:lineRule="auto" w:line="360"/>
        <w:rPr/>
      </w:pPr>
      <w:r>
        <w:rPr/>
      </w:r>
    </w:p>
    <w:p>
      <w:pPr>
        <w:pStyle w:val="Normal"/>
        <w:tabs>
          <w:tab w:val="clear" w:pos="420"/>
          <w:tab w:val="left" w:pos="6870" w:leader="none"/>
        </w:tabs>
        <w:spacing w:lineRule="auto" w:line="360"/>
        <w:rPr/>
      </w:pPr>
      <w:r>
        <w:rPr/>
      </w:r>
    </w:p>
    <w:p>
      <w:pPr>
        <w:pStyle w:val="Normal"/>
        <w:tabs>
          <w:tab w:val="clear" w:pos="420"/>
          <w:tab w:val="left" w:pos="6870" w:leader="none"/>
        </w:tabs>
        <w:spacing w:lineRule="auto" w:line="360"/>
        <w:jc w:val="center"/>
        <w:rPr>
          <w:rFonts w:ascii="黑体;SimHei" w:hAnsi="黑体;SimHei" w:eastAsia="黑体;SimHei"/>
          <w:sz w:val="44"/>
        </w:rPr>
      </w:pPr>
      <w:r>
        <w:rPr/>
        <w:object w:dxaOrig="5851" w:dyaOrig="1439">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35.75pt;height:57.6pt" filled="f" o:ole="">
            <v:imagedata r:id="rId3" o:title=""/>
          </v:shape>
          <o:OLEObject Type="Embed" ProgID="" ShapeID="ole_rId2" DrawAspect="Content" ObjectID="_1413242967" r:id="rId2"/>
        </w:object>
      </w:r>
    </w:p>
    <w:p>
      <w:pPr>
        <w:pStyle w:val="Normal"/>
        <w:tabs>
          <w:tab w:val="clear" w:pos="420"/>
          <w:tab w:val="left" w:pos="6870" w:leader="none"/>
        </w:tabs>
        <w:spacing w:lineRule="auto" w:line="360"/>
        <w:jc w:val="center"/>
        <w:rPr>
          <w:rFonts w:ascii="Times New Roman" w:hAnsi="Times New Roman" w:eastAsia="黑体;SimHei" w:cs="Times New Roman"/>
          <w:sz w:val="56"/>
          <w:szCs w:val="18"/>
        </w:rPr>
      </w:pPr>
      <w:r>
        <w:rPr>
          <w:rFonts w:ascii="Times New Roman" w:hAnsi="Times New Roman" w:cs="Times New Roman" w:eastAsia="黑体;SimHei"/>
          <w:sz w:val="56"/>
          <w:szCs w:val="18"/>
        </w:rPr>
        <w:t>《快递智能系统规划与设计》</w:t>
      </w:r>
    </w:p>
    <w:p>
      <w:pPr>
        <w:pStyle w:val="Normal"/>
        <w:tabs>
          <w:tab w:val="clear" w:pos="420"/>
          <w:tab w:val="left" w:pos="6870" w:leader="none"/>
        </w:tabs>
        <w:spacing w:lineRule="auto" w:line="360"/>
        <w:jc w:val="center"/>
        <w:rPr>
          <w:rFonts w:ascii="黑体;SimHei" w:hAnsi="黑体;SimHei" w:eastAsia="黑体;SimHei"/>
          <w:sz w:val="44"/>
        </w:rPr>
      </w:pPr>
      <w:r>
        <w:rPr>
          <w:rFonts w:ascii="Times New Roman" w:hAnsi="Times New Roman" w:cs="Times New Roman" w:eastAsia="黑体;SimHei"/>
          <w:sz w:val="72"/>
        </w:rPr>
        <w:t>课程报告</w:t>
      </w:r>
    </w:p>
    <w:p>
      <w:pPr>
        <w:pStyle w:val="Normal"/>
        <w:tabs>
          <w:tab w:val="clear" w:pos="420"/>
          <w:tab w:val="left" w:pos="6870" w:leader="none"/>
        </w:tabs>
        <w:spacing w:lineRule="auto" w:line="360"/>
        <w:rPr>
          <w:rFonts w:ascii="黑体;SimHei" w:hAnsi="黑体;SimHei" w:eastAsia="黑体;SimHei"/>
          <w:sz w:val="44"/>
        </w:rPr>
      </w:pPr>
      <w:r>
        <w:rPr>
          <w:rFonts w:eastAsia="黑体;SimHei" w:ascii="黑体;SimHei" w:hAnsi="黑体;SimHei"/>
          <w:sz w:val="44"/>
        </w:rPr>
      </w:r>
    </w:p>
    <w:p>
      <w:pPr>
        <w:pStyle w:val="Normal"/>
        <w:tabs>
          <w:tab w:val="clear" w:pos="420"/>
          <w:tab w:val="left" w:pos="6870" w:leader="none"/>
        </w:tabs>
        <w:spacing w:lineRule="auto" w:line="360"/>
        <w:ind w:firstLine="2160" w:end="0"/>
        <w:rPr>
          <w:rFonts w:ascii="黑体;SimHei" w:hAnsi="黑体;SimHei" w:eastAsia="黑体;SimHei"/>
          <w:sz w:val="44"/>
        </w:rPr>
      </w:pPr>
      <w:r>
        <w:rPr>
          <w:rFonts w:eastAsia="黑体;SimHei" w:ascii="黑体;SimHei" w:hAnsi="黑体;SimHei"/>
          <w:sz w:val="44"/>
        </w:rPr>
      </w:r>
    </w:p>
    <w:p>
      <w:pPr>
        <w:pStyle w:val="Normal"/>
        <w:tabs>
          <w:tab w:val="clear" w:pos="420"/>
          <w:tab w:val="left" w:pos="6870" w:leader="none"/>
        </w:tabs>
        <w:spacing w:lineRule="auto" w:line="360"/>
        <w:ind w:firstLine="1540" w:end="0"/>
        <w:rPr>
          <w:sz w:val="44"/>
          <w:u w:val="single"/>
        </w:rPr>
      </w:pPr>
      <w:r>
        <w:rPr>
          <w:rFonts w:ascii="黑体;SimHei" w:hAnsi="黑体;SimHei" w:eastAsia="黑体;SimHei"/>
          <w:sz w:val="44"/>
        </w:rPr>
        <w:t>题   目：</w:t>
      </w:r>
      <w:r>
        <w:rPr>
          <w:rFonts w:ascii="黑体;SimHei" w:hAnsi="黑体;SimHei" w:eastAsia="黑体;SimHei"/>
          <w:sz w:val="44"/>
          <w:u w:val="single"/>
        </w:rPr>
        <w:t xml:space="preserve">  快递企业物流大模型对比分析 </w:t>
      </w:r>
      <w:r>
        <w:rPr>
          <w:rFonts w:ascii="黑体;SimHei" w:hAnsi="黑体;SimHei" w:eastAsia="黑体;SimHei"/>
          <w:sz w:val="44"/>
          <w:u w:val="single"/>
        </w:rPr>
      </w:r>
      <w:r>
        <w:rPr>
          <w:rFonts w:eastAsia="黑体;SimHei" w:ascii="黑体;SimHei" w:hAnsi="黑体;SimHei"/>
          <w:sz w:val="44"/>
          <w:highlight w:val="yellow"/>
          <w:u w:val="single"/>
        </w:rPr>
      </w:r>
      <w:r>
        <w:rPr>
          <w:rFonts w:eastAsia="黑体;SimHei" w:ascii="黑体;SimHei" w:hAnsi="黑体;SimHei"/>
          <w:sz w:val="44"/>
          <w:u w:val="single"/>
        </w:rPr>
      </w:r>
    </w:p>
    <w:p>
      <w:pPr>
        <w:pStyle w:val="Normal"/>
        <w:tabs>
          <w:tab w:val="clear" w:pos="420"/>
          <w:tab w:val="left" w:pos="6870" w:leader="none"/>
        </w:tabs>
        <w:spacing w:lineRule="auto" w:line="360"/>
        <w:jc w:val="center"/>
        <w:rPr>
          <w:rFonts w:ascii="黑体;SimHei" w:hAnsi="黑体;SimHei" w:eastAsia="黑体;SimHei"/>
          <w:sz w:val="44"/>
          <w:u w:val="single"/>
        </w:rPr>
      </w:pPr>
      <w:r>
        <w:rPr>
          <w:sz w:val="44"/>
        </w:rPr>
        <w:t xml:space="preserve"> </w:t>
      </w:r>
    </w:p>
    <w:p>
      <w:pPr>
        <w:pStyle w:val="Normal"/>
        <w:tabs>
          <w:tab w:val="clear" w:pos="420"/>
          <w:tab w:val="left" w:pos="6870" w:leader="none"/>
        </w:tabs>
        <w:spacing w:lineRule="auto" w:line="360"/>
        <w:rPr>
          <w:rFonts w:ascii="黑体;SimHei" w:hAnsi="黑体;SimHei" w:eastAsia="黑体;SimHei"/>
          <w:sz w:val="44"/>
          <w:u w:val="single"/>
        </w:rPr>
      </w:pPr>
      <w:r>
        <w:rPr>
          <w:rFonts w:eastAsia="黑体;SimHei" w:ascii="黑体;SimHei" w:hAnsi="黑体;SimHei"/>
          <w:sz w:val="44"/>
          <w:u w:val="single"/>
        </w:rPr>
      </w:r>
    </w:p>
    <w:p>
      <w:pPr>
        <w:pStyle w:val="Normal"/>
        <w:tabs>
          <w:tab w:val="clear" w:pos="420"/>
          <w:tab w:val="left" w:pos="6870" w:leader="none"/>
        </w:tabs>
        <w:spacing w:lineRule="auto" w:line="360"/>
        <w:rPr>
          <w:rFonts w:ascii="黑体;SimHei" w:hAnsi="黑体;SimHei" w:eastAsia="黑体;SimHei"/>
          <w:sz w:val="44"/>
        </w:rPr>
      </w:pPr>
      <w:r>
        <w:rPr>
          <w:rFonts w:eastAsia="黑体;SimHei" w:ascii="黑体;SimHei" w:hAnsi="黑体;SimHei"/>
          <w:sz w:val="44"/>
        </w:rPr>
      </w:r>
    </w:p>
    <w:p>
      <w:pPr>
        <w:pStyle w:val="Normal"/>
        <w:tabs>
          <w:tab w:val="clear" w:pos="420"/>
          <w:tab w:val="left" w:pos="6870" w:leader="none"/>
        </w:tabs>
        <w:spacing w:lineRule="auto" w:line="360"/>
        <w:rPr>
          <w:rFonts w:ascii="黑体;SimHei" w:hAnsi="黑体;SimHei" w:eastAsia="黑体;SimHei"/>
          <w:sz w:val="44"/>
        </w:rPr>
      </w:pPr>
      <w:r>
        <w:rPr>
          <w:rFonts w:eastAsia="黑体;SimHei" w:ascii="黑体;SimHei" w:hAnsi="黑体;SimHei"/>
          <w:sz w:val="44"/>
        </w:rPr>
      </w:r>
    </w:p>
    <w:p>
      <w:pPr>
        <w:pStyle w:val="Normal"/>
        <w:tabs>
          <w:tab w:val="clear" w:pos="420"/>
          <w:tab w:val="left" w:pos="6870" w:leader="none"/>
        </w:tabs>
        <w:spacing w:lineRule="auto" w:line="360"/>
        <w:rPr>
          <w:rFonts w:ascii="黑体;SimHei" w:hAnsi="黑体;SimHei" w:eastAsia="黑体;SimHei"/>
          <w:sz w:val="44"/>
        </w:rPr>
      </w:pPr>
      <w:r>
        <w:rPr>
          <w:rFonts w:eastAsia="黑体;SimHei" w:ascii="黑体;SimHei" w:hAnsi="黑体;SimHei"/>
          <w:sz w:val="44"/>
        </w:rPr>
      </w:r>
    </w:p>
    <w:p>
      <w:pPr>
        <w:pStyle w:val="Normal"/>
        <w:tabs>
          <w:tab w:val="clear" w:pos="420"/>
          <w:tab w:val="left" w:pos="6870" w:leader="none"/>
        </w:tabs>
        <w:spacing w:lineRule="auto" w:line="360"/>
        <w:ind w:firstLine="1950" w:end="0"/>
        <w:rPr/>
      </w:pPr>
      <w:r>
        <w:rPr>
          <w:sz w:val="30"/>
        </w:rPr>
        <w:t xml:space="preserve">专          业 </w:t>
      </w:r>
      <w:r>
        <w:rPr>
          <w:sz w:val="30"/>
          <w:u w:val="single"/>
        </w:rPr>
        <w:t xml:space="preserve">   邮政管理        </w:t>
      </w:r>
      <w:r>
        <w:rPr>
          <w:sz w:val="30"/>
          <w:u w:val="single"/>
        </w:rPr>
      </w:r>
      <w:r>
        <w:rPr>
          <w:sz w:val="30"/>
          <w:u w:val="single"/>
        </w:rPr>
      </w:r>
    </w:p>
    <w:p>
      <w:pPr>
        <w:pStyle w:val="Normal"/>
        <w:tabs>
          <w:tab w:val="clear" w:pos="420"/>
          <w:tab w:val="left" w:pos="6870" w:leader="none"/>
        </w:tabs>
        <w:spacing w:lineRule="auto" w:line="360"/>
        <w:ind w:firstLine="1983" w:end="0"/>
        <w:rPr/>
      </w:pPr>
      <w:r>
        <w:rPr>
          <w:sz w:val="30"/>
        </w:rPr>
        <w:t xml:space="preserve">学 </w:t>
      </w:r>
      <w:r>
        <w:rPr>
          <w:sz w:val="30"/>
        </w:rPr>
        <w:t xml:space="preserve">       </w:t>
      </w:r>
      <w:r>
        <w:rPr>
          <w:sz w:val="30"/>
        </w:rPr>
        <w:t xml:space="preserve"> </w:t>
      </w:r>
      <w:r>
        <w:rPr>
          <w:sz w:val="30"/>
        </w:rPr>
        <w:t xml:space="preserve"> </w:t>
      </w:r>
      <w:r>
        <w:rPr>
          <w:sz w:val="30"/>
        </w:rPr>
        <w:t>号</w:t>
      </w:r>
      <w:r>
        <w:rPr>
          <w:sz w:val="30"/>
        </w:rPr>
        <w:t xml:space="preserve"> </w:t>
      </w:r>
      <w:r>
        <w:rPr>
          <w:sz w:val="30"/>
          <w:u w:val="single"/>
        </w:rPr>
        <w:t xml:space="preserve">   B23110508        </w:t>
      </w:r>
      <w:r>
        <w:rPr>
          <w:sz w:val="30"/>
          <w:u w:val="single"/>
        </w:rPr>
      </w:r>
      <w:r>
        <w:rPr>
          <w:sz w:val="30"/>
          <w:u w:val="single"/>
        </w:rPr>
      </w:r>
    </w:p>
    <w:p>
      <w:pPr>
        <w:pStyle w:val="Normal"/>
        <w:tabs>
          <w:tab w:val="clear" w:pos="420"/>
          <w:tab w:val="left" w:pos="6870" w:leader="none"/>
        </w:tabs>
        <w:spacing w:lineRule="auto" w:line="360"/>
        <w:ind w:firstLine="1983" w:end="0"/>
        <w:rPr/>
      </w:pPr>
      <w:r>
        <w:rPr>
          <w:sz w:val="30"/>
        </w:rPr>
        <w:t xml:space="preserve">姓 </w:t>
      </w:r>
      <w:r>
        <w:rPr>
          <w:sz w:val="30"/>
        </w:rPr>
        <w:t xml:space="preserve">         </w:t>
      </w:r>
      <w:r>
        <w:rPr>
          <w:sz w:val="30"/>
        </w:rPr>
        <w:t>名</w:t>
      </w:r>
      <w:r>
        <w:rPr>
          <w:sz w:val="30"/>
        </w:rPr>
        <w:t xml:space="preserve"> </w:t>
      </w:r>
      <w:r>
        <w:rPr>
          <w:sz w:val="30"/>
          <w:u w:val="single"/>
        </w:rPr>
        <w:t xml:space="preserve">   王烨        </w:t>
      </w:r>
      <w:r>
        <w:rPr>
          <w:sz w:val="30"/>
          <w:u w:val="single"/>
        </w:rPr>
      </w:r>
      <w:r>
        <w:rPr>
          <w:sz w:val="30"/>
          <w:u w:val="single"/>
        </w:rPr>
      </w:r>
      <w:r>
        <w:rPr>
          <w:sz w:val="30"/>
          <w:u w:val="single"/>
        </w:rPr>
      </w:r>
      <w:r>
        <w:rPr>
          <w:sz w:val="30"/>
          <w:u w:val="single"/>
        </w:rPr>
      </w:r>
    </w:p>
    <w:p>
      <w:pPr>
        <w:pStyle w:val="Normal"/>
        <w:tabs>
          <w:tab w:val="clear" w:pos="420"/>
          <w:tab w:val="left" w:pos="6870" w:leader="none"/>
        </w:tabs>
        <w:spacing w:lineRule="auto" w:line="360"/>
        <w:ind w:firstLine="1950" w:end="0"/>
        <w:rPr>
          <w:sz w:val="30"/>
          <w:u w:val="single"/>
        </w:rPr>
      </w:pPr>
      <w:r>
        <w:rPr>
          <w:sz w:val="30"/>
        </w:rPr>
        <w:t xml:space="preserve">指  导  教  师 </w:t>
      </w:r>
      <w:r>
        <w:rPr>
          <w:sz w:val="30"/>
          <w:u w:val="single"/>
        </w:rPr>
        <w:t xml:space="preserve">   王怿        </w:t>
      </w:r>
      <w:r>
        <w:rPr>
          <w:rFonts w:ascii="Times New Roman" w:hAnsi="Times New Roman" w:cs="Times New Roman" w:eastAsia="Times New Roman"/>
          <w:sz w:val="30"/>
          <w:u w:val="single"/>
        </w:rPr>
      </w:r>
      <w:r>
        <w:rPr>
          <w:rFonts w:ascii="Times New Roman" w:hAnsi="Times New Roman" w:cs="Times New Roman" w:eastAsia="Times New Roman"/>
          <w:sz w:val="30"/>
          <w:u w:val="single"/>
        </w:rPr>
      </w:r>
      <w:r>
        <w:rPr>
          <w:rFonts w:ascii="Times New Roman" w:hAnsi="Times New Roman" w:cs="Times New Roman" w:eastAsia="Times New Roman"/>
          <w:sz w:val="30"/>
          <w:u w:val="single"/>
        </w:rPr>
      </w:r>
    </w:p>
    <w:p>
      <w:pPr>
        <w:pStyle w:val="Normal"/>
        <w:tabs>
          <w:tab w:val="clear" w:pos="420"/>
          <w:tab w:val="left" w:pos="6870" w:leader="none"/>
        </w:tabs>
        <w:spacing w:lineRule="auto" w:line="360"/>
        <w:ind w:firstLine="1950" w:end="0"/>
        <w:rPr>
          <w:sz w:val="28"/>
          <w:u w:val="single"/>
        </w:rPr>
      </w:pPr>
      <w:r>
        <w:rPr>
          <w:sz w:val="30"/>
        </w:rPr>
        <w:t xml:space="preserve">日          期 </w:t>
      </w:r>
      <w:r>
        <w:rPr>
          <w:u w:val="single"/>
        </w:rPr>
        <w:t xml:space="preserve">   2026年10月29日        </w:t>
      </w:r>
      <w:r>
        <w:rPr>
          <w:u w:val="single"/>
        </w:rPr>
      </w:r>
    </w:p>
    <w:p>
      <w:pPr>
        <w:pStyle w:val="Normal"/>
        <w:tabs>
          <w:tab w:val="clear" w:pos="420"/>
          <w:tab w:val="left" w:pos="6870" w:leader="none"/>
        </w:tabs>
        <w:spacing w:lineRule="auto" w:line="360"/>
        <w:rPr>
          <w:sz w:val="30"/>
          <w:u w:val="single"/>
        </w:rPr>
      </w:pPr>
      <w:r>
        <w:rPr>
          <w:sz w:val="30"/>
          <w:u w:val="single"/>
        </w:rPr>
      </w:r>
    </w:p>
    <w:p>
      <w:pPr>
        <w:sectPr>
          <w:type w:val="nextPage"/>
          <w:pgSz w:w="11906" w:h="16838"/>
          <w:pgMar w:left="1418" w:right="1134" w:gutter="0" w:header="0" w:top="1418" w:footer="0" w:bottom="1134"/>
          <w:pgNumType w:fmt="decimal"/>
          <w:formProt w:val="false"/>
          <w:textDirection w:val="lrTb"/>
          <w:docGrid w:type="lines" w:linePitch="312" w:charSpace="0"/>
        </w:sectPr>
        <w:pStyle w:val="Normal"/>
        <w:tabs>
          <w:tab w:val="clear" w:pos="420"/>
          <w:tab w:val="left" w:pos="6870" w:leader="none"/>
        </w:tabs>
        <w:spacing w:lineRule="auto" w:line="360"/>
        <w:rPr>
          <w:sz w:val="30"/>
          <w:u w:val="single"/>
        </w:rPr>
      </w:pPr>
      <w:r>
        <w:rPr>
          <w:sz w:val="30"/>
          <w:u w:val="single"/>
        </w:rPr>
      </w:r>
    </w:p>
    <w:p>
      <w:pPr>
        <w:pStyle w:val="Normal"/>
        <w:spacing w:lineRule="auto" w:line="360"/>
        <w:jc w:val="center"/>
        <w:rPr>
          <w:rFonts w:ascii="Times New Roman" w:hAnsi="Times New Roman" w:cs="Times New Roman"/>
          <w:b/>
          <w:bCs/>
          <w:sz w:val="32"/>
        </w:rPr>
      </w:pPr>
      <w:r>
        <w:rPr>
          <w:rFonts w:ascii="Times New Roman" w:hAnsi="Times New Roman" w:cs="Times New Roman"/>
          <w:b/>
          <w:bCs/>
          <w:sz w:val="32"/>
        </w:rPr>
        <w:t>正</w:t>
      </w:r>
      <w:r>
        <w:rPr>
          <w:rFonts w:ascii="Times New Roman" w:hAnsi="Times New Roman" w:cs="Times New Roman" w:eastAsia="Times New Roman"/>
          <w:b/>
          <w:bCs/>
          <w:sz w:val="32"/>
        </w:rPr>
        <w:t xml:space="preserve"> </w:t>
      </w:r>
      <w:r>
        <w:rPr>
          <w:rFonts w:ascii="Times New Roman" w:hAnsi="Times New Roman" w:cs="Times New Roman"/>
          <w:b/>
          <w:bCs/>
          <w:sz w:val="32"/>
        </w:rPr>
        <w:t>文</w:t>
      </w:r>
    </w:p>
    <w:p>
      <w:pPr>
        <w:spacing w:line="360" w:lineRule="auto" w:before="120" w:after="40"/>
        <w:jc w:val="center"/>
      </w:pPr>
      <w:r>
        <w:rPr>
          <w:rFonts w:ascii="Times New Roman" w:hAnsi="Times New Roman" w:cs="Times New Roman" w:eastAsia="黑体"/>
          <w:b/>
          <w:sz w:val="32"/>
        </w:rPr>
        <w:t>“语言型”“决策型”与“求解型”：头部快递企业物流大模型落地路径对比分析</w:t>
      </w:r>
    </w:p>
    <w:p>
      <w:pPr>
        <w:spacing w:line="360" w:lineRule="auto" w:before="0" w:after="240"/>
        <w:jc w:val="center"/>
      </w:pPr>
      <w:r>
        <w:rPr>
          <w:rFonts w:ascii="Times New Roman" w:hAnsi="Times New Roman" w:cs="Times New Roman" w:eastAsia="宋体"/>
          <w:b w:val="0"/>
          <w:sz w:val="28"/>
        </w:rPr>
        <w:t>——以顺丰“丰语/丰知”、京东物流“超脑”、菜鸟“天机π”为例</w:t>
      </w:r>
    </w:p>
    <w:p>
      <w:pPr>
        <w:keepNext/>
        <w:spacing w:line="360" w:lineRule="auto" w:before="240" w:after="120"/>
        <w:jc w:val="both"/>
      </w:pPr>
      <w:r>
        <w:rPr>
          <w:rFonts w:ascii="Times New Roman" w:hAnsi="Times New Roman" w:cs="Times New Roman" w:eastAsia="宋体"/>
          <w:b/>
          <w:sz w:val="30"/>
        </w:rPr>
        <w:t>一、引言</w:t>
      </w:r>
    </w:p>
    <w:p>
      <w:pPr>
        <w:keepNext/>
        <w:spacing w:line="360" w:lineRule="auto" w:before="120" w:after="60"/>
        <w:jc w:val="both"/>
      </w:pPr>
      <w:r>
        <w:rPr>
          <w:rFonts w:ascii="Times New Roman" w:hAnsi="Times New Roman" w:cs="Times New Roman" w:eastAsia="宋体"/>
          <w:b/>
          <w:sz w:val="26"/>
        </w:rPr>
        <w:t>1.1 研究对象</w:t>
      </w:r>
    </w:p>
    <w:p>
      <w:pPr>
        <w:spacing w:line="360" w:lineRule="auto" w:before="0" w:after="0"/>
        <w:ind w:firstLine="480"/>
        <w:jc w:val="both"/>
      </w:pPr>
      <w:r>
        <w:rPr>
          <w:rFonts w:ascii="Times New Roman" w:hAnsi="Times New Roman" w:cs="Times New Roman" w:eastAsia="宋体"/>
          <w:b w:val="0"/>
          <w:sz w:val="24"/>
        </w:rPr>
        <w:t>本文的研究对象是国内三家头部物流企业在2023—2025年间相继推出的物流垂直领域大模型产品：顺丰科技的大语言模型“丰语”与物流决策大模型“丰知”、京东物流的“超脑”（2024年升级、2025年发布2.0版本）以及菜鸟的数字供应链产品“天机π”。三者都被企业冠以“物流大模型”之名，但从公开信息看，它们解决的问题、面向的用户和技术构成差异很大。本文不对大模型技术本身做科普，而是把三者放在同一张“对比框架”中，拆解它们分别把大模型用在了物流链条的哪个环节、用到了什么程度。</w:t>
      </w:r>
    </w:p>
    <w:p>
      <w:pPr>
        <w:keepNext/>
        <w:spacing w:line="360" w:lineRule="auto" w:before="120" w:after="60"/>
        <w:jc w:val="both"/>
      </w:pPr>
      <w:r>
        <w:rPr>
          <w:rFonts w:ascii="Times New Roman" w:hAnsi="Times New Roman" w:cs="Times New Roman" w:eastAsia="宋体"/>
          <w:b/>
          <w:sz w:val="26"/>
        </w:rPr>
        <w:t>1.2 与小组作业的承接关系</w:t>
      </w:r>
    </w:p>
    <w:p>
      <w:pPr>
        <w:spacing w:line="360" w:lineRule="auto" w:before="0" w:after="0"/>
        <w:ind w:firstLine="480"/>
        <w:jc w:val="both"/>
      </w:pPr>
      <w:r>
        <w:rPr>
          <w:rFonts w:ascii="Times New Roman" w:hAnsi="Times New Roman" w:cs="Times New Roman" w:eastAsia="宋体"/>
          <w:b w:val="0"/>
          <w:sz w:val="24"/>
        </w:rPr>
        <w:t>我所在小组的课程分享主题是“AI在现代物流中的应用”。小组作业按照“仓储—运输—配送—客服”的环节，分别介绍了计算机视觉、路径优化算法、智能客服等AI技术的典型应用，覆盖面广，但每个环节只停留在“有哪些技术、有什么作用”的层面。小组作业中“大模型”只作为发展趋势被简单提及，没有展开。</w:t>
      </w:r>
    </w:p>
    <w:p>
      <w:pPr>
        <w:spacing w:line="360" w:lineRule="auto" w:before="0" w:after="0"/>
        <w:ind w:firstLine="480"/>
        <w:jc w:val="both"/>
      </w:pPr>
      <w:r>
        <w:rPr>
          <w:rFonts w:ascii="Times New Roman" w:hAnsi="Times New Roman" w:cs="Times New Roman" w:eastAsia="宋体"/>
          <w:b w:val="0"/>
          <w:sz w:val="24"/>
        </w:rPr>
        <w:t>本次个人作业在小组主题范围内选取一个更细的切入点：</w:t>
      </w:r>
      <w:r>
        <w:rPr>
          <w:rFonts w:ascii="Times New Roman" w:hAnsi="Times New Roman" w:cs="Times New Roman" w:eastAsia="宋体"/>
          <w:b/>
          <w:sz w:val="24"/>
        </w:rPr>
        <w:t>只看“物流垂直大模型”这一类技术，只看三家头部企业的落地案例，用多案例对比的方法回答一个具体问题——同样叫“物流大模型”，为什么三家企业走出了不同的落地路径，哪条路径更适合哪一类快递企业。</w:t>
      </w:r>
      <w:r>
        <w:rPr>
          <w:rFonts w:ascii="Times New Roman" w:hAnsi="Times New Roman" w:cs="Times New Roman" w:eastAsia="宋体"/>
          <w:b w:val="0"/>
          <w:sz w:val="24"/>
        </w:rPr>
        <w:t>这一切入点与小组其他同学按环节划分的方向不重叠，保证了作业的区分度。</w:t>
      </w:r>
    </w:p>
    <w:p>
      <w:pPr>
        <w:keepNext/>
        <w:spacing w:line="360" w:lineRule="auto" w:before="120" w:after="60"/>
        <w:jc w:val="both"/>
      </w:pPr>
      <w:r>
        <w:rPr>
          <w:rFonts w:ascii="Times New Roman" w:hAnsi="Times New Roman" w:cs="Times New Roman" w:eastAsia="宋体"/>
          <w:b/>
          <w:sz w:val="26"/>
        </w:rPr>
        <w:t>1.3 研究目的与价值</w:t>
      </w:r>
    </w:p>
    <w:p>
      <w:pPr>
        <w:spacing w:line="360" w:lineRule="auto" w:before="0" w:after="0"/>
        <w:ind w:firstLine="480"/>
        <w:jc w:val="both"/>
      </w:pPr>
      <w:r>
        <w:rPr>
          <w:rFonts w:ascii="Times New Roman" w:hAnsi="Times New Roman" w:cs="Times New Roman" w:eastAsia="宋体"/>
          <w:b w:val="0"/>
          <w:sz w:val="24"/>
        </w:rPr>
        <w:t>研究目的有三点：第一，梳理三家企业物流大模型的产品形态、技术构成与应用环节，建立可比较的分析框架；第二，比较三者在落地深度和效果披露上的差异，并分析造成差异的原因；第三，针对现阶段物流大模型落地中的共性问题，提出可操作的改进建议。</w:t>
      </w:r>
    </w:p>
    <w:p>
      <w:pPr>
        <w:spacing w:line="360" w:lineRule="auto" w:before="0" w:after="0"/>
        <w:ind w:firstLine="480"/>
        <w:jc w:val="both"/>
      </w:pPr>
      <w:r>
        <w:rPr>
          <w:rFonts w:ascii="Times New Roman" w:hAnsi="Times New Roman" w:cs="Times New Roman" w:eastAsia="宋体"/>
          <w:b w:val="0"/>
          <w:sz w:val="24"/>
        </w:rPr>
        <w:t>研究价值在于：目前关于“AI+物流”的讨论大多是行业层面的宏观描述，“大模型”一词又被频繁泛化使用，容易让人误以为大模型可以直接替代原有的预测、调度和优化算法。通过对具体产品的拆解，可以更清楚地看到大模型在物流中的真实位置，为课程中“快递智能系统规划”的技术选型提供参考。</w:t>
      </w:r>
    </w:p>
    <w:p>
      <w:pPr>
        <w:keepNext/>
        <w:spacing w:line="360" w:lineRule="auto" w:before="120" w:after="60"/>
        <w:jc w:val="both"/>
      </w:pPr>
      <w:r>
        <w:rPr>
          <w:rFonts w:ascii="Times New Roman" w:hAnsi="Times New Roman" w:cs="Times New Roman" w:eastAsia="宋体"/>
          <w:b/>
          <w:sz w:val="26"/>
        </w:rPr>
        <w:t>1.4 研究方法与资料说明</w:t>
      </w:r>
    </w:p>
    <w:p>
      <w:pPr>
        <w:spacing w:line="360" w:lineRule="auto" w:before="0" w:after="0"/>
        <w:ind w:firstLine="480"/>
        <w:jc w:val="both"/>
      </w:pPr>
      <w:r>
        <w:rPr>
          <w:rFonts w:ascii="Times New Roman" w:hAnsi="Times New Roman" w:cs="Times New Roman" w:eastAsia="宋体"/>
          <w:b w:val="0"/>
          <w:sz w:val="24"/>
        </w:rPr>
        <w:t>本文采用多案例对比研究法。资料来源以企业发布会公开信息及主流媒体报道为主（见参考文献）。需要说明的是，文中所有效果数据（如准确率、效率提升幅度）均为企业在发布时</w:t>
      </w:r>
      <w:r>
        <w:rPr>
          <w:rFonts w:ascii="Times New Roman" w:hAnsi="Times New Roman" w:cs="Times New Roman" w:eastAsia="宋体"/>
          <w:b/>
          <w:sz w:val="24"/>
        </w:rPr>
        <w:t>自行披露</w:t>
      </w:r>
      <w:r>
        <w:rPr>
          <w:rFonts w:ascii="Times New Roman" w:hAnsi="Times New Roman" w:cs="Times New Roman" w:eastAsia="宋体"/>
          <w:b w:val="0"/>
          <w:sz w:val="24"/>
        </w:rPr>
        <w:t>的数据，测试口径和基准未公开，本文仅将其作为“企业对外宣称的效果”进行比较分析，不将其视为经独立验证的结论。</w:t>
      </w:r>
    </w:p>
    <w:p>
      <w:pPr>
        <w:keepNext/>
        <w:spacing w:line="360" w:lineRule="auto" w:before="240" w:after="120"/>
        <w:jc w:val="both"/>
      </w:pPr>
      <w:r>
        <w:rPr>
          <w:rFonts w:ascii="Times New Roman" w:hAnsi="Times New Roman" w:cs="Times New Roman" w:eastAsia="宋体"/>
          <w:b/>
          <w:sz w:val="30"/>
        </w:rPr>
        <w:t>二、对比研究框架设计</w:t>
      </w:r>
    </w:p>
    <w:p>
      <w:pPr>
        <w:spacing w:line="360" w:lineRule="auto" w:before="0" w:after="0"/>
        <w:ind w:firstLine="480"/>
        <w:jc w:val="both"/>
      </w:pPr>
      <w:r>
        <w:rPr>
          <w:rFonts w:ascii="Times New Roman" w:hAnsi="Times New Roman" w:cs="Times New Roman" w:eastAsia="宋体"/>
          <w:b w:val="0"/>
          <w:sz w:val="24"/>
        </w:rPr>
        <w:t>为了避免“各说各的”，本文先确定统一的对比维度，再对三个案例逐一拆解。参照小组作业中“仓储—运输—配送—客服”的环节划分，并结合大模型技术的特点，设定以下五个对比维度：</w:t>
      </w:r>
    </w:p>
    <w:p>
      <w:pPr>
        <w:keepNext/>
        <w:spacing w:line="300" w:lineRule="auto" w:before="60" w:after="120"/>
        <w:jc w:val="center"/>
      </w:pPr>
      <w:r>
        <w:rPr>
          <w:rFonts w:ascii="Times New Roman" w:hAnsi="Times New Roman" w:cs="Times New Roman" w:eastAsia="宋体"/>
          <w:b w:val="0"/>
          <w:sz w:val="21"/>
        </w:rPr>
        <w:t>表1  物流大模型多案例对比维度</w:t>
      </w:r>
    </w:p>
    <w:tbl>
      <w:tblPr>
        <w:tblW w:type="auto" w:w="0"/>
        <w:jc w:val="center"/>
        <w:tblLook w:firstColumn="1" w:firstRow="1" w:lastColumn="0" w:lastRow="0" w:noHBand="0" w:noVBand="1" w:val="04A0"/>
        <w:tblBorders>
          <w:top w:val="single" w:sz="12" w:color="000000"/>
          <w:bottom w:val="single" w:sz="12" w:color="000000"/>
          <w:insideH w:val="single" w:sz="4" w:color="000000"/>
          <w:left w:val="single" w:sz="4" w:color="000000"/>
          <w:right w:val="single" w:sz="4" w:color="000000"/>
          <w:insideV w:val="single" w:sz="4" w:color="000000"/>
        </w:tblBorders>
      </w:tblPr>
      <w:tblGrid>
        <w:gridCol w:w="3118"/>
        <w:gridCol w:w="3118"/>
        <w:gridCol w:w="3118"/>
      </w:tblGrid>
      <w:tr>
        <w:tc>
          <w:tcPr>
            <w:tcW w:type="dxa" w:w="1701"/>
            <w:shd w:val="clear" w:fill="E7E6E6"/>
          </w:tcPr>
          <w:p>
            <w:pPr>
              <w:spacing w:line="276" w:lineRule="auto"/>
              <w:jc w:val="center"/>
            </w:pPr>
            <w:r/>
            <w:r>
              <w:rPr>
                <w:rFonts w:ascii="Times New Roman" w:hAnsi="Times New Roman" w:cs="Times New Roman" w:eastAsia="宋体"/>
                <w:b/>
                <w:sz w:val="21"/>
              </w:rPr>
              <w:t>对比维度</w:t>
            </w:r>
          </w:p>
        </w:tc>
        <w:tc>
          <w:tcPr>
            <w:tcW w:type="dxa" w:w="4252"/>
            <w:shd w:val="clear" w:fill="E7E6E6"/>
          </w:tcPr>
          <w:p>
            <w:pPr>
              <w:spacing w:line="276" w:lineRule="auto"/>
              <w:jc w:val="center"/>
            </w:pPr>
            <w:r/>
            <w:r>
              <w:rPr>
                <w:rFonts w:ascii="Times New Roman" w:hAnsi="Times New Roman" w:cs="Times New Roman" w:eastAsia="宋体"/>
                <w:b/>
                <w:sz w:val="21"/>
              </w:rPr>
              <w:t>关注的问题</w:t>
            </w:r>
          </w:p>
        </w:tc>
        <w:tc>
          <w:tcPr>
            <w:tcW w:type="dxa" w:w="2835"/>
            <w:shd w:val="clear" w:fill="E7E6E6"/>
          </w:tcPr>
          <w:p>
            <w:pPr>
              <w:spacing w:line="276" w:lineRule="auto"/>
              <w:jc w:val="center"/>
            </w:pPr>
            <w:r/>
            <w:r>
              <w:rPr>
                <w:rFonts w:ascii="Times New Roman" w:hAnsi="Times New Roman" w:cs="Times New Roman" w:eastAsia="宋体"/>
                <w:b/>
                <w:sz w:val="21"/>
              </w:rPr>
              <w:t>判断依据</w:t>
            </w:r>
          </w:p>
        </w:tc>
      </w:tr>
      <w:tr>
        <w:tc>
          <w:tcPr>
            <w:tcW w:type="dxa" w:w="1701"/>
          </w:tcPr>
          <w:p>
            <w:pPr>
              <w:spacing w:line="276" w:lineRule="auto"/>
              <w:jc w:val="center"/>
            </w:pPr>
            <w:r/>
            <w:r>
              <w:rPr>
                <w:rFonts w:ascii="Times New Roman" w:hAnsi="Times New Roman" w:cs="Times New Roman" w:eastAsia="宋体"/>
                <w:b w:val="0"/>
                <w:sz w:val="21"/>
              </w:rPr>
              <w:t>① 产品定位</w:t>
            </w:r>
          </w:p>
        </w:tc>
        <w:tc>
          <w:tcPr>
            <w:tcW w:type="dxa" w:w="4252"/>
          </w:tcPr>
          <w:p>
            <w:pPr>
              <w:spacing w:line="276" w:lineRule="auto"/>
              <w:jc w:val="left"/>
            </w:pPr>
            <w:r/>
            <w:r>
              <w:rPr>
                <w:rFonts w:ascii="Times New Roman" w:hAnsi="Times New Roman" w:cs="Times New Roman" w:eastAsia="宋体"/>
                <w:b w:val="0"/>
                <w:sz w:val="21"/>
              </w:rPr>
              <w:t>大模型主要服务谁：一线员工、内部管理者还是外部客户</w:t>
            </w:r>
          </w:p>
        </w:tc>
        <w:tc>
          <w:tcPr>
            <w:tcW w:type="dxa" w:w="2835"/>
          </w:tcPr>
          <w:p>
            <w:pPr>
              <w:spacing w:line="276" w:lineRule="auto"/>
              <w:jc w:val="left"/>
            </w:pPr>
            <w:r/>
            <w:r>
              <w:rPr>
                <w:rFonts w:ascii="Times New Roman" w:hAnsi="Times New Roman" w:cs="Times New Roman" w:eastAsia="宋体"/>
                <w:b w:val="0"/>
                <w:sz w:val="21"/>
              </w:rPr>
              <w:t>发布会宣传对象、典型场景</w:t>
            </w:r>
          </w:p>
        </w:tc>
      </w:tr>
      <w:tr>
        <w:tc>
          <w:tcPr>
            <w:tcW w:type="dxa" w:w="1701"/>
          </w:tcPr>
          <w:p>
            <w:pPr>
              <w:spacing w:line="276" w:lineRule="auto"/>
              <w:jc w:val="center"/>
            </w:pPr>
            <w:r/>
            <w:r>
              <w:rPr>
                <w:rFonts w:ascii="Times New Roman" w:hAnsi="Times New Roman" w:cs="Times New Roman" w:eastAsia="宋体"/>
                <w:b w:val="0"/>
                <w:sz w:val="21"/>
              </w:rPr>
              <w:t>② 技术构成</w:t>
            </w:r>
          </w:p>
        </w:tc>
        <w:tc>
          <w:tcPr>
            <w:tcW w:type="dxa" w:w="4252"/>
          </w:tcPr>
          <w:p>
            <w:pPr>
              <w:spacing w:line="276" w:lineRule="auto"/>
              <w:jc w:val="left"/>
            </w:pPr>
            <w:r/>
            <w:r>
              <w:rPr>
                <w:rFonts w:ascii="Times New Roman" w:hAnsi="Times New Roman" w:cs="Times New Roman" w:eastAsia="宋体"/>
                <w:b w:val="0"/>
                <w:sz w:val="21"/>
              </w:rPr>
              <w:t>是纯大语言模型，还是“大模型 + 专业小模型/运筹算法”</w:t>
            </w:r>
          </w:p>
        </w:tc>
        <w:tc>
          <w:tcPr>
            <w:tcW w:type="dxa" w:w="2835"/>
          </w:tcPr>
          <w:p>
            <w:pPr>
              <w:spacing w:line="276" w:lineRule="auto"/>
              <w:jc w:val="left"/>
            </w:pPr>
            <w:r/>
            <w:r>
              <w:rPr>
                <w:rFonts w:ascii="Times New Roman" w:hAnsi="Times New Roman" w:cs="Times New Roman" w:eastAsia="宋体"/>
                <w:b w:val="0"/>
                <w:sz w:val="21"/>
              </w:rPr>
              <w:t>公开的技术架构描述</w:t>
            </w:r>
          </w:p>
        </w:tc>
      </w:tr>
      <w:tr>
        <w:tc>
          <w:tcPr>
            <w:tcW w:type="dxa" w:w="1701"/>
          </w:tcPr>
          <w:p>
            <w:pPr>
              <w:spacing w:line="276" w:lineRule="auto"/>
              <w:jc w:val="center"/>
            </w:pPr>
            <w:r/>
            <w:r>
              <w:rPr>
                <w:rFonts w:ascii="Times New Roman" w:hAnsi="Times New Roman" w:cs="Times New Roman" w:eastAsia="宋体"/>
                <w:b w:val="0"/>
                <w:sz w:val="21"/>
              </w:rPr>
              <w:t>③ 应用环节</w:t>
            </w:r>
          </w:p>
        </w:tc>
        <w:tc>
          <w:tcPr>
            <w:tcW w:type="dxa" w:w="4252"/>
          </w:tcPr>
          <w:p>
            <w:pPr>
              <w:spacing w:line="276" w:lineRule="auto"/>
              <w:jc w:val="left"/>
            </w:pPr>
            <w:r/>
            <w:r>
              <w:rPr>
                <w:rFonts w:ascii="Times New Roman" w:hAnsi="Times New Roman" w:cs="Times New Roman" w:eastAsia="宋体"/>
                <w:b w:val="0"/>
                <w:sz w:val="21"/>
              </w:rPr>
              <w:t>落在物流链条的哪一环：客服、收派、预测、规划、仓配执行</w:t>
            </w:r>
          </w:p>
        </w:tc>
        <w:tc>
          <w:tcPr>
            <w:tcW w:type="dxa" w:w="2835"/>
          </w:tcPr>
          <w:p>
            <w:pPr>
              <w:spacing w:line="276" w:lineRule="auto"/>
              <w:jc w:val="center"/>
            </w:pPr>
            <w:r/>
            <w:r>
              <w:rPr>
                <w:rFonts w:ascii="Times New Roman" w:hAnsi="Times New Roman" w:cs="Times New Roman" w:eastAsia="宋体"/>
                <w:b w:val="0"/>
                <w:sz w:val="21"/>
              </w:rPr>
              <w:t>已落地场景清单</w:t>
            </w:r>
          </w:p>
        </w:tc>
      </w:tr>
      <w:tr>
        <w:tc>
          <w:tcPr>
            <w:tcW w:type="dxa" w:w="1701"/>
          </w:tcPr>
          <w:p>
            <w:pPr>
              <w:spacing w:line="276" w:lineRule="auto"/>
              <w:jc w:val="center"/>
            </w:pPr>
            <w:r/>
            <w:r>
              <w:rPr>
                <w:rFonts w:ascii="Times New Roman" w:hAnsi="Times New Roman" w:cs="Times New Roman" w:eastAsia="宋体"/>
                <w:b w:val="0"/>
                <w:sz w:val="21"/>
              </w:rPr>
              <w:t>④ 效果披露</w:t>
            </w:r>
          </w:p>
        </w:tc>
        <w:tc>
          <w:tcPr>
            <w:tcW w:type="dxa" w:w="4252"/>
          </w:tcPr>
          <w:p>
            <w:pPr>
              <w:spacing w:line="276" w:lineRule="auto"/>
              <w:jc w:val="left"/>
            </w:pPr>
            <w:r/>
            <w:r>
              <w:rPr>
                <w:rFonts w:ascii="Times New Roman" w:hAnsi="Times New Roman" w:cs="Times New Roman" w:eastAsia="宋体"/>
                <w:b w:val="0"/>
                <w:sz w:val="21"/>
              </w:rPr>
              <w:t>是否给出量化指标，指标类型是什么</w:t>
            </w:r>
          </w:p>
        </w:tc>
        <w:tc>
          <w:tcPr>
            <w:tcW w:type="dxa" w:w="2835"/>
          </w:tcPr>
          <w:p>
            <w:pPr>
              <w:spacing w:line="276" w:lineRule="auto"/>
              <w:jc w:val="center"/>
            </w:pPr>
            <w:r/>
            <w:r>
              <w:rPr>
                <w:rFonts w:ascii="Times New Roman" w:hAnsi="Times New Roman" w:cs="Times New Roman" w:eastAsia="宋体"/>
                <w:b w:val="0"/>
                <w:sz w:val="21"/>
              </w:rPr>
              <w:t>发布时披露的数据</w:t>
            </w:r>
          </w:p>
        </w:tc>
      </w:tr>
      <w:tr>
        <w:tc>
          <w:tcPr>
            <w:tcW w:type="dxa" w:w="1701"/>
          </w:tcPr>
          <w:p>
            <w:pPr>
              <w:spacing w:line="276" w:lineRule="auto"/>
              <w:jc w:val="center"/>
            </w:pPr>
            <w:r/>
            <w:r>
              <w:rPr>
                <w:rFonts w:ascii="Times New Roman" w:hAnsi="Times New Roman" w:cs="Times New Roman" w:eastAsia="宋体"/>
                <w:b w:val="0"/>
                <w:sz w:val="21"/>
              </w:rPr>
              <w:t>⑤ 企业网络形态</w:t>
            </w:r>
          </w:p>
        </w:tc>
        <w:tc>
          <w:tcPr>
            <w:tcW w:type="dxa" w:w="4252"/>
          </w:tcPr>
          <w:p>
            <w:pPr>
              <w:spacing w:line="276" w:lineRule="auto"/>
              <w:jc w:val="left"/>
            </w:pPr>
            <w:r/>
            <w:r>
              <w:rPr>
                <w:rFonts w:ascii="Times New Roman" w:hAnsi="Times New Roman" w:cs="Times New Roman" w:eastAsia="宋体"/>
                <w:b w:val="0"/>
                <w:sz w:val="21"/>
              </w:rPr>
              <w:t>直营、自营仓配一体还是平台型，对落地路径的影响</w:t>
            </w:r>
          </w:p>
        </w:tc>
        <w:tc>
          <w:tcPr>
            <w:tcW w:type="dxa" w:w="2835"/>
          </w:tcPr>
          <w:p>
            <w:pPr>
              <w:spacing w:line="276" w:lineRule="auto"/>
              <w:jc w:val="center"/>
            </w:pPr>
            <w:r/>
            <w:r>
              <w:rPr>
                <w:rFonts w:ascii="Times New Roman" w:hAnsi="Times New Roman" w:cs="Times New Roman" w:eastAsia="宋体"/>
                <w:b w:val="0"/>
                <w:sz w:val="21"/>
              </w:rPr>
              <w:t>企业经营模式</w:t>
            </w:r>
          </w:p>
        </w:tc>
      </w:tr>
    </w:tbl>
    <w:p>
      <w:pPr>
        <w:spacing w:line="240" w:lineRule="auto" w:before="0" w:after="0"/>
        <w:jc w:val="both"/>
      </w:pPr>
    </w:p>
    <w:p>
      <w:pPr>
        <w:spacing w:line="360" w:lineRule="auto" w:before="0" w:after="0"/>
        <w:ind w:firstLine="480"/>
        <w:jc w:val="both"/>
      </w:pPr>
      <w:r>
        <w:rPr>
          <w:rFonts w:ascii="Times New Roman" w:hAnsi="Times New Roman" w:cs="Times New Roman" w:eastAsia="宋体"/>
          <w:b w:val="0"/>
          <w:sz w:val="24"/>
        </w:rPr>
        <w:t>其中第⑤个维度是本文特别加入的。我的初步判断是：一家快递企业把大模型优先用在哪里，很大程度上取决于它“掌握哪些数据、直接管理哪些人和设备”，而这又由企业的网络形态决定。后文将验证这一判断。</w:t>
      </w:r>
    </w:p>
    <w:p>
      <w:pPr>
        <w:keepNext/>
        <w:spacing w:line="360" w:lineRule="auto" w:before="240" w:after="120"/>
        <w:jc w:val="both"/>
      </w:pPr>
      <w:r>
        <w:rPr>
          <w:rFonts w:ascii="Times New Roman" w:hAnsi="Times New Roman" w:cs="Times New Roman" w:eastAsia="宋体"/>
          <w:b/>
          <w:sz w:val="30"/>
        </w:rPr>
        <w:t>三、三家企业物流大模型案例拆解</w:t>
      </w:r>
    </w:p>
    <w:p>
      <w:pPr>
        <w:keepNext/>
        <w:spacing w:line="360" w:lineRule="auto" w:before="120" w:after="60"/>
        <w:jc w:val="both"/>
      </w:pPr>
      <w:r>
        <w:rPr>
          <w:rFonts w:ascii="Times New Roman" w:hAnsi="Times New Roman" w:cs="Times New Roman" w:eastAsia="宋体"/>
          <w:b/>
          <w:sz w:val="26"/>
        </w:rPr>
        <w:t>3.1 顺丰：“丰语”与“丰知”双模型分工</w:t>
      </w:r>
    </w:p>
    <w:p>
      <w:pPr>
        <w:keepNext/>
        <w:spacing w:line="360" w:lineRule="auto" w:before="0" w:after="0"/>
        <w:jc w:val="both"/>
      </w:pPr>
      <w:r>
        <w:rPr>
          <w:rFonts w:ascii="Times New Roman" w:hAnsi="Times New Roman" w:cs="Times New Roman" w:eastAsia="宋体"/>
          <w:b/>
          <w:sz w:val="24"/>
        </w:rPr>
        <w:t>（1）基本情况</w:t>
      </w:r>
    </w:p>
    <w:p>
      <w:pPr>
        <w:spacing w:line="360" w:lineRule="auto" w:before="0" w:after="0"/>
        <w:ind w:firstLine="480"/>
        <w:jc w:val="both"/>
      </w:pPr>
      <w:r>
        <w:rPr>
          <w:rFonts w:ascii="Times New Roman" w:hAnsi="Times New Roman" w:cs="Times New Roman" w:eastAsia="宋体"/>
          <w:b w:val="0"/>
          <w:sz w:val="24"/>
        </w:rPr>
        <w:t>顺丰科技在2024年8月18日发布了物流决策大模型“丰知”，又在2024年9月8日的深圳国际人工智能展上发布了物流垂直领域大语言模型“丰语”[2][3]。也就是说，顺丰在不到一个月内推出了两个定位不同的模型，这在三家企业中是独特的。</w:t>
      </w:r>
    </w:p>
    <w:p>
      <w:pPr>
        <w:keepNext/>
        <w:spacing w:line="360" w:lineRule="auto" w:before="0" w:after="0"/>
        <w:jc w:val="both"/>
      </w:pPr>
      <w:r>
        <w:rPr>
          <w:rFonts w:ascii="Times New Roman" w:hAnsi="Times New Roman" w:cs="Times New Roman" w:eastAsia="宋体"/>
          <w:b/>
          <w:sz w:val="24"/>
        </w:rPr>
        <w:t>（2）“丰语”：面向一线员工和客服的语言模型</w:t>
      </w:r>
    </w:p>
    <w:p>
      <w:pPr>
        <w:spacing w:line="360" w:lineRule="auto" w:before="0" w:after="0"/>
        <w:ind w:firstLine="480"/>
        <w:jc w:val="both"/>
      </w:pPr>
      <w:r>
        <w:rPr>
          <w:rFonts w:ascii="Times New Roman" w:hAnsi="Times New Roman" w:cs="Times New Roman" w:eastAsia="宋体"/>
          <w:b w:val="0"/>
          <w:sz w:val="24"/>
        </w:rPr>
        <w:t>“丰语”是典型的“语言型”大模型。据发布报道，其训练数据中约20%为顺丰及物流供应链的垂域数据，已应用于20余个业务场景[2]。披露的关键指标集中在两个场景：</w:t>
      </w:r>
    </w:p>
    <w:p>
      <w:pPr>
        <w:spacing w:line="360" w:lineRule="auto" w:before="0" w:after="0"/>
        <w:ind w:firstLine="480"/>
        <w:jc w:val="both"/>
      </w:pPr>
      <w:r>
        <w:rPr>
          <w:rFonts w:ascii="Times New Roman" w:hAnsi="Times New Roman" w:cs="Times New Roman" w:eastAsia="宋体"/>
          <w:b w:val="0"/>
          <w:sz w:val="24"/>
        </w:rPr>
        <w:t>一是</w:t>
      </w:r>
      <w:r>
        <w:rPr>
          <w:rFonts w:ascii="Times New Roman" w:hAnsi="Times New Roman" w:cs="Times New Roman" w:eastAsia="宋体"/>
          <w:b/>
          <w:sz w:val="24"/>
        </w:rPr>
        <w:t>客服场景</w:t>
      </w:r>
      <w:r>
        <w:rPr>
          <w:rFonts w:ascii="Times New Roman" w:hAnsi="Times New Roman" w:cs="Times New Roman" w:eastAsia="宋体"/>
          <w:b w:val="0"/>
          <w:sz w:val="24"/>
        </w:rPr>
        <w:t>：大模型自动生成客服通话摘要，摘要准确率超过95%，客服人员在与客户对话后的平均处理时长减少30%[2]。这里的价值不在于“替代客服”，而在于把客服在通话结束后手工填写工单、总结诉求的工作交给模型，缩短单次服务的后处理时间。</w:t>
      </w:r>
    </w:p>
    <w:p>
      <w:pPr>
        <w:spacing w:line="360" w:lineRule="auto" w:before="0" w:after="0"/>
        <w:ind w:firstLine="480"/>
        <w:jc w:val="both"/>
      </w:pPr>
      <w:r>
        <w:rPr>
          <w:rFonts w:ascii="Times New Roman" w:hAnsi="Times New Roman" w:cs="Times New Roman" w:eastAsia="宋体"/>
          <w:b w:val="0"/>
          <w:sz w:val="24"/>
        </w:rPr>
        <w:t>二是</w:t>
      </w:r>
      <w:r>
        <w:rPr>
          <w:rFonts w:ascii="Times New Roman" w:hAnsi="Times New Roman" w:cs="Times New Roman" w:eastAsia="宋体"/>
          <w:b/>
          <w:sz w:val="24"/>
        </w:rPr>
        <w:t>收派员（小哥）场景</w:t>
      </w:r>
      <w:r>
        <w:rPr>
          <w:rFonts w:ascii="Times New Roman" w:hAnsi="Times New Roman" w:cs="Times New Roman" w:eastAsia="宋体"/>
          <w:b w:val="0"/>
          <w:sz w:val="24"/>
        </w:rPr>
        <w:t>：小哥在作业中遇到异常件、系统操作等问题时，可以用自然语言提问，模型对问题的定位准确率超过98%，每次会话平均为小哥节省约3分钟[2]。</w:t>
      </w:r>
    </w:p>
    <w:p>
      <w:pPr>
        <w:spacing w:line="360" w:lineRule="auto" w:before="0" w:after="0"/>
        <w:ind w:firstLine="480"/>
        <w:jc w:val="both"/>
      </w:pPr>
      <w:r>
        <w:rPr>
          <w:rFonts w:ascii="Times New Roman" w:hAnsi="Times New Roman" w:cs="Times New Roman" w:eastAsia="宋体"/>
          <w:b/>
          <w:sz w:val="24"/>
        </w:rPr>
        <w:t>个人分析：</w:t>
      </w:r>
      <w:r>
        <w:rPr>
          <w:rFonts w:ascii="Times New Roman" w:hAnsi="Times New Roman" w:cs="Times New Roman" w:eastAsia="宋体"/>
          <w:b w:val="0"/>
          <w:sz w:val="24"/>
        </w:rPr>
        <w:t>这两个场景有一个共同特点——输入是非结构化的自然语言（通话、提问），输出是给人看的文字（摘要、答案），最终决策仍由人来做。这恰好是大语言模型最擅长、风险也最可控的区域：即使摘要有偏差，客服人员在提交工单前可以修改。以“每次会话节省3分钟”估算，若一名小哥每天使用5次，每天可节省约15分钟，对于按件计酬、时间高度紧张的收派员来说，这一价值是实在的。</w:t>
      </w:r>
    </w:p>
    <w:p>
      <w:pPr>
        <w:keepNext/>
        <w:spacing w:line="360" w:lineRule="auto" w:before="0" w:after="0"/>
        <w:jc w:val="both"/>
      </w:pPr>
      <w:r>
        <w:rPr>
          <w:rFonts w:ascii="Times New Roman" w:hAnsi="Times New Roman" w:cs="Times New Roman" w:eastAsia="宋体"/>
          <w:b/>
          <w:sz w:val="24"/>
        </w:rPr>
        <w:t>（3）“丰知”：面向供应链客户的决策模型</w:t>
      </w:r>
    </w:p>
    <w:p>
      <w:pPr>
        <w:spacing w:line="360" w:lineRule="auto" w:before="0" w:after="0"/>
        <w:ind w:firstLine="480"/>
        <w:jc w:val="both"/>
      </w:pPr>
      <w:r>
        <w:rPr>
          <w:rFonts w:ascii="Times New Roman" w:hAnsi="Times New Roman" w:cs="Times New Roman" w:eastAsia="宋体"/>
          <w:b w:val="0"/>
          <w:sz w:val="24"/>
        </w:rPr>
        <w:t>“丰知”则是“决策型”模型，主要用于物流供应链的智能化分析、销量预测、运输路线优化和包装优化等场景[3][4]。其技术思路是把大语言模型的交互优势与传统小模型的专业深度结合，构建一个“供应链智能体”：当客户销量出现波动时，智能体能告诉客户波动原因，为管理者提供决策依据，并通过RAG（检索增强生成）技术接入业务知识库[3]。顺丰披露的一个实践案例显示，模型运行时间效率提升了120倍，预测准确率提升了5%[3][4]。</w:t>
      </w:r>
    </w:p>
    <w:p>
      <w:pPr>
        <w:spacing w:line="360" w:lineRule="auto" w:before="0" w:after="0"/>
        <w:ind w:firstLine="480"/>
        <w:jc w:val="both"/>
      </w:pPr>
      <w:r>
        <w:rPr>
          <w:rFonts w:ascii="Times New Roman" w:hAnsi="Times New Roman" w:cs="Times New Roman" w:eastAsia="宋体"/>
          <w:b/>
          <w:sz w:val="24"/>
        </w:rPr>
        <w:t>个人分析：</w:t>
      </w:r>
      <w:r>
        <w:rPr>
          <w:rFonts w:ascii="Times New Roman" w:hAnsi="Times New Roman" w:cs="Times New Roman" w:eastAsia="宋体"/>
          <w:b w:val="0"/>
          <w:sz w:val="24"/>
        </w:rPr>
        <w:t>“丰知”的数据值得仔细看。“运行效率提升120倍”说明它在计算效率上的改进很大，但“预测准确率提升5%”并没有说明是5个百分点还是相对提升5%，也没有说明对比的基线模型是什么。在供应链预测中，几个百分点的准确率提升可能意味着可观的库存成本节约，但在缺少基线的情况下，这一数据只能说明“有改进”，无法用于横向比较。</w:t>
      </w:r>
    </w:p>
    <w:p>
      <w:pPr>
        <w:keepNext/>
        <w:spacing w:line="360" w:lineRule="auto" w:before="120" w:after="60"/>
        <w:jc w:val="both"/>
      </w:pPr>
      <w:r>
        <w:rPr>
          <w:rFonts w:ascii="Times New Roman" w:hAnsi="Times New Roman" w:cs="Times New Roman" w:eastAsia="宋体"/>
          <w:b/>
          <w:sz w:val="26"/>
        </w:rPr>
        <w:t>3.2 京东物流：以运筹优化和数字孪生为核心的“超脑”</w:t>
      </w:r>
    </w:p>
    <w:p>
      <w:pPr>
        <w:keepNext/>
        <w:spacing w:line="360" w:lineRule="auto" w:before="0" w:after="0"/>
        <w:jc w:val="both"/>
      </w:pPr>
      <w:r>
        <w:rPr>
          <w:rFonts w:ascii="Times New Roman" w:hAnsi="Times New Roman" w:cs="Times New Roman" w:eastAsia="宋体"/>
          <w:b/>
          <w:sz w:val="24"/>
        </w:rPr>
        <w:t>（1）基本情况</w:t>
      </w:r>
    </w:p>
    <w:p>
      <w:pPr>
        <w:spacing w:line="360" w:lineRule="auto" w:before="0" w:after="0"/>
        <w:ind w:firstLine="480"/>
        <w:jc w:val="both"/>
      </w:pPr>
      <w:r>
        <w:rPr>
          <w:rFonts w:ascii="Times New Roman" w:hAnsi="Times New Roman" w:cs="Times New Roman" w:eastAsia="宋体"/>
          <w:b w:val="0"/>
          <w:sz w:val="24"/>
        </w:rPr>
        <w:t>“京东物流超脑”最早是京东物流对其数智化供应链技术体系的统称。2024年11月，京东物流对“超脑”进行了升级，将大模型、数字孪生、运筹优化等技术融入规划、仓储、运输、配送各环节[5]。2025年9月25日，京东物流在JDD大会上发布了“超脑大模型2.0”和“异狼”具身智能机械臂系统[6][7]。</w:t>
      </w:r>
    </w:p>
    <w:p>
      <w:pPr>
        <w:keepNext/>
        <w:spacing w:line="360" w:lineRule="auto" w:before="0" w:after="0"/>
        <w:jc w:val="both"/>
      </w:pPr>
      <w:r>
        <w:rPr>
          <w:rFonts w:ascii="Times New Roman" w:hAnsi="Times New Roman" w:cs="Times New Roman" w:eastAsia="宋体"/>
          <w:b/>
          <w:sz w:val="24"/>
        </w:rPr>
        <w:t>（2）关键能力与数据</w:t>
      </w:r>
    </w:p>
    <w:p>
      <w:pPr>
        <w:spacing w:line="360" w:lineRule="auto" w:before="0" w:after="0"/>
        <w:ind w:firstLine="480"/>
        <w:jc w:val="both"/>
      </w:pPr>
      <w:r>
        <w:rPr>
          <w:rFonts w:ascii="Times New Roman" w:hAnsi="Times New Roman" w:cs="Times New Roman" w:eastAsia="宋体"/>
          <w:b w:val="0"/>
          <w:sz w:val="24"/>
        </w:rPr>
        <w:t>从公开报道看，“超脑”的核心能力并不在“对话”，而在“求解”：</w:t>
      </w:r>
    </w:p>
    <w:p>
      <w:pPr>
        <w:spacing w:line="360" w:lineRule="auto" w:before="0" w:after="0"/>
        <w:ind w:firstLine="480"/>
        <w:jc w:val="both"/>
      </w:pPr>
      <w:r>
        <w:rPr>
          <w:rFonts w:ascii="Times New Roman" w:hAnsi="Times New Roman" w:cs="Times New Roman" w:eastAsia="宋体"/>
          <w:b/>
          <w:sz w:val="24"/>
        </w:rPr>
        <w:t>规划环节：</w:t>
      </w:r>
      <w:r>
        <w:rPr>
          <w:rFonts w:ascii="Times New Roman" w:hAnsi="Times New Roman" w:cs="Times New Roman" w:eastAsia="宋体"/>
          <w:b w:val="0"/>
          <w:sz w:val="24"/>
        </w:rPr>
        <w:t>依托大规模混合整数优化能力处理网络布局、仓储选址等问题[5]；超脑大模型2.0可将千万级变量模型的求解时间缩短到2小时以内，从而动态调整物流最优规划[6][7]。</w:t>
      </w:r>
    </w:p>
    <w:p>
      <w:pPr>
        <w:spacing w:line="360" w:lineRule="auto" w:before="0" w:after="0"/>
        <w:ind w:firstLine="480"/>
        <w:jc w:val="both"/>
      </w:pPr>
      <w:r>
        <w:rPr>
          <w:rFonts w:ascii="Times New Roman" w:hAnsi="Times New Roman" w:cs="Times New Roman" w:eastAsia="宋体"/>
          <w:b/>
          <w:sz w:val="24"/>
        </w:rPr>
        <w:t>运输环节：</w:t>
      </w:r>
      <w:r>
        <w:rPr>
          <w:rFonts w:ascii="Times New Roman" w:hAnsi="Times New Roman" w:cs="Times New Roman" w:eastAsia="宋体"/>
          <w:b w:val="0"/>
          <w:sz w:val="24"/>
        </w:rPr>
        <w:t>基于自研的分布式仿真技术，对亿级订单的全网线路进行分钟级的数字孪生模拟，据此动态调整运力与线路[5]。</w:t>
      </w:r>
    </w:p>
    <w:p>
      <w:pPr>
        <w:spacing w:line="360" w:lineRule="auto" w:before="0" w:after="0"/>
        <w:ind w:firstLine="480"/>
        <w:jc w:val="both"/>
      </w:pPr>
      <w:r>
        <w:rPr>
          <w:rFonts w:ascii="Times New Roman" w:hAnsi="Times New Roman" w:cs="Times New Roman" w:eastAsia="宋体"/>
          <w:b/>
          <w:sz w:val="24"/>
        </w:rPr>
        <w:t>配送与作业环节：</w:t>
      </w:r>
      <w:r>
        <w:rPr>
          <w:rFonts w:ascii="Times New Roman" w:hAnsi="Times New Roman" w:cs="Times New Roman" w:eastAsia="宋体"/>
          <w:b w:val="0"/>
          <w:sz w:val="24"/>
        </w:rPr>
        <w:t>基于超脑大模型2.0的“与图”数智时空平台，地理编码准确率超过98%，分单准确率达到99.98%；多设备协作后员工操作标准化水平提升15%，一线作业效率提升近20%，人机协作效率提升超过20%；“异狼”机械臂已在多个智能园区实现24小时常态化运行[6][7]。</w:t>
      </w:r>
    </w:p>
    <w:p>
      <w:pPr>
        <w:spacing w:line="360" w:lineRule="auto" w:before="0" w:after="0"/>
        <w:ind w:firstLine="480"/>
        <w:jc w:val="both"/>
      </w:pPr>
      <w:r>
        <w:rPr>
          <w:rFonts w:ascii="Times New Roman" w:hAnsi="Times New Roman" w:cs="Times New Roman" w:eastAsia="宋体"/>
          <w:b/>
          <w:sz w:val="24"/>
        </w:rPr>
        <w:t>个人分析：</w:t>
      </w:r>
      <w:r>
        <w:rPr>
          <w:rFonts w:ascii="Times New Roman" w:hAnsi="Times New Roman" w:cs="Times New Roman" w:eastAsia="宋体"/>
          <w:b w:val="0"/>
          <w:sz w:val="24"/>
        </w:rPr>
        <w:t>京东物流披露的指标几乎都是“求解时间”“作业效率”“分单准确率”这类运营指标，很少涉及对话或文本生成。这说明“超脑”中的“大模型”更像是一个总称，其主体是运筹优化、仿真和时空数据能力，大语言模型（京东集团另有“言犀”大模型）更多承担调度和交互的角色。分单准确率99.98%意味着每1万单约有2单分错站点，对于日均处理量巨大的网络，即便是万分之二的误差，绝对数量也不小，因此这一指标仍有改进空间，也说明末端分单这类“必须精确”的任务不能交给生成式模型自由发挥，而必须依靠地理编码和规则校验。</w:t>
      </w:r>
    </w:p>
    <w:p>
      <w:pPr>
        <w:keepNext/>
        <w:spacing w:line="360" w:lineRule="auto" w:before="120" w:after="60"/>
        <w:jc w:val="both"/>
      </w:pPr>
      <w:r>
        <w:rPr>
          <w:rFonts w:ascii="Times New Roman" w:hAnsi="Times New Roman" w:cs="Times New Roman" w:eastAsia="宋体"/>
          <w:b/>
          <w:sz w:val="26"/>
        </w:rPr>
        <w:t>3.3 菜鸟：面向商家的数字供应链产品“天机π”</w:t>
      </w:r>
    </w:p>
    <w:p>
      <w:pPr>
        <w:keepNext/>
        <w:spacing w:line="360" w:lineRule="auto" w:before="0" w:after="0"/>
        <w:jc w:val="both"/>
      </w:pPr>
      <w:r>
        <w:rPr>
          <w:rFonts w:ascii="Times New Roman" w:hAnsi="Times New Roman" w:cs="Times New Roman" w:eastAsia="宋体"/>
          <w:b/>
          <w:sz w:val="24"/>
        </w:rPr>
        <w:t>（1）基本情况</w:t>
      </w:r>
    </w:p>
    <w:p>
      <w:pPr>
        <w:spacing w:line="360" w:lineRule="auto" w:before="0" w:after="0"/>
        <w:ind w:firstLine="480"/>
        <w:jc w:val="both"/>
      </w:pPr>
      <w:r>
        <w:rPr>
          <w:rFonts w:ascii="Times New Roman" w:hAnsi="Times New Roman" w:cs="Times New Roman" w:eastAsia="宋体"/>
          <w:b w:val="0"/>
          <w:sz w:val="24"/>
        </w:rPr>
        <w:t>“天机π”于2023年6月28日在全球智慧物流峰会上随菜鸟国内物流产品矩阵一同曝光，定位是“基于大模型的数字供应链产品”[8]，是三家中最早公开的产品。</w:t>
      </w:r>
    </w:p>
    <w:p>
      <w:pPr>
        <w:keepNext/>
        <w:spacing w:line="360" w:lineRule="auto" w:before="0" w:after="0"/>
        <w:jc w:val="both"/>
      </w:pPr>
      <w:r>
        <w:rPr>
          <w:rFonts w:ascii="Times New Roman" w:hAnsi="Times New Roman" w:cs="Times New Roman" w:eastAsia="宋体"/>
          <w:b/>
          <w:sz w:val="24"/>
        </w:rPr>
        <w:t>（2）关键能力</w:t>
      </w:r>
    </w:p>
    <w:p>
      <w:pPr>
        <w:spacing w:line="360" w:lineRule="auto" w:before="0" w:after="0"/>
        <w:ind w:firstLine="480"/>
        <w:jc w:val="both"/>
      </w:pPr>
      <w:r>
        <w:rPr>
          <w:rFonts w:ascii="Times New Roman" w:hAnsi="Times New Roman" w:cs="Times New Roman" w:eastAsia="宋体"/>
          <w:b w:val="0"/>
          <w:sz w:val="24"/>
        </w:rPr>
        <w:t>据发布报道，“天机π”通过“菜鸟算法 + 基于大模型的生成式AI辅助决策”，在</w:t>
      </w:r>
      <w:r>
        <w:rPr>
          <w:rFonts w:ascii="Times New Roman" w:hAnsi="Times New Roman" w:cs="Times New Roman" w:eastAsia="宋体"/>
          <w:b/>
          <w:sz w:val="24"/>
        </w:rPr>
        <w:t>销量预测、补货计划和库存健康</w:t>
      </w:r>
      <w:r>
        <w:rPr>
          <w:rFonts w:ascii="Times New Roman" w:hAnsi="Times New Roman" w:cs="Times New Roman" w:eastAsia="宋体"/>
          <w:b w:val="0"/>
          <w:sz w:val="24"/>
        </w:rPr>
        <w:t>等领域为商家提质增效[8]。后续报道显示，菜鸟采用“通用大模型 + 专业小模型”的模式：专业小模型负责销量预测、运筹优化等具体问题，大模型则调动这些小模型进行全链路推演和最优解搜索[10]；其能力可依据历史销售数据和市场趋势预测需求、辅助商家安排库存，并实时监测库存状态、调节进货节奏[9]。</w:t>
      </w:r>
    </w:p>
    <w:p>
      <w:pPr>
        <w:spacing w:line="360" w:lineRule="auto" w:before="0" w:after="0"/>
        <w:ind w:firstLine="480"/>
        <w:jc w:val="both"/>
      </w:pPr>
      <w:r>
        <w:rPr>
          <w:rFonts w:ascii="Times New Roman" w:hAnsi="Times New Roman" w:cs="Times New Roman" w:eastAsia="宋体"/>
          <w:b/>
          <w:sz w:val="24"/>
        </w:rPr>
        <w:t>个人分析：</w:t>
      </w:r>
      <w:r>
        <w:rPr>
          <w:rFonts w:ascii="Times New Roman" w:hAnsi="Times New Roman" w:cs="Times New Roman" w:eastAsia="宋体"/>
          <w:b w:val="0"/>
          <w:sz w:val="24"/>
        </w:rPr>
        <w:t>与前两家相比，菜鸟没有公开“天机π”的具体量化指标（准确率、效率提升等），这是本次对比中最明显的差异。我认为这与菜鸟的平台属性有关：天机π的用户是品牌商家，效果高度依赖每个商家自身的数据质量和品类特征，很难给出一个统一的数字；同时它是一款对外销售的产品，具体效果更多在客户案例中体现，而不是作为企业整体指标对外宣传。</w:t>
      </w:r>
    </w:p>
    <w:p>
      <w:pPr>
        <w:keepNext/>
        <w:spacing w:line="360" w:lineRule="auto" w:before="240" w:after="120"/>
        <w:jc w:val="both"/>
      </w:pPr>
      <w:r>
        <w:rPr>
          <w:rFonts w:ascii="Times New Roman" w:hAnsi="Times New Roman" w:cs="Times New Roman" w:eastAsia="宋体"/>
          <w:b/>
          <w:sz w:val="30"/>
        </w:rPr>
        <w:t>四、横向对比与深度分析</w:t>
      </w:r>
    </w:p>
    <w:p>
      <w:pPr>
        <w:keepNext/>
        <w:spacing w:line="360" w:lineRule="auto" w:before="120" w:after="60"/>
        <w:jc w:val="both"/>
      </w:pPr>
      <w:r>
        <w:rPr>
          <w:rFonts w:ascii="Times New Roman" w:hAnsi="Times New Roman" w:cs="Times New Roman" w:eastAsia="宋体"/>
          <w:b/>
          <w:sz w:val="26"/>
        </w:rPr>
        <w:t>4.1 五维度对比结果</w:t>
      </w:r>
    </w:p>
    <w:p>
      <w:pPr>
        <w:keepNext/>
        <w:spacing w:line="300" w:lineRule="auto" w:before="60" w:after="120"/>
        <w:jc w:val="center"/>
      </w:pPr>
      <w:r>
        <w:rPr>
          <w:rFonts w:ascii="Times New Roman" w:hAnsi="Times New Roman" w:cs="Times New Roman" w:eastAsia="宋体"/>
          <w:b w:val="0"/>
          <w:sz w:val="21"/>
        </w:rPr>
        <w:t>表2  三家企业物流大模型对比</w:t>
      </w:r>
    </w:p>
    <w:tbl>
      <w:tblPr>
        <w:tblW w:type="auto" w:w="0"/>
        <w:jc w:val="center"/>
        <w:tblLook w:firstColumn="1" w:firstRow="1" w:lastColumn="0" w:lastRow="0" w:noHBand="0" w:noVBand="1" w:val="04A0"/>
        <w:tblBorders>
          <w:top w:val="single" w:sz="12" w:color="000000"/>
          <w:bottom w:val="single" w:sz="12" w:color="000000"/>
          <w:insideH w:val="single" w:sz="4" w:color="000000"/>
          <w:left w:val="single" w:sz="4" w:color="000000"/>
          <w:right w:val="single" w:sz="4" w:color="000000"/>
          <w:insideV w:val="single" w:sz="4" w:color="000000"/>
        </w:tblBorders>
      </w:tblPr>
      <w:tblGrid>
        <w:gridCol w:w="2338"/>
        <w:gridCol w:w="2338"/>
        <w:gridCol w:w="2338"/>
        <w:gridCol w:w="2338"/>
      </w:tblGrid>
      <w:tr>
        <w:tc>
          <w:tcPr>
            <w:tcW w:type="dxa" w:w="1361"/>
            <w:shd w:val="clear" w:fill="E7E6E6"/>
          </w:tcPr>
          <w:p>
            <w:pPr>
              <w:spacing w:line="276" w:lineRule="auto"/>
              <w:jc w:val="center"/>
            </w:pPr>
            <w:r/>
            <w:r>
              <w:rPr>
                <w:rFonts w:ascii="Times New Roman" w:hAnsi="Times New Roman" w:cs="Times New Roman" w:eastAsia="宋体"/>
                <w:b/>
                <w:sz w:val="21"/>
              </w:rPr>
              <w:t>对比维度</w:t>
            </w:r>
          </w:p>
        </w:tc>
        <w:tc>
          <w:tcPr>
            <w:tcW w:type="dxa" w:w="2551"/>
            <w:shd w:val="clear" w:fill="E7E6E6"/>
          </w:tcPr>
          <w:p>
            <w:pPr>
              <w:spacing w:line="276" w:lineRule="auto"/>
              <w:jc w:val="left"/>
            </w:pPr>
            <w:r/>
            <w:r>
              <w:rPr>
                <w:rFonts w:ascii="Times New Roman" w:hAnsi="Times New Roman" w:cs="Times New Roman" w:eastAsia="宋体"/>
                <w:b/>
                <w:sz w:val="21"/>
              </w:rPr>
              <w:t>顺丰（丰语 / 丰知）</w:t>
            </w:r>
          </w:p>
        </w:tc>
        <w:tc>
          <w:tcPr>
            <w:tcW w:type="dxa" w:w="2551"/>
            <w:shd w:val="clear" w:fill="E7E6E6"/>
          </w:tcPr>
          <w:p>
            <w:pPr>
              <w:spacing w:line="276" w:lineRule="auto"/>
              <w:jc w:val="center"/>
            </w:pPr>
            <w:r/>
            <w:r>
              <w:rPr>
                <w:rFonts w:ascii="Times New Roman" w:hAnsi="Times New Roman" w:cs="Times New Roman" w:eastAsia="宋体"/>
                <w:b/>
                <w:sz w:val="21"/>
              </w:rPr>
              <w:t>京东物流（超脑）</w:t>
            </w:r>
          </w:p>
        </w:tc>
        <w:tc>
          <w:tcPr>
            <w:tcW w:type="dxa" w:w="2324"/>
            <w:shd w:val="clear" w:fill="E7E6E6"/>
          </w:tcPr>
          <w:p>
            <w:pPr>
              <w:spacing w:line="276" w:lineRule="auto"/>
              <w:jc w:val="center"/>
            </w:pPr>
            <w:r/>
            <w:r>
              <w:rPr>
                <w:rFonts w:ascii="Times New Roman" w:hAnsi="Times New Roman" w:cs="Times New Roman" w:eastAsia="宋体"/>
                <w:b/>
                <w:sz w:val="21"/>
              </w:rPr>
              <w:t>菜鸟（天机π）</w:t>
            </w:r>
          </w:p>
        </w:tc>
      </w:tr>
      <w:tr>
        <w:tc>
          <w:tcPr>
            <w:tcW w:type="dxa" w:w="1361"/>
          </w:tcPr>
          <w:p>
            <w:pPr>
              <w:spacing w:line="276" w:lineRule="auto"/>
              <w:jc w:val="center"/>
            </w:pPr>
            <w:r/>
            <w:r>
              <w:rPr>
                <w:rFonts w:ascii="Times New Roman" w:hAnsi="Times New Roman" w:cs="Times New Roman" w:eastAsia="宋体"/>
                <w:b w:val="0"/>
                <w:sz w:val="21"/>
              </w:rPr>
              <w:t>发布时间</w:t>
            </w:r>
          </w:p>
        </w:tc>
        <w:tc>
          <w:tcPr>
            <w:tcW w:type="dxa" w:w="2551"/>
          </w:tcPr>
          <w:p>
            <w:pPr>
              <w:spacing w:line="276" w:lineRule="auto"/>
              <w:jc w:val="left"/>
            </w:pPr>
            <w:r/>
            <w:r>
              <w:rPr>
                <w:rFonts w:ascii="Times New Roman" w:hAnsi="Times New Roman" w:cs="Times New Roman" w:eastAsia="宋体"/>
                <w:b w:val="0"/>
                <w:sz w:val="21"/>
              </w:rPr>
              <w:t>丰知 2024.08；丰语 2024.09</w:t>
            </w:r>
          </w:p>
        </w:tc>
        <w:tc>
          <w:tcPr>
            <w:tcW w:type="dxa" w:w="2551"/>
          </w:tcPr>
          <w:p>
            <w:pPr>
              <w:spacing w:line="276" w:lineRule="auto"/>
              <w:jc w:val="left"/>
            </w:pPr>
            <w:r/>
            <w:r>
              <w:rPr>
                <w:rFonts w:ascii="Times New Roman" w:hAnsi="Times New Roman" w:cs="Times New Roman" w:eastAsia="宋体"/>
                <w:b w:val="0"/>
                <w:sz w:val="21"/>
              </w:rPr>
              <w:t>2024.11 升级；2.0 版 2025.09</w:t>
            </w:r>
          </w:p>
        </w:tc>
        <w:tc>
          <w:tcPr>
            <w:tcW w:type="dxa" w:w="2324"/>
          </w:tcPr>
          <w:p>
            <w:pPr>
              <w:spacing w:line="276" w:lineRule="auto"/>
              <w:jc w:val="center"/>
            </w:pPr>
            <w:r/>
            <w:r>
              <w:rPr>
                <w:rFonts w:ascii="Times New Roman" w:hAnsi="Times New Roman" w:cs="Times New Roman" w:eastAsia="宋体"/>
                <w:b w:val="0"/>
                <w:sz w:val="21"/>
              </w:rPr>
              <w:t>2023.06</w:t>
            </w:r>
          </w:p>
        </w:tc>
      </w:tr>
      <w:tr>
        <w:tc>
          <w:tcPr>
            <w:tcW w:type="dxa" w:w="1361"/>
          </w:tcPr>
          <w:p>
            <w:pPr>
              <w:spacing w:line="276" w:lineRule="auto"/>
              <w:jc w:val="center"/>
            </w:pPr>
            <w:r/>
            <w:r>
              <w:rPr>
                <w:rFonts w:ascii="Times New Roman" w:hAnsi="Times New Roman" w:cs="Times New Roman" w:eastAsia="宋体"/>
                <w:b w:val="0"/>
                <w:sz w:val="21"/>
              </w:rPr>
              <w:t>产品定位</w:t>
            </w:r>
          </w:p>
        </w:tc>
        <w:tc>
          <w:tcPr>
            <w:tcW w:type="dxa" w:w="2551"/>
          </w:tcPr>
          <w:p>
            <w:pPr>
              <w:spacing w:line="276" w:lineRule="auto"/>
              <w:jc w:val="left"/>
            </w:pPr>
            <w:r/>
            <w:r>
              <w:rPr>
                <w:rFonts w:ascii="Times New Roman" w:hAnsi="Times New Roman" w:cs="Times New Roman" w:eastAsia="宋体"/>
                <w:b w:val="0"/>
                <w:sz w:val="21"/>
              </w:rPr>
              <w:t>丰语：一线员工、客服；丰知：供应链客户</w:t>
            </w:r>
          </w:p>
        </w:tc>
        <w:tc>
          <w:tcPr>
            <w:tcW w:type="dxa" w:w="2551"/>
          </w:tcPr>
          <w:p>
            <w:pPr>
              <w:spacing w:line="276" w:lineRule="auto"/>
              <w:jc w:val="left"/>
            </w:pPr>
            <w:r/>
            <w:r>
              <w:rPr>
                <w:rFonts w:ascii="Times New Roman" w:hAnsi="Times New Roman" w:cs="Times New Roman" w:eastAsia="宋体"/>
                <w:b w:val="0"/>
                <w:sz w:val="21"/>
              </w:rPr>
              <w:t>企业内部全链路规划与运营</w:t>
            </w:r>
          </w:p>
        </w:tc>
        <w:tc>
          <w:tcPr>
            <w:tcW w:type="dxa" w:w="2324"/>
          </w:tcPr>
          <w:p>
            <w:pPr>
              <w:spacing w:line="276" w:lineRule="auto"/>
              <w:jc w:val="center"/>
            </w:pPr>
            <w:r/>
            <w:r>
              <w:rPr>
                <w:rFonts w:ascii="Times New Roman" w:hAnsi="Times New Roman" w:cs="Times New Roman" w:eastAsia="宋体"/>
                <w:b w:val="0"/>
                <w:sz w:val="21"/>
              </w:rPr>
              <w:t>外部品牌商家</w:t>
            </w:r>
          </w:p>
        </w:tc>
      </w:tr>
      <w:tr>
        <w:tc>
          <w:tcPr>
            <w:tcW w:type="dxa" w:w="1361"/>
          </w:tcPr>
          <w:p>
            <w:pPr>
              <w:spacing w:line="276" w:lineRule="auto"/>
              <w:jc w:val="center"/>
            </w:pPr>
            <w:r/>
            <w:r>
              <w:rPr>
                <w:rFonts w:ascii="Times New Roman" w:hAnsi="Times New Roman" w:cs="Times New Roman" w:eastAsia="宋体"/>
                <w:b w:val="0"/>
                <w:sz w:val="21"/>
              </w:rPr>
              <w:t>技术构成</w:t>
            </w:r>
          </w:p>
        </w:tc>
        <w:tc>
          <w:tcPr>
            <w:tcW w:type="dxa" w:w="2551"/>
          </w:tcPr>
          <w:p>
            <w:pPr>
              <w:spacing w:line="276" w:lineRule="auto"/>
              <w:jc w:val="left"/>
            </w:pPr>
            <w:r/>
            <w:r>
              <w:rPr>
                <w:rFonts w:ascii="Times New Roman" w:hAnsi="Times New Roman" w:cs="Times New Roman" w:eastAsia="宋体"/>
                <w:b w:val="0"/>
                <w:sz w:val="21"/>
              </w:rPr>
              <w:t>语言模型 + 决策模型分开建设；丰知为“大模型 + 小模型”智能体</w:t>
            </w:r>
          </w:p>
        </w:tc>
        <w:tc>
          <w:tcPr>
            <w:tcW w:type="dxa" w:w="2551"/>
          </w:tcPr>
          <w:p>
            <w:pPr>
              <w:spacing w:line="276" w:lineRule="auto"/>
              <w:jc w:val="left"/>
            </w:pPr>
            <w:r/>
            <w:r>
              <w:rPr>
                <w:rFonts w:ascii="Times New Roman" w:hAnsi="Times New Roman" w:cs="Times New Roman" w:eastAsia="宋体"/>
                <w:b w:val="0"/>
                <w:sz w:val="21"/>
              </w:rPr>
              <w:t>运筹优化、数字孪生、仿真为主体，大模型为调度与交互</w:t>
            </w:r>
          </w:p>
        </w:tc>
        <w:tc>
          <w:tcPr>
            <w:tcW w:type="dxa" w:w="2324"/>
          </w:tcPr>
          <w:p>
            <w:pPr>
              <w:spacing w:line="276" w:lineRule="auto"/>
              <w:jc w:val="left"/>
            </w:pPr>
            <w:r/>
            <w:r>
              <w:rPr>
                <w:rFonts w:ascii="Times New Roman" w:hAnsi="Times New Roman" w:cs="Times New Roman" w:eastAsia="宋体"/>
                <w:b w:val="0"/>
                <w:sz w:val="21"/>
              </w:rPr>
              <w:t>通用大模型调度专业小模型</w:t>
            </w:r>
          </w:p>
        </w:tc>
      </w:tr>
      <w:tr>
        <w:tc>
          <w:tcPr>
            <w:tcW w:type="dxa" w:w="1361"/>
          </w:tcPr>
          <w:p>
            <w:pPr>
              <w:spacing w:line="276" w:lineRule="auto"/>
              <w:jc w:val="center"/>
            </w:pPr>
            <w:r/>
            <w:r>
              <w:rPr>
                <w:rFonts w:ascii="Times New Roman" w:hAnsi="Times New Roman" w:cs="Times New Roman" w:eastAsia="宋体"/>
                <w:b w:val="0"/>
                <w:sz w:val="21"/>
              </w:rPr>
              <w:t>主要环节</w:t>
            </w:r>
          </w:p>
        </w:tc>
        <w:tc>
          <w:tcPr>
            <w:tcW w:type="dxa" w:w="2551"/>
          </w:tcPr>
          <w:p>
            <w:pPr>
              <w:spacing w:line="276" w:lineRule="auto"/>
              <w:jc w:val="left"/>
            </w:pPr>
            <w:r/>
            <w:r>
              <w:rPr>
                <w:rFonts w:ascii="Times New Roman" w:hAnsi="Times New Roman" w:cs="Times New Roman" w:eastAsia="宋体"/>
                <w:b w:val="0"/>
                <w:sz w:val="21"/>
              </w:rPr>
              <w:t>客服、收派、需求预测、路线、包装</w:t>
            </w:r>
          </w:p>
        </w:tc>
        <w:tc>
          <w:tcPr>
            <w:tcW w:type="dxa" w:w="2551"/>
          </w:tcPr>
          <w:p>
            <w:pPr>
              <w:spacing w:line="276" w:lineRule="auto"/>
              <w:jc w:val="left"/>
            </w:pPr>
            <w:r/>
            <w:r>
              <w:rPr>
                <w:rFonts w:ascii="Times New Roman" w:hAnsi="Times New Roman" w:cs="Times New Roman" w:eastAsia="宋体"/>
                <w:b w:val="0"/>
                <w:sz w:val="21"/>
              </w:rPr>
              <w:t>网络规划、运输调度、分单、仓内作业</w:t>
            </w:r>
          </w:p>
        </w:tc>
        <w:tc>
          <w:tcPr>
            <w:tcW w:type="dxa" w:w="2324"/>
          </w:tcPr>
          <w:p>
            <w:pPr>
              <w:spacing w:line="276" w:lineRule="auto"/>
              <w:jc w:val="left"/>
            </w:pPr>
            <w:r/>
            <w:r>
              <w:rPr>
                <w:rFonts w:ascii="Times New Roman" w:hAnsi="Times New Roman" w:cs="Times New Roman" w:eastAsia="宋体"/>
                <w:b w:val="0"/>
                <w:sz w:val="21"/>
              </w:rPr>
              <w:t>销量预测、补货、库存健康</w:t>
            </w:r>
          </w:p>
        </w:tc>
      </w:tr>
      <w:tr>
        <w:tc>
          <w:tcPr>
            <w:tcW w:type="dxa" w:w="1361"/>
          </w:tcPr>
          <w:p>
            <w:pPr>
              <w:spacing w:line="276" w:lineRule="auto"/>
              <w:jc w:val="center"/>
            </w:pPr>
            <w:r/>
            <w:r>
              <w:rPr>
                <w:rFonts w:ascii="Times New Roman" w:hAnsi="Times New Roman" w:cs="Times New Roman" w:eastAsia="宋体"/>
                <w:b w:val="0"/>
                <w:sz w:val="21"/>
              </w:rPr>
              <w:t>效果披露</w:t>
            </w:r>
          </w:p>
        </w:tc>
        <w:tc>
          <w:tcPr>
            <w:tcW w:type="dxa" w:w="2551"/>
          </w:tcPr>
          <w:p>
            <w:pPr>
              <w:spacing w:line="276" w:lineRule="auto"/>
              <w:jc w:val="left"/>
            </w:pPr>
            <w:r/>
            <w:r>
              <w:rPr>
                <w:rFonts w:ascii="Times New Roman" w:hAnsi="Times New Roman" w:cs="Times New Roman" w:eastAsia="宋体"/>
                <w:b w:val="0"/>
                <w:sz w:val="21"/>
              </w:rPr>
              <w:t>较多：摘要准确率＞95%、处理时长－30%、问题定位＞98%、效率↑120倍、预测准确率↑5%</w:t>
            </w:r>
          </w:p>
        </w:tc>
        <w:tc>
          <w:tcPr>
            <w:tcW w:type="dxa" w:w="2551"/>
          </w:tcPr>
          <w:p>
            <w:pPr>
              <w:spacing w:line="276" w:lineRule="auto"/>
              <w:jc w:val="left"/>
            </w:pPr>
            <w:r/>
            <w:r>
              <w:rPr>
                <w:rFonts w:ascii="Times New Roman" w:hAnsi="Times New Roman" w:cs="Times New Roman" w:eastAsia="宋体"/>
                <w:b w:val="0"/>
                <w:sz w:val="21"/>
              </w:rPr>
              <w:t>最多：求解＜2小时、地理编码＞98%、分单99.98%、作业效率↑近20%</w:t>
            </w:r>
          </w:p>
        </w:tc>
        <w:tc>
          <w:tcPr>
            <w:tcW w:type="dxa" w:w="2324"/>
          </w:tcPr>
          <w:p>
            <w:pPr>
              <w:spacing w:line="276" w:lineRule="auto"/>
              <w:jc w:val="center"/>
            </w:pPr>
            <w:r/>
            <w:r>
              <w:rPr>
                <w:rFonts w:ascii="Times New Roman" w:hAnsi="Times New Roman" w:cs="Times New Roman" w:eastAsia="宋体"/>
                <w:b w:val="0"/>
                <w:sz w:val="21"/>
              </w:rPr>
              <w:t>未公开量化指标</w:t>
            </w:r>
          </w:p>
        </w:tc>
      </w:tr>
      <w:tr>
        <w:tc>
          <w:tcPr>
            <w:tcW w:type="dxa" w:w="1361"/>
          </w:tcPr>
          <w:p>
            <w:pPr>
              <w:spacing w:line="276" w:lineRule="auto"/>
              <w:jc w:val="center"/>
            </w:pPr>
            <w:r/>
            <w:r>
              <w:rPr>
                <w:rFonts w:ascii="Times New Roman" w:hAnsi="Times New Roman" w:cs="Times New Roman" w:eastAsia="宋体"/>
                <w:b w:val="0"/>
                <w:sz w:val="21"/>
              </w:rPr>
              <w:t>网络形态</w:t>
            </w:r>
          </w:p>
        </w:tc>
        <w:tc>
          <w:tcPr>
            <w:tcW w:type="dxa" w:w="2551"/>
          </w:tcPr>
          <w:p>
            <w:pPr>
              <w:spacing w:line="276" w:lineRule="auto"/>
              <w:jc w:val="center"/>
            </w:pPr>
            <w:r/>
            <w:r>
              <w:rPr>
                <w:rFonts w:ascii="Times New Roman" w:hAnsi="Times New Roman" w:cs="Times New Roman" w:eastAsia="宋体"/>
                <w:b w:val="0"/>
                <w:sz w:val="21"/>
              </w:rPr>
              <w:t>直营快递网络</w:t>
            </w:r>
          </w:p>
        </w:tc>
        <w:tc>
          <w:tcPr>
            <w:tcW w:type="dxa" w:w="2551"/>
          </w:tcPr>
          <w:p>
            <w:pPr>
              <w:spacing w:line="276" w:lineRule="auto"/>
              <w:jc w:val="center"/>
            </w:pPr>
            <w:r/>
            <w:r>
              <w:rPr>
                <w:rFonts w:ascii="Times New Roman" w:hAnsi="Times New Roman" w:cs="Times New Roman" w:eastAsia="宋体"/>
                <w:b w:val="0"/>
                <w:sz w:val="21"/>
              </w:rPr>
              <w:t>自营仓配一体化</w:t>
            </w:r>
          </w:p>
        </w:tc>
        <w:tc>
          <w:tcPr>
            <w:tcW w:type="dxa" w:w="2324"/>
          </w:tcPr>
          <w:p>
            <w:pPr>
              <w:spacing w:line="276" w:lineRule="auto"/>
              <w:jc w:val="left"/>
            </w:pPr>
            <w:r/>
            <w:r>
              <w:rPr>
                <w:rFonts w:ascii="Times New Roman" w:hAnsi="Times New Roman" w:cs="Times New Roman" w:eastAsia="宋体"/>
                <w:b w:val="0"/>
                <w:sz w:val="21"/>
              </w:rPr>
              <w:t>平台型（连接商家与物流伙伴）</w:t>
            </w:r>
          </w:p>
        </w:tc>
      </w:tr>
    </w:tbl>
    <w:p>
      <w:pPr>
        <w:spacing w:line="276" w:lineRule="auto" w:before="40" w:after="120"/>
        <w:jc w:val="left"/>
      </w:pPr>
      <w:r>
        <w:rPr>
          <w:rFonts w:ascii="Times New Roman" w:hAnsi="Times New Roman" w:cs="Times New Roman" w:eastAsia="宋体"/>
          <w:b w:val="0"/>
          <w:sz w:val="18"/>
        </w:rPr>
        <w:t>注：表中数据均来自企业发布时的公开信息[2]–[10]，属企业自行披露，测试条件与基线未公开。</w:t>
      </w:r>
    </w:p>
    <w:p>
      <w:pPr>
        <w:keepNext/>
        <w:jc w:val="center"/>
      </w:pPr>
      <w:r>
        <w:drawing>
          <wp:inline xmlns:a="http://schemas.openxmlformats.org/drawingml/2006/main" xmlns:pic="http://schemas.openxmlformats.org/drawingml/2006/picture">
            <wp:extent cx="5580000" cy="2622600"/>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580000" cy="2622600"/>
                    </a:xfrm>
                    <a:prstGeom prst="rect"/>
                  </pic:spPr>
                </pic:pic>
              </a:graphicData>
            </a:graphic>
          </wp:inline>
        </w:drawing>
      </w:r>
    </w:p>
    <w:p>
      <w:pPr>
        <w:spacing w:line="300" w:lineRule="auto" w:before="60" w:after="120"/>
        <w:jc w:val="center"/>
      </w:pPr>
      <w:r>
        <w:rPr>
          <w:rFonts w:ascii="Times New Roman" w:hAnsi="Times New Roman" w:cs="Times New Roman" w:eastAsia="宋体"/>
          <w:b w:val="0"/>
          <w:sz w:val="21"/>
        </w:rPr>
        <w:t>图1  三家企业物流大模型的“三层架构”对比（作者根据公开资料整理绘制）</w:t>
      </w:r>
    </w:p>
    <w:p>
      <w:pPr>
        <w:keepNext/>
        <w:spacing w:line="360" w:lineRule="auto" w:before="120" w:after="60"/>
        <w:jc w:val="both"/>
      </w:pPr>
      <w:r>
        <w:rPr>
          <w:rFonts w:ascii="Times New Roman" w:hAnsi="Times New Roman" w:cs="Times New Roman" w:eastAsia="宋体"/>
          <w:b/>
          <w:sz w:val="26"/>
        </w:rPr>
        <w:t>4.2 发现一：三条路线分别对应“语言型”“求解型”“决策服务型”</w:t>
      </w:r>
    </w:p>
    <w:p>
      <w:pPr>
        <w:spacing w:line="360" w:lineRule="auto" w:before="0" w:after="0"/>
        <w:ind w:firstLine="480"/>
        <w:jc w:val="both"/>
      </w:pPr>
      <w:r>
        <w:rPr>
          <w:rFonts w:ascii="Times New Roman" w:hAnsi="Times New Roman" w:cs="Times New Roman" w:eastAsia="宋体"/>
          <w:b w:val="0"/>
          <w:sz w:val="24"/>
        </w:rPr>
        <w:t>从表2和图1可以看出，三家企业虽然都称“物流大模型”，但重心落在不同层级：</w:t>
      </w:r>
    </w:p>
    <w:p>
      <w:pPr>
        <w:spacing w:line="360" w:lineRule="auto" w:before="0" w:after="0"/>
        <w:ind w:firstLine="480"/>
        <w:jc w:val="both"/>
      </w:pPr>
      <w:r>
        <w:rPr>
          <w:rFonts w:ascii="Times New Roman" w:hAnsi="Times New Roman" w:cs="Times New Roman" w:eastAsia="宋体"/>
          <w:b/>
          <w:sz w:val="24"/>
        </w:rPr>
        <w:t>顺丰偏“语言型 + 决策型”双线并行</w:t>
      </w:r>
      <w:r>
        <w:rPr>
          <w:rFonts w:ascii="Times New Roman" w:hAnsi="Times New Roman" w:cs="Times New Roman" w:eastAsia="宋体"/>
          <w:b w:val="0"/>
          <w:sz w:val="24"/>
        </w:rPr>
        <w:t>，最有特色的是把大语言模型直接交到一线小哥和客服手中，重心在交互层；</w:t>
      </w:r>
      <w:r>
        <w:rPr>
          <w:rFonts w:ascii="Times New Roman" w:hAnsi="Times New Roman" w:cs="Times New Roman" w:eastAsia="宋体"/>
          <w:b/>
          <w:sz w:val="24"/>
        </w:rPr>
        <w:t>京东物流偏“求解型”</w:t>
      </w:r>
      <w:r>
        <w:rPr>
          <w:rFonts w:ascii="Times New Roman" w:hAnsi="Times New Roman" w:cs="Times New Roman" w:eastAsia="宋体"/>
          <w:b w:val="0"/>
          <w:sz w:val="24"/>
        </w:rPr>
        <w:t>，重心在决策/求解层的运筹优化和数字孪生，大语言模型只是外壳；</w:t>
      </w:r>
      <w:r>
        <w:rPr>
          <w:rFonts w:ascii="Times New Roman" w:hAnsi="Times New Roman" w:cs="Times New Roman" w:eastAsia="宋体"/>
          <w:b/>
          <w:sz w:val="24"/>
        </w:rPr>
        <w:t>菜鸟偏“决策服务型”</w:t>
      </w:r>
      <w:r>
        <w:rPr>
          <w:rFonts w:ascii="Times New Roman" w:hAnsi="Times New Roman" w:cs="Times New Roman" w:eastAsia="宋体"/>
          <w:b w:val="0"/>
          <w:sz w:val="24"/>
        </w:rPr>
        <w:t>，把“大模型调度小模型”的能力产品化后卖给商家，重心在为外部客户做决策辅助。</w:t>
      </w:r>
    </w:p>
    <w:p>
      <w:pPr>
        <w:keepNext/>
        <w:spacing w:line="360" w:lineRule="auto" w:before="120" w:after="60"/>
        <w:jc w:val="both"/>
      </w:pPr>
      <w:r>
        <w:rPr>
          <w:rFonts w:ascii="Times New Roman" w:hAnsi="Times New Roman" w:cs="Times New Roman" w:eastAsia="宋体"/>
          <w:b/>
          <w:sz w:val="26"/>
        </w:rPr>
        <w:t>4.3 发现二：网络形态决定了大模型的“第一落点”</w:t>
      </w:r>
    </w:p>
    <w:p>
      <w:pPr>
        <w:spacing w:line="360" w:lineRule="auto" w:before="0" w:after="0"/>
        <w:ind w:firstLine="480"/>
        <w:jc w:val="both"/>
      </w:pPr>
      <w:r>
        <w:rPr>
          <w:rFonts w:ascii="Times New Roman" w:hAnsi="Times New Roman" w:cs="Times New Roman" w:eastAsia="宋体"/>
          <w:b w:val="0"/>
          <w:sz w:val="24"/>
        </w:rPr>
        <w:t>对比第⑤维度可以验证第二章提出的判断。顺丰是直营网络，总部能直接管理数十万收派员和客服，其工单、对话、操作手册等文本数据统一沉淀在总部，因此“语言模型 + 一线员工”是成本最低、见效最快的落点。京东物流是仓配一体的自营体系，从仓库、车辆到站点的数据都在自己手中，最大的降本空间在于网络规划和调度，因此重心放在求解能力上。菜鸟作为平台，并不直接拥有大量一线员工和车辆，但连接着大量商家，最有价值的是帮商家做好库存和补货，因此产品化为面向商家的服务。</w:t>
      </w:r>
    </w:p>
    <w:p>
      <w:pPr>
        <w:spacing w:line="360" w:lineRule="auto" w:before="0" w:after="0"/>
        <w:ind w:firstLine="480"/>
        <w:jc w:val="both"/>
      </w:pPr>
      <w:r>
        <w:rPr>
          <w:rFonts w:ascii="Times New Roman" w:hAnsi="Times New Roman" w:cs="Times New Roman" w:eastAsia="宋体"/>
          <w:b w:val="0"/>
          <w:sz w:val="24"/>
        </w:rPr>
        <w:t>由此可以推论：</w:t>
      </w:r>
      <w:r>
        <w:rPr>
          <w:rFonts w:ascii="Times New Roman" w:hAnsi="Times New Roman" w:cs="Times New Roman" w:eastAsia="宋体"/>
          <w:b/>
          <w:sz w:val="24"/>
        </w:rPr>
        <w:t>对于采用加盟制的快递企业（如“通达系”），总部对一线网点的人员和数据掌控较弱，直接照搬顺丰“一线员工语言助手”或京东“全网统一求解”的路线都会遇到数据分散的问题，更现实的切入点可能是总部能够集中掌握的环节，例如分拨中心的运力调度和面向商家的客服。</w:t>
      </w:r>
      <w:r>
        <w:rPr>
          <w:rFonts w:ascii="Times New Roman" w:hAnsi="Times New Roman" w:cs="Times New Roman" w:eastAsia="宋体"/>
          <w:b w:val="0"/>
          <w:sz w:val="24"/>
        </w:rPr>
        <w:t>这一点是本文在小组作业基础上的延伸思考。</w:t>
      </w:r>
    </w:p>
    <w:p>
      <w:pPr>
        <w:keepNext/>
        <w:spacing w:line="360" w:lineRule="auto" w:before="120" w:after="60"/>
        <w:jc w:val="both"/>
      </w:pPr>
      <w:r>
        <w:rPr>
          <w:rFonts w:ascii="Times New Roman" w:hAnsi="Times New Roman" w:cs="Times New Roman" w:eastAsia="宋体"/>
          <w:b/>
          <w:sz w:val="26"/>
        </w:rPr>
        <w:t>4.4 发现三：大模型没有替代运筹算法，而是成为“调度者”</w:t>
      </w:r>
    </w:p>
    <w:p>
      <w:pPr>
        <w:spacing w:line="360" w:lineRule="auto" w:before="0" w:after="0"/>
        <w:ind w:firstLine="480"/>
        <w:jc w:val="both"/>
      </w:pPr>
      <w:r>
        <w:rPr>
          <w:rFonts w:ascii="Times New Roman" w:hAnsi="Times New Roman" w:cs="Times New Roman" w:eastAsia="宋体"/>
          <w:b w:val="0"/>
          <w:sz w:val="24"/>
        </w:rPr>
        <w:t>三家企业的技术构成有一个明显的共同点：凡是涉及“算出一个精确数值或方案”的任务（销量预测、路线规划、网络选址、分单），都由专业小模型或运筹优化算法完成；大语言模型负责理解需求、调用工具、解释结果。顺丰“丰知”是“大模型交互优势 + 小模型专业深度”，菜鸟是“通用大模型调动专业小模型”，京东的千万级变量求解本质上是混合整数优化问题。</w:t>
      </w:r>
    </w:p>
    <w:p>
      <w:pPr>
        <w:spacing w:line="360" w:lineRule="auto" w:before="0" w:after="0"/>
        <w:ind w:firstLine="480"/>
        <w:jc w:val="both"/>
      </w:pPr>
      <w:r>
        <w:rPr>
          <w:rFonts w:ascii="Times New Roman" w:hAnsi="Times New Roman" w:cs="Times New Roman" w:eastAsia="宋体"/>
          <w:b w:val="0"/>
          <w:sz w:val="24"/>
        </w:rPr>
        <w:t>我认为原因在于：大语言模型生成内容具有概率性，可能出现“幻觉”，而物流决策直接影响成本和时效，一个错误的分单或补货量会造成实际损失；运筹算法的结果可追溯、可验证、满足约束条件。所以现阶段较合理的分工是“</w:t>
      </w:r>
      <w:r>
        <w:rPr>
          <w:rFonts w:ascii="Times New Roman" w:hAnsi="Times New Roman" w:cs="Times New Roman" w:eastAsia="宋体"/>
          <w:b/>
          <w:sz w:val="24"/>
        </w:rPr>
        <w:t>大模型负责说清楚，小模型负责算准确</w:t>
      </w:r>
      <w:r>
        <w:rPr>
          <w:rFonts w:ascii="Times New Roman" w:hAnsi="Times New Roman" w:cs="Times New Roman" w:eastAsia="宋体"/>
          <w:b w:val="0"/>
          <w:sz w:val="24"/>
        </w:rPr>
        <w:t>”。这也提醒我们，在评价一个“物流大模型”时，不能只看大模型本身，更要看它背后的算法和数据底座。</w:t>
      </w:r>
    </w:p>
    <w:p>
      <w:pPr>
        <w:keepNext/>
        <w:spacing w:line="360" w:lineRule="auto" w:before="120" w:after="60"/>
        <w:jc w:val="both"/>
      </w:pPr>
      <w:r>
        <w:rPr>
          <w:rFonts w:ascii="Times New Roman" w:hAnsi="Times New Roman" w:cs="Times New Roman" w:eastAsia="宋体"/>
          <w:b/>
          <w:sz w:val="26"/>
        </w:rPr>
        <w:t>4.5 发现四：效果披露口径不统一，难以真正横向比较</w:t>
      </w:r>
    </w:p>
    <w:p>
      <w:pPr>
        <w:spacing w:line="360" w:lineRule="auto" w:before="0" w:after="0"/>
        <w:ind w:firstLine="480"/>
        <w:jc w:val="both"/>
      </w:pPr>
      <w:r>
        <w:rPr>
          <w:rFonts w:ascii="Times New Roman" w:hAnsi="Times New Roman" w:cs="Times New Roman" w:eastAsia="宋体"/>
          <w:b w:val="0"/>
          <w:sz w:val="24"/>
        </w:rPr>
        <w:t>三家企业披露的指标类型完全不同：顺丰多为准确率和时间节省，京东多为求解时间和作业效率，菜鸟则没有量化数据。即使同为“准确率”，顺丰“摘要准确率＞95%”和京东“分单准确率99.98%”衡量的也是完全不同的任务。此外，“预测准确率提升5%”“效率提升近20%”等数据都缺少基线说明。这使得外部观察者无法判断哪家的大模型“效果更好”，只能比较“用在哪里”。这是本研究的一个局限，同时也引出了第五章关于评价体系的建议。</w:t>
      </w:r>
    </w:p>
    <w:p>
      <w:pPr>
        <w:keepNext/>
        <w:spacing w:line="360" w:lineRule="auto" w:before="240" w:after="120"/>
        <w:jc w:val="both"/>
      </w:pPr>
      <w:r>
        <w:rPr>
          <w:rFonts w:ascii="Times New Roman" w:hAnsi="Times New Roman" w:cs="Times New Roman" w:eastAsia="宋体"/>
          <w:b/>
          <w:sz w:val="30"/>
        </w:rPr>
        <w:t>五、现存问题与优化建议</w:t>
      </w:r>
    </w:p>
    <w:p>
      <w:pPr>
        <w:keepNext/>
        <w:spacing w:line="360" w:lineRule="auto" w:before="120" w:after="60"/>
        <w:jc w:val="both"/>
      </w:pPr>
      <w:r>
        <w:rPr>
          <w:rFonts w:ascii="Times New Roman" w:hAnsi="Times New Roman" w:cs="Times New Roman" w:eastAsia="宋体"/>
          <w:b/>
          <w:sz w:val="26"/>
        </w:rPr>
        <w:t>5.1 现存问题</w:t>
      </w:r>
    </w:p>
    <w:p>
      <w:pPr>
        <w:spacing w:line="360" w:lineRule="auto" w:before="0" w:after="0"/>
        <w:ind w:firstLine="480"/>
        <w:jc w:val="both"/>
      </w:pPr>
      <w:r>
        <w:rPr>
          <w:rFonts w:ascii="Times New Roman" w:hAnsi="Times New Roman" w:cs="Times New Roman" w:eastAsia="宋体"/>
          <w:b w:val="0"/>
          <w:sz w:val="24"/>
        </w:rPr>
        <w:t>基于上述对比，本文归纳出物流大模型在快递企业落地中的五个共性问题：</w:t>
      </w:r>
    </w:p>
    <w:p>
      <w:pPr>
        <w:spacing w:line="360" w:lineRule="auto" w:before="0" w:after="0"/>
        <w:ind w:firstLine="480"/>
        <w:jc w:val="both"/>
      </w:pPr>
      <w:r>
        <w:rPr>
          <w:rFonts w:ascii="Times New Roman" w:hAnsi="Times New Roman" w:cs="Times New Roman" w:eastAsia="宋体"/>
          <w:b/>
          <w:sz w:val="24"/>
        </w:rPr>
        <w:t>问题一：效果评价缺乏统一口径。</w:t>
      </w:r>
      <w:r>
        <w:rPr>
          <w:rFonts w:ascii="Times New Roman" w:hAnsi="Times New Roman" w:cs="Times New Roman" w:eastAsia="宋体"/>
          <w:b w:val="0"/>
          <w:sz w:val="24"/>
        </w:rPr>
        <w:t>如4.5节所述，企业各自选择对自己有利的指标，缺少公开基线，行业内无法比较，企业内部也难以判断投入产出。</w:t>
      </w:r>
    </w:p>
    <w:p>
      <w:pPr>
        <w:spacing w:line="360" w:lineRule="auto" w:before="0" w:after="0"/>
        <w:ind w:firstLine="480"/>
        <w:jc w:val="both"/>
      </w:pPr>
      <w:r>
        <w:rPr>
          <w:rFonts w:ascii="Times New Roman" w:hAnsi="Times New Roman" w:cs="Times New Roman" w:eastAsia="宋体"/>
          <w:b/>
          <w:sz w:val="24"/>
        </w:rPr>
        <w:t>问题二：生成式模型在决策场景中的可靠性风险。</w:t>
      </w:r>
      <w:r>
        <w:rPr>
          <w:rFonts w:ascii="Times New Roman" w:hAnsi="Times New Roman" w:cs="Times New Roman" w:eastAsia="宋体"/>
          <w:b w:val="0"/>
          <w:sz w:val="24"/>
        </w:rPr>
        <w:t>大语言模型可能给出看似合理但错误的答案。在客服摘要等“人最终把关”的场景中风险可控，但如果直接用于补货量、路线等决策，错误会被直接执行。</w:t>
      </w:r>
    </w:p>
    <w:p>
      <w:pPr>
        <w:spacing w:line="360" w:lineRule="auto" w:before="0" w:after="0"/>
        <w:ind w:firstLine="480"/>
        <w:jc w:val="both"/>
      </w:pPr>
      <w:r>
        <w:rPr>
          <w:rFonts w:ascii="Times New Roman" w:hAnsi="Times New Roman" w:cs="Times New Roman" w:eastAsia="宋体"/>
          <w:b/>
          <w:sz w:val="24"/>
        </w:rPr>
        <w:t>问题三：加盟制企业数据分散。</w:t>
      </w:r>
      <w:r>
        <w:rPr>
          <w:rFonts w:ascii="Times New Roman" w:hAnsi="Times New Roman" w:cs="Times New Roman" w:eastAsia="宋体"/>
          <w:b w:val="0"/>
          <w:sz w:val="24"/>
        </w:rPr>
        <w:t>直营和自营企业拥有统一数据，而加盟制企业的末端数据分散在各加盟网点，数据质量参差不齐，难以训练和使用统一的模型。</w:t>
      </w:r>
    </w:p>
    <w:p>
      <w:pPr>
        <w:spacing w:line="360" w:lineRule="auto" w:before="0" w:after="0"/>
        <w:ind w:firstLine="480"/>
        <w:jc w:val="both"/>
      </w:pPr>
      <w:r>
        <w:rPr>
          <w:rFonts w:ascii="Times New Roman" w:hAnsi="Times New Roman" w:cs="Times New Roman" w:eastAsia="宋体"/>
          <w:b/>
          <w:sz w:val="24"/>
        </w:rPr>
        <w:t>问题四：算力与运营成本。</w:t>
      </w:r>
      <w:r>
        <w:rPr>
          <w:rFonts w:ascii="Times New Roman" w:hAnsi="Times New Roman" w:cs="Times New Roman" w:eastAsia="宋体"/>
          <w:b w:val="0"/>
          <w:sz w:val="24"/>
        </w:rPr>
        <w:t>大模型推理成本远高于传统小模型。顺丰“丰知”强调运行效率提升，京东强调求解时间缩短，说明“算得快、算得省”本身就是落地的关键约束。对于利润率较低的快递企业，若每次调用的成本高于其节省的人力成本，就难以规模化推广。</w:t>
      </w:r>
    </w:p>
    <w:p>
      <w:pPr>
        <w:spacing w:line="360" w:lineRule="auto" w:before="0" w:after="0"/>
        <w:ind w:firstLine="480"/>
        <w:jc w:val="both"/>
      </w:pPr>
      <w:r>
        <w:rPr>
          <w:rFonts w:ascii="Times New Roman" w:hAnsi="Times New Roman" w:cs="Times New Roman" w:eastAsia="宋体"/>
          <w:b/>
          <w:sz w:val="24"/>
        </w:rPr>
        <w:t>问题五：一线人员的使用门槛与接受度。</w:t>
      </w:r>
      <w:r>
        <w:rPr>
          <w:rFonts w:ascii="Times New Roman" w:hAnsi="Times New Roman" w:cs="Times New Roman" w:eastAsia="宋体"/>
          <w:b w:val="0"/>
          <w:sz w:val="24"/>
        </w:rPr>
        <w:t>一线收派员工作节奏快，如果语言助手的回答需要反复追问或答非所问，员工会回到“打电话问站长”的老办法，导致工具闲置。</w:t>
      </w:r>
    </w:p>
    <w:p>
      <w:pPr>
        <w:keepNext/>
        <w:spacing w:line="360" w:lineRule="auto" w:before="120" w:after="60"/>
        <w:jc w:val="both"/>
      </w:pPr>
      <w:r>
        <w:rPr>
          <w:rFonts w:ascii="Times New Roman" w:hAnsi="Times New Roman" w:cs="Times New Roman" w:eastAsia="宋体"/>
          <w:b/>
          <w:sz w:val="26"/>
        </w:rPr>
        <w:t>5.2 优化建议</w:t>
      </w:r>
    </w:p>
    <w:p>
      <w:pPr>
        <w:spacing w:line="360" w:lineRule="auto" w:before="0" w:after="0"/>
        <w:ind w:firstLine="480"/>
        <w:jc w:val="both"/>
      </w:pPr>
      <w:r>
        <w:rPr>
          <w:rFonts w:ascii="Times New Roman" w:hAnsi="Times New Roman" w:cs="Times New Roman" w:eastAsia="宋体"/>
          <w:b w:val="0"/>
          <w:sz w:val="24"/>
        </w:rPr>
        <w:t>针对上述问题，提出以下建议：</w:t>
      </w:r>
    </w:p>
    <w:p>
      <w:pPr>
        <w:spacing w:line="360" w:lineRule="auto" w:before="0" w:after="0"/>
        <w:ind w:firstLine="480"/>
        <w:jc w:val="both"/>
      </w:pPr>
      <w:r>
        <w:rPr>
          <w:rFonts w:ascii="Times New Roman" w:hAnsi="Times New Roman" w:cs="Times New Roman" w:eastAsia="宋体"/>
          <w:b/>
          <w:sz w:val="24"/>
        </w:rPr>
        <w:t>建议一：建立“按模型类型分级”的效果评价指标体系。</w:t>
      </w:r>
      <w:r>
        <w:rPr>
          <w:rFonts w:ascii="Times New Roman" w:hAnsi="Times New Roman" w:cs="Times New Roman" w:eastAsia="宋体"/>
          <w:b w:val="0"/>
          <w:sz w:val="24"/>
        </w:rPr>
        <w:t>不同类型的物流大模型应使用不同指标，并强制给出基线（见表3）。企业内部可据此进行上线前评估和上线后跟踪，对外披露时也应至少说明基线和测试范围。</w:t>
      </w:r>
    </w:p>
    <w:p>
      <w:pPr>
        <w:keepNext/>
        <w:spacing w:line="300" w:lineRule="auto" w:before="60" w:after="120"/>
        <w:jc w:val="center"/>
      </w:pPr>
      <w:r>
        <w:rPr>
          <w:rFonts w:ascii="Times New Roman" w:hAnsi="Times New Roman" w:cs="Times New Roman" w:eastAsia="宋体"/>
          <w:b w:val="0"/>
          <w:sz w:val="21"/>
        </w:rPr>
        <w:t>表3  物流大模型分级评价指标体系（作者设计）</w:t>
      </w:r>
    </w:p>
    <w:tbl>
      <w:tblPr>
        <w:tblW w:type="auto" w:w="0"/>
        <w:jc w:val="center"/>
        <w:tblLook w:firstColumn="1" w:firstRow="1" w:lastColumn="0" w:lastRow="0" w:noHBand="0" w:noVBand="1" w:val="04A0"/>
        <w:tblBorders>
          <w:top w:val="single" w:sz="12" w:color="000000"/>
          <w:bottom w:val="single" w:sz="12" w:color="000000"/>
          <w:insideH w:val="single" w:sz="4" w:color="000000"/>
          <w:left w:val="single" w:sz="4" w:color="000000"/>
          <w:right w:val="single" w:sz="4" w:color="000000"/>
          <w:insideV w:val="single" w:sz="4" w:color="000000"/>
        </w:tblBorders>
      </w:tblPr>
      <w:tblGrid>
        <w:gridCol w:w="2338"/>
        <w:gridCol w:w="2338"/>
        <w:gridCol w:w="2338"/>
        <w:gridCol w:w="2338"/>
      </w:tblGrid>
      <w:tr>
        <w:tc>
          <w:tcPr>
            <w:tcW w:type="dxa" w:w="1247"/>
            <w:shd w:val="clear" w:fill="E7E6E6"/>
          </w:tcPr>
          <w:p>
            <w:pPr>
              <w:spacing w:line="276" w:lineRule="auto"/>
              <w:jc w:val="center"/>
            </w:pPr>
            <w:r/>
            <w:r>
              <w:rPr>
                <w:rFonts w:ascii="Times New Roman" w:hAnsi="Times New Roman" w:cs="Times New Roman" w:eastAsia="宋体"/>
                <w:b/>
                <w:sz w:val="21"/>
              </w:rPr>
              <w:t>模型类型</w:t>
            </w:r>
          </w:p>
        </w:tc>
        <w:tc>
          <w:tcPr>
            <w:tcW w:type="dxa" w:w="1814"/>
            <w:shd w:val="clear" w:fill="E7E6E6"/>
          </w:tcPr>
          <w:p>
            <w:pPr>
              <w:spacing w:line="276" w:lineRule="auto"/>
              <w:jc w:val="center"/>
            </w:pPr>
            <w:r/>
            <w:r>
              <w:rPr>
                <w:rFonts w:ascii="Times New Roman" w:hAnsi="Times New Roman" w:cs="Times New Roman" w:eastAsia="宋体"/>
                <w:b/>
                <w:sz w:val="21"/>
              </w:rPr>
              <w:t>典型场景</w:t>
            </w:r>
          </w:p>
        </w:tc>
        <w:tc>
          <w:tcPr>
            <w:tcW w:type="dxa" w:w="3175"/>
            <w:shd w:val="clear" w:fill="E7E6E6"/>
          </w:tcPr>
          <w:p>
            <w:pPr>
              <w:spacing w:line="276" w:lineRule="auto"/>
              <w:jc w:val="center"/>
            </w:pPr>
            <w:r/>
            <w:r>
              <w:rPr>
                <w:rFonts w:ascii="Times New Roman" w:hAnsi="Times New Roman" w:cs="Times New Roman" w:eastAsia="宋体"/>
                <w:b/>
                <w:sz w:val="21"/>
              </w:rPr>
              <w:t>建议核心指标</w:t>
            </w:r>
          </w:p>
        </w:tc>
        <w:tc>
          <w:tcPr>
            <w:tcW w:type="dxa" w:w="2551"/>
            <w:shd w:val="clear" w:fill="E7E6E6"/>
          </w:tcPr>
          <w:p>
            <w:pPr>
              <w:spacing w:line="276" w:lineRule="auto"/>
              <w:jc w:val="center"/>
            </w:pPr>
            <w:r/>
            <w:r>
              <w:rPr>
                <w:rFonts w:ascii="Times New Roman" w:hAnsi="Times New Roman" w:cs="Times New Roman" w:eastAsia="宋体"/>
                <w:b/>
                <w:sz w:val="21"/>
              </w:rPr>
              <w:t>建议必须同时披露</w:t>
            </w:r>
          </w:p>
        </w:tc>
      </w:tr>
      <w:tr>
        <w:tc>
          <w:tcPr>
            <w:tcW w:type="dxa" w:w="1247"/>
          </w:tcPr>
          <w:p>
            <w:pPr>
              <w:spacing w:line="276" w:lineRule="auto"/>
              <w:jc w:val="center"/>
            </w:pPr>
            <w:r/>
            <w:r>
              <w:rPr>
                <w:rFonts w:ascii="Times New Roman" w:hAnsi="Times New Roman" w:cs="Times New Roman" w:eastAsia="宋体"/>
                <w:b w:val="0"/>
                <w:sz w:val="21"/>
              </w:rPr>
              <w:t>语言型</w:t>
            </w:r>
          </w:p>
        </w:tc>
        <w:tc>
          <w:tcPr>
            <w:tcW w:type="dxa" w:w="1814"/>
          </w:tcPr>
          <w:p>
            <w:pPr>
              <w:spacing w:line="276" w:lineRule="auto"/>
              <w:jc w:val="left"/>
            </w:pPr>
            <w:r/>
            <w:r>
              <w:rPr>
                <w:rFonts w:ascii="Times New Roman" w:hAnsi="Times New Roman" w:cs="Times New Roman" w:eastAsia="宋体"/>
                <w:b w:val="0"/>
                <w:sz w:val="21"/>
              </w:rPr>
              <w:t>客服摘要、员工问答</w:t>
            </w:r>
          </w:p>
        </w:tc>
        <w:tc>
          <w:tcPr>
            <w:tcW w:type="dxa" w:w="3175"/>
          </w:tcPr>
          <w:p>
            <w:pPr>
              <w:spacing w:line="276" w:lineRule="auto"/>
              <w:jc w:val="left"/>
            </w:pPr>
            <w:r/>
            <w:r>
              <w:rPr>
                <w:rFonts w:ascii="Times New Roman" w:hAnsi="Times New Roman" w:cs="Times New Roman" w:eastAsia="宋体"/>
                <w:b w:val="0"/>
                <w:sz w:val="21"/>
              </w:rPr>
              <w:t>摘要准确率、问题解决率、单次处理时长、转人工率</w:t>
            </w:r>
          </w:p>
        </w:tc>
        <w:tc>
          <w:tcPr>
            <w:tcW w:type="dxa" w:w="2551"/>
          </w:tcPr>
          <w:p>
            <w:pPr>
              <w:spacing w:line="276" w:lineRule="auto"/>
              <w:jc w:val="left"/>
            </w:pPr>
            <w:r/>
            <w:r>
              <w:rPr>
                <w:rFonts w:ascii="Times New Roman" w:hAnsi="Times New Roman" w:cs="Times New Roman" w:eastAsia="宋体"/>
                <w:b w:val="0"/>
                <w:sz w:val="21"/>
              </w:rPr>
              <w:t>测试样本量、人工评审标准</w:t>
            </w:r>
          </w:p>
        </w:tc>
      </w:tr>
      <w:tr>
        <w:tc>
          <w:tcPr>
            <w:tcW w:type="dxa" w:w="1247"/>
          </w:tcPr>
          <w:p>
            <w:pPr>
              <w:spacing w:line="276" w:lineRule="auto"/>
              <w:jc w:val="center"/>
            </w:pPr>
            <w:r/>
            <w:r>
              <w:rPr>
                <w:rFonts w:ascii="Times New Roman" w:hAnsi="Times New Roman" w:cs="Times New Roman" w:eastAsia="宋体"/>
                <w:b w:val="0"/>
                <w:sz w:val="21"/>
              </w:rPr>
              <w:t>决策型</w:t>
            </w:r>
          </w:p>
        </w:tc>
        <w:tc>
          <w:tcPr>
            <w:tcW w:type="dxa" w:w="1814"/>
          </w:tcPr>
          <w:p>
            <w:pPr>
              <w:spacing w:line="276" w:lineRule="auto"/>
              <w:jc w:val="center"/>
            </w:pPr>
            <w:r/>
            <w:r>
              <w:rPr>
                <w:rFonts w:ascii="Times New Roman" w:hAnsi="Times New Roman" w:cs="Times New Roman" w:eastAsia="宋体"/>
                <w:b w:val="0"/>
                <w:sz w:val="21"/>
              </w:rPr>
              <w:t>需求预测、补货</w:t>
            </w:r>
          </w:p>
        </w:tc>
        <w:tc>
          <w:tcPr>
            <w:tcW w:type="dxa" w:w="3175"/>
          </w:tcPr>
          <w:p>
            <w:pPr>
              <w:spacing w:line="276" w:lineRule="auto"/>
              <w:jc w:val="left"/>
            </w:pPr>
            <w:r/>
            <w:r>
              <w:rPr>
                <w:rFonts w:ascii="Times New Roman" w:hAnsi="Times New Roman" w:cs="Times New Roman" w:eastAsia="宋体"/>
                <w:b w:val="0"/>
                <w:sz w:val="21"/>
              </w:rPr>
              <w:t>预测误差（如MAPE）、缺货率、库存周转天数</w:t>
            </w:r>
          </w:p>
        </w:tc>
        <w:tc>
          <w:tcPr>
            <w:tcW w:type="dxa" w:w="2551"/>
          </w:tcPr>
          <w:p>
            <w:pPr>
              <w:spacing w:line="276" w:lineRule="auto"/>
              <w:jc w:val="left"/>
            </w:pPr>
            <w:r/>
            <w:r>
              <w:rPr>
                <w:rFonts w:ascii="Times New Roman" w:hAnsi="Times New Roman" w:cs="Times New Roman" w:eastAsia="宋体"/>
                <w:b w:val="0"/>
                <w:sz w:val="21"/>
              </w:rPr>
              <w:t>对比基线模型、预测周期</w:t>
            </w:r>
          </w:p>
        </w:tc>
      </w:tr>
      <w:tr>
        <w:tc>
          <w:tcPr>
            <w:tcW w:type="dxa" w:w="1247"/>
          </w:tcPr>
          <w:p>
            <w:pPr>
              <w:spacing w:line="276" w:lineRule="auto"/>
              <w:jc w:val="center"/>
            </w:pPr>
            <w:r/>
            <w:r>
              <w:rPr>
                <w:rFonts w:ascii="Times New Roman" w:hAnsi="Times New Roman" w:cs="Times New Roman" w:eastAsia="宋体"/>
                <w:b w:val="0"/>
                <w:sz w:val="21"/>
              </w:rPr>
              <w:t>求解型</w:t>
            </w:r>
          </w:p>
        </w:tc>
        <w:tc>
          <w:tcPr>
            <w:tcW w:type="dxa" w:w="1814"/>
          </w:tcPr>
          <w:p>
            <w:pPr>
              <w:spacing w:line="276" w:lineRule="auto"/>
              <w:jc w:val="left"/>
            </w:pPr>
            <w:r/>
            <w:r>
              <w:rPr>
                <w:rFonts w:ascii="Times New Roman" w:hAnsi="Times New Roman" w:cs="Times New Roman" w:eastAsia="宋体"/>
                <w:b w:val="0"/>
                <w:sz w:val="21"/>
              </w:rPr>
              <w:t>网络规划、调度、分单</w:t>
            </w:r>
          </w:p>
        </w:tc>
        <w:tc>
          <w:tcPr>
            <w:tcW w:type="dxa" w:w="3175"/>
          </w:tcPr>
          <w:p>
            <w:pPr>
              <w:spacing w:line="276" w:lineRule="auto"/>
              <w:jc w:val="left"/>
            </w:pPr>
            <w:r/>
            <w:r>
              <w:rPr>
                <w:rFonts w:ascii="Times New Roman" w:hAnsi="Times New Roman" w:cs="Times New Roman" w:eastAsia="宋体"/>
                <w:b w:val="0"/>
                <w:sz w:val="21"/>
              </w:rPr>
              <w:t>求解时间、与最优解的差距、成本降幅、分单错误率</w:t>
            </w:r>
          </w:p>
        </w:tc>
        <w:tc>
          <w:tcPr>
            <w:tcW w:type="dxa" w:w="2551"/>
          </w:tcPr>
          <w:p>
            <w:pPr>
              <w:spacing w:line="276" w:lineRule="auto"/>
              <w:jc w:val="left"/>
            </w:pPr>
            <w:r/>
            <w:r>
              <w:rPr>
                <w:rFonts w:ascii="Times New Roman" w:hAnsi="Times New Roman" w:cs="Times New Roman" w:eastAsia="宋体"/>
                <w:b w:val="0"/>
                <w:sz w:val="21"/>
              </w:rPr>
              <w:t>问题规模、约束条件</w:t>
            </w:r>
          </w:p>
        </w:tc>
      </w:tr>
    </w:tbl>
    <w:p>
      <w:pPr>
        <w:spacing w:line="240" w:lineRule="auto" w:before="0" w:after="0"/>
        <w:jc w:val="both"/>
      </w:pPr>
    </w:p>
    <w:p>
      <w:pPr>
        <w:spacing w:line="360" w:lineRule="auto" w:before="0" w:after="0"/>
        <w:ind w:firstLine="480"/>
        <w:jc w:val="both"/>
      </w:pPr>
      <w:r>
        <w:rPr>
          <w:rFonts w:ascii="Times New Roman" w:hAnsi="Times New Roman" w:cs="Times New Roman" w:eastAsia="宋体"/>
          <w:b/>
          <w:sz w:val="24"/>
        </w:rPr>
        <w:t>建议二：坚持“大模型编排、小模型计算、规则兜底”的架构。</w:t>
      </w:r>
      <w:r>
        <w:rPr>
          <w:rFonts w:ascii="Times New Roman" w:hAnsi="Times New Roman" w:cs="Times New Roman" w:eastAsia="宋体"/>
          <w:b w:val="0"/>
          <w:sz w:val="24"/>
        </w:rPr>
        <w:t>在决策类场景中，大模型只负责理解需求和调用工具，关键数值必须由可追溯的预测或运筹模型给出，并设置规则校验（如补货量不得超过仓容、路线必须满足时效约束）。对于模型置信度较低的结果，自动转人工审核。这一架构已被三家企业不同程度地采用，可作为其他快递企业建设时的参考模板。</w:t>
      </w:r>
    </w:p>
    <w:p>
      <w:pPr>
        <w:spacing w:line="360" w:lineRule="auto" w:before="0" w:after="0"/>
        <w:ind w:firstLine="480"/>
        <w:jc w:val="both"/>
      </w:pPr>
      <w:r>
        <w:rPr>
          <w:rFonts w:ascii="Times New Roman" w:hAnsi="Times New Roman" w:cs="Times New Roman" w:eastAsia="宋体"/>
          <w:b/>
          <w:sz w:val="24"/>
        </w:rPr>
        <w:t>建议三：加盟制企业采用“总部数据中台 + 轻量化场景模型”的渐进路线。</w:t>
      </w:r>
      <w:r>
        <w:rPr>
          <w:rFonts w:ascii="Times New Roman" w:hAnsi="Times New Roman" w:cs="Times New Roman" w:eastAsia="宋体"/>
          <w:b w:val="0"/>
          <w:sz w:val="24"/>
        </w:rPr>
        <w:t>第一步，由总部统一建设运单、轨迹、工单等核心数据标准，先在总部直接掌握的分拨中心调度和商家客服两个场景落地；第二步，把成熟的场景模型以轻量化方式下发给加盟网点使用，网点只需上传标准化数据即可获得服务，降低加盟商的接入门槛。</w:t>
      </w:r>
    </w:p>
    <w:p>
      <w:pPr>
        <w:spacing w:line="360" w:lineRule="auto" w:before="0" w:after="0"/>
        <w:ind w:firstLine="480"/>
        <w:jc w:val="both"/>
      </w:pPr>
      <w:r>
        <w:rPr>
          <w:rFonts w:ascii="Times New Roman" w:hAnsi="Times New Roman" w:cs="Times New Roman" w:eastAsia="宋体"/>
          <w:b/>
          <w:sz w:val="24"/>
        </w:rPr>
        <w:t>建议四：用“小模型优先、大模型补位”控制成本。</w:t>
      </w:r>
      <w:r>
        <w:rPr>
          <w:rFonts w:ascii="Times New Roman" w:hAnsi="Times New Roman" w:cs="Times New Roman" w:eastAsia="宋体"/>
          <w:b w:val="0"/>
          <w:sz w:val="24"/>
        </w:rPr>
        <w:t>对于高频、规则明确的问题（如查件、改地址），优先使用检索或传统小模型直接回答；只有复杂、长尾的问题才调用大模型。同时在模型选型上优先使用参数规模适中的垂直模型，顺丰“丰语”宣称垂域能力优于更大尺寸的通用模型[2]，说明通过垂域数据训练，较小的模型同样可以满足需求。</w:t>
      </w:r>
    </w:p>
    <w:p>
      <w:pPr>
        <w:spacing w:line="360" w:lineRule="auto" w:before="0" w:after="0"/>
        <w:ind w:firstLine="480"/>
        <w:jc w:val="both"/>
      </w:pPr>
      <w:r>
        <w:rPr>
          <w:rFonts w:ascii="Times New Roman" w:hAnsi="Times New Roman" w:cs="Times New Roman" w:eastAsia="宋体"/>
          <w:b/>
          <w:sz w:val="24"/>
        </w:rPr>
        <w:t>建议五：围绕一线员工设计“低门槛”交互。</w:t>
      </w:r>
      <w:r>
        <w:rPr>
          <w:rFonts w:ascii="Times New Roman" w:hAnsi="Times New Roman" w:cs="Times New Roman" w:eastAsia="宋体"/>
          <w:b w:val="0"/>
          <w:sz w:val="24"/>
        </w:rPr>
        <w:t>为收派员提供语音提问、一键拍照识别异常件等交互方式，答案以“步骤卡片”形式给出；并把员工对答案的“有用/无用”反馈纳入模型迭代。上线初期可以选择试点站点，用“问题解决率”和“每日使用次数”判断工具是否真正被用起来。</w:t>
      </w:r>
    </w:p>
    <w:p>
      <w:pPr>
        <w:keepNext/>
        <w:spacing w:line="360" w:lineRule="auto" w:before="240" w:after="120"/>
        <w:jc w:val="both"/>
      </w:pPr>
      <w:r>
        <w:rPr>
          <w:rFonts w:ascii="Times New Roman" w:hAnsi="Times New Roman" w:cs="Times New Roman" w:eastAsia="宋体"/>
          <w:b/>
          <w:sz w:val="30"/>
        </w:rPr>
        <w:t>六、结论</w:t>
      </w:r>
    </w:p>
    <w:p>
      <w:pPr>
        <w:spacing w:line="360" w:lineRule="auto" w:before="0" w:after="0"/>
        <w:ind w:firstLine="480"/>
        <w:jc w:val="both"/>
      </w:pPr>
      <w:r>
        <w:rPr>
          <w:rFonts w:ascii="Times New Roman" w:hAnsi="Times New Roman" w:cs="Times New Roman" w:eastAsia="宋体"/>
          <w:b w:val="0"/>
          <w:sz w:val="24"/>
        </w:rPr>
        <w:t>本文以顺丰“丰语/丰知”、京东物流“超脑”、菜鸟“天机π”三个案例为对象，从产品定位、技术构成、应用环节、效果披露和企业网络形态五个维度进行了对比分析，主要结论如下：</w:t>
      </w:r>
    </w:p>
    <w:p>
      <w:pPr>
        <w:spacing w:line="360" w:lineRule="auto" w:before="0" w:after="0"/>
        <w:ind w:firstLine="480"/>
        <w:jc w:val="both"/>
      </w:pPr>
      <w:r>
        <w:rPr>
          <w:rFonts w:ascii="Times New Roman" w:hAnsi="Times New Roman" w:cs="Times New Roman" w:eastAsia="宋体"/>
          <w:b w:val="0"/>
          <w:sz w:val="24"/>
        </w:rPr>
        <w:t>第一，同样被称为“物流大模型”，三家企业实际走出了三条不同路线：顺丰以“语言型”模型赋能一线员工与客服，同时建设决策模型；京东物流以运筹优化和数字孪生为核心的“求解型”路线为主；菜鸟则把“大模型调度小模型”的能力产品化，为商家提供“决策服务型”产品。</w:t>
      </w:r>
    </w:p>
    <w:p>
      <w:pPr>
        <w:spacing w:line="360" w:lineRule="auto" w:before="0" w:after="0"/>
        <w:ind w:firstLine="480"/>
        <w:jc w:val="both"/>
      </w:pPr>
      <w:r>
        <w:rPr>
          <w:rFonts w:ascii="Times New Roman" w:hAnsi="Times New Roman" w:cs="Times New Roman" w:eastAsia="宋体"/>
          <w:b w:val="0"/>
          <w:sz w:val="24"/>
        </w:rPr>
        <w:t>第二，企业的网络形态在很大程度上决定了大模型的第一落点：直营企业先落在一线员工，自营仓配企业先落在全链路求解，平台型企业先落在商家服务。加盟制快递企业不宜简单照搬，应从总部能够集中掌握数据的环节切入。</w:t>
      </w:r>
    </w:p>
    <w:p>
      <w:pPr>
        <w:spacing w:line="360" w:lineRule="auto" w:before="0" w:after="0"/>
        <w:ind w:firstLine="480"/>
        <w:jc w:val="both"/>
      </w:pPr>
      <w:r>
        <w:rPr>
          <w:rFonts w:ascii="Times New Roman" w:hAnsi="Times New Roman" w:cs="Times New Roman" w:eastAsia="宋体"/>
          <w:b w:val="0"/>
          <w:sz w:val="24"/>
        </w:rPr>
        <w:t>第三，现阶段大模型并没有替代运筹优化和专业预测算法，而是作为“调度者”和“解释者”存在。“大模型负责说清楚，小模型负责算准确”是更可靠的分工方式。</w:t>
      </w:r>
    </w:p>
    <w:p>
      <w:pPr>
        <w:spacing w:line="360" w:lineRule="auto" w:before="0" w:after="0"/>
        <w:ind w:firstLine="480"/>
        <w:jc w:val="both"/>
      </w:pPr>
      <w:r>
        <w:rPr>
          <w:rFonts w:ascii="Times New Roman" w:hAnsi="Times New Roman" w:cs="Times New Roman" w:eastAsia="宋体"/>
          <w:b w:val="0"/>
          <w:sz w:val="24"/>
        </w:rPr>
        <w:t>第四，物流大模型的效果评价口径不统一是当前最突出的问题之一，本文提出了按“语言型、决策型、求解型”分级的评价指标体系，以及“规则兜底”“小模型优先”“总部数据中台”等可操作的改进建议。</w:t>
      </w:r>
    </w:p>
    <w:p>
      <w:pPr>
        <w:spacing w:line="360" w:lineRule="auto" w:before="0" w:after="0"/>
        <w:ind w:firstLine="480"/>
        <w:jc w:val="both"/>
      </w:pPr>
      <w:r>
        <w:rPr>
          <w:rFonts w:ascii="Times New Roman" w:hAnsi="Times New Roman" w:cs="Times New Roman" w:eastAsia="宋体"/>
          <w:b w:val="0"/>
          <w:sz w:val="24"/>
        </w:rPr>
        <w:t>展望未来，随着国务院《关于深入实施“人工智能+”行动的意见》[1]等政策的推进，以及具身智能设备（如京东“异狼”机械臂）的部署，物流大模型可能从“辅助人做决策”逐步走向“直接指挥设备执行”。届时，决策的可靠性和可追溯性会比现在更加重要，这也是本文强调“规则兜底”和“统一评价”的原因。</w:t>
      </w:r>
    </w:p>
    <w:p>
      <w:pPr>
        <w:keepNext/>
        <w:spacing w:line="360" w:lineRule="auto" w:before="240" w:after="120"/>
        <w:jc w:val="both"/>
      </w:pPr>
      <w:r>
        <w:rPr>
          <w:rFonts w:ascii="Times New Roman" w:hAnsi="Times New Roman" w:cs="Times New Roman" w:eastAsia="宋体"/>
          <w:b/>
          <w:sz w:val="30"/>
        </w:rPr>
        <w:t>七、AI工具应用过程与反思</w:t>
      </w:r>
    </w:p>
    <w:p>
      <w:pPr>
        <w:keepNext/>
        <w:spacing w:line="360" w:lineRule="auto" w:before="120" w:after="60"/>
        <w:jc w:val="both"/>
      </w:pPr>
      <w:r>
        <w:rPr>
          <w:rFonts w:ascii="Times New Roman" w:hAnsi="Times New Roman" w:cs="Times New Roman" w:eastAsia="宋体"/>
          <w:b/>
          <w:sz w:val="26"/>
        </w:rPr>
        <w:t>7.1 应用场景</w:t>
      </w:r>
    </w:p>
    <w:p>
      <w:pPr>
        <w:spacing w:line="360" w:lineRule="auto" w:before="0" w:after="0"/>
        <w:ind w:firstLine="480"/>
        <w:jc w:val="both"/>
      </w:pPr>
      <w:r>
        <w:rPr>
          <w:rFonts w:ascii="Times New Roman" w:hAnsi="Times New Roman" w:cs="Times New Roman" w:eastAsia="宋体"/>
          <w:b w:val="0"/>
          <w:sz w:val="24"/>
        </w:rPr>
        <w:t>本次作业使用的AI工具是Anthropic公司的Claude，通过Claude Code（在云端运行、可联网检索和执行程序的AI编程/办公助手）使用。需要如实说明的是：本报告的资料检索、分析框架搭建、初稿撰写、图表制作和Word排版主要由AI完成；我本人负责提供课程材料（作业要求与报告模板）、告知小组主题“AI在现代物流中的应用”、在AI给出的几种切入方式中选择“多案例对比”、提供封面信息，并对成稿进行阅读和确认。具体来说，AI参与了以下环节：</w:t>
      </w:r>
    </w:p>
    <w:p>
      <w:pPr>
        <w:spacing w:line="360" w:lineRule="auto" w:before="0" w:after="0"/>
        <w:ind w:firstLine="480"/>
        <w:jc w:val="both"/>
      </w:pPr>
      <w:r>
        <w:rPr>
          <w:rFonts w:ascii="Times New Roman" w:hAnsi="Times New Roman" w:cs="Times New Roman" w:eastAsia="宋体"/>
          <w:b w:val="0"/>
          <w:sz w:val="24"/>
        </w:rPr>
        <w:t>（1）</w:t>
      </w:r>
      <w:r>
        <w:rPr>
          <w:rFonts w:ascii="Times New Roman" w:hAnsi="Times New Roman" w:cs="Times New Roman" w:eastAsia="宋体"/>
          <w:b/>
          <w:sz w:val="24"/>
        </w:rPr>
        <w:t>选题与切入点</w:t>
      </w:r>
      <w:r>
        <w:rPr>
          <w:rFonts w:ascii="Times New Roman" w:hAnsi="Times New Roman" w:cs="Times New Roman" w:eastAsia="宋体"/>
          <w:b w:val="0"/>
          <w:sz w:val="24"/>
        </w:rPr>
        <w:t>：AI读取了作业要求后，先向我询问小组主题和切入方式（给出“多案例对比”“单个案例深度拆解”“技术痛点与优化方案”等选项），我选择了“多案例对比”，AI再据此把题目收窄到“三家头部企业的物流垂直大模型”。</w:t>
      </w:r>
    </w:p>
    <w:p>
      <w:pPr>
        <w:spacing w:line="360" w:lineRule="auto" w:before="0" w:after="0"/>
        <w:ind w:firstLine="480"/>
        <w:jc w:val="both"/>
      </w:pPr>
      <w:r>
        <w:rPr>
          <w:rFonts w:ascii="Times New Roman" w:hAnsi="Times New Roman" w:cs="Times New Roman" w:eastAsia="宋体"/>
          <w:b w:val="0"/>
          <w:sz w:val="24"/>
        </w:rPr>
        <w:t>（2）</w:t>
      </w:r>
      <w:r>
        <w:rPr>
          <w:rFonts w:ascii="Times New Roman" w:hAnsi="Times New Roman" w:cs="Times New Roman" w:eastAsia="宋体"/>
          <w:b/>
          <w:sz w:val="24"/>
        </w:rPr>
        <w:t>资料检索</w:t>
      </w:r>
      <w:r>
        <w:rPr>
          <w:rFonts w:ascii="Times New Roman" w:hAnsi="Times New Roman" w:cs="Times New Roman" w:eastAsia="宋体"/>
          <w:b w:val="0"/>
          <w:sz w:val="24"/>
        </w:rPr>
        <w:t>：AI共进行了9次联网搜索，检索词包括“顺丰 丰语 物流大模型 发布 客服 摘要 准确率”“顺丰 丰知 物流决策大模型 预测准确率”“京东物流 超脑 大模型 数字孪生”“京东物流 超脑大模型2.0 异狼 千万级变量”“菜鸟 天机π 供应链大模型 销量预测 补货”“国务院 关于深入实施‘人工智能+’行动的意见”以及物流大模型相关期刊论文和行业报告等。</w:t>
      </w:r>
    </w:p>
    <w:p>
      <w:pPr>
        <w:spacing w:line="360" w:lineRule="auto" w:before="0" w:after="0"/>
        <w:ind w:firstLine="480"/>
        <w:jc w:val="both"/>
      </w:pPr>
      <w:r>
        <w:rPr>
          <w:rFonts w:ascii="Times New Roman" w:hAnsi="Times New Roman" w:cs="Times New Roman" w:eastAsia="宋体"/>
          <w:b w:val="0"/>
          <w:sz w:val="24"/>
        </w:rPr>
        <w:t>（3）</w:t>
      </w:r>
      <w:r>
        <w:rPr>
          <w:rFonts w:ascii="Times New Roman" w:hAnsi="Times New Roman" w:cs="Times New Roman" w:eastAsia="宋体"/>
          <w:b/>
          <w:sz w:val="24"/>
        </w:rPr>
        <w:t>分析与写作</w:t>
      </w:r>
      <w:r>
        <w:rPr>
          <w:rFonts w:ascii="Times New Roman" w:hAnsi="Times New Roman" w:cs="Times New Roman" w:eastAsia="宋体"/>
          <w:b w:val="0"/>
          <w:sz w:val="24"/>
        </w:rPr>
        <w:t>：AI根据检索结果设计了五个对比维度，归纳出“语言型/求解型/决策服务型”三条路线和“网络形态决定第一落点”等分析观点，并撰写全文初稿。</w:t>
      </w:r>
    </w:p>
    <w:p>
      <w:pPr>
        <w:spacing w:line="360" w:lineRule="auto" w:before="0" w:after="0"/>
        <w:ind w:firstLine="480"/>
        <w:jc w:val="both"/>
      </w:pPr>
      <w:r>
        <w:rPr>
          <w:rFonts w:ascii="Times New Roman" w:hAnsi="Times New Roman" w:cs="Times New Roman" w:eastAsia="宋体"/>
          <w:b w:val="0"/>
          <w:sz w:val="24"/>
        </w:rPr>
        <w:t>（4）</w:t>
      </w:r>
      <w:r>
        <w:rPr>
          <w:rFonts w:ascii="Times New Roman" w:hAnsi="Times New Roman" w:cs="Times New Roman" w:eastAsia="宋体"/>
          <w:b/>
          <w:sz w:val="24"/>
        </w:rPr>
        <w:t>制表绘图与排版</w:t>
      </w:r>
      <w:r>
        <w:rPr>
          <w:rFonts w:ascii="Times New Roman" w:hAnsi="Times New Roman" w:cs="Times New Roman" w:eastAsia="宋体"/>
          <w:b w:val="0"/>
          <w:sz w:val="24"/>
        </w:rPr>
        <w:t>：AI编写Python程序，绘制图1“三层架构”对比图，生成表1至表4，并把正文套入课程Word模板、填写封面。</w:t>
      </w:r>
    </w:p>
    <w:p>
      <w:pPr>
        <w:keepNext/>
        <w:spacing w:line="360" w:lineRule="auto" w:before="120" w:after="60"/>
        <w:jc w:val="both"/>
      </w:pPr>
      <w:r>
        <w:rPr>
          <w:rFonts w:ascii="Times New Roman" w:hAnsi="Times New Roman" w:cs="Times New Roman" w:eastAsia="宋体"/>
          <w:b/>
          <w:sz w:val="26"/>
        </w:rPr>
        <w:t>7.2 工具与功能</w:t>
      </w:r>
    </w:p>
    <w:p>
      <w:pPr>
        <w:keepNext/>
        <w:spacing w:line="300" w:lineRule="auto" w:before="60" w:after="120"/>
        <w:jc w:val="center"/>
      </w:pPr>
      <w:r>
        <w:rPr>
          <w:rFonts w:ascii="Times New Roman" w:hAnsi="Times New Roman" w:cs="Times New Roman" w:eastAsia="宋体"/>
          <w:b w:val="0"/>
          <w:sz w:val="21"/>
        </w:rPr>
        <w:t>表4  本次使用的AI工具及功能</w:t>
      </w:r>
    </w:p>
    <w:tbl>
      <w:tblPr>
        <w:tblW w:type="auto" w:w="0"/>
        <w:jc w:val="center"/>
        <w:tblLook w:firstColumn="1" w:firstRow="1" w:lastColumn="0" w:lastRow="0" w:noHBand="0" w:noVBand="1" w:val="04A0"/>
        <w:tblBorders>
          <w:top w:val="single" w:sz="12" w:color="000000"/>
          <w:bottom w:val="single" w:sz="12" w:color="000000"/>
          <w:insideH w:val="single" w:sz="4" w:color="000000"/>
          <w:left w:val="single" w:sz="4" w:color="000000"/>
          <w:right w:val="single" w:sz="4" w:color="000000"/>
          <w:insideV w:val="single" w:sz="4" w:color="000000"/>
        </w:tblBorders>
      </w:tblPr>
      <w:tblGrid>
        <w:gridCol w:w="3118"/>
        <w:gridCol w:w="3118"/>
        <w:gridCol w:w="3118"/>
      </w:tblGrid>
      <w:tr>
        <w:tc>
          <w:tcPr>
            <w:tcW w:type="dxa" w:w="2381"/>
            <w:shd w:val="clear" w:fill="E7E6E6"/>
          </w:tcPr>
          <w:p>
            <w:pPr>
              <w:spacing w:line="276" w:lineRule="auto"/>
              <w:jc w:val="center"/>
            </w:pPr>
            <w:r/>
            <w:r>
              <w:rPr>
                <w:rFonts w:ascii="Times New Roman" w:hAnsi="Times New Roman" w:cs="Times New Roman" w:eastAsia="宋体"/>
                <w:b/>
                <w:sz w:val="21"/>
              </w:rPr>
              <w:t>AI工具</w:t>
            </w:r>
          </w:p>
        </w:tc>
        <w:tc>
          <w:tcPr>
            <w:tcW w:type="dxa" w:w="3288"/>
            <w:shd w:val="clear" w:fill="E7E6E6"/>
          </w:tcPr>
          <w:p>
            <w:pPr>
              <w:spacing w:line="276" w:lineRule="auto"/>
              <w:jc w:val="center"/>
            </w:pPr>
            <w:r/>
            <w:r>
              <w:rPr>
                <w:rFonts w:ascii="Times New Roman" w:hAnsi="Times New Roman" w:cs="Times New Roman" w:eastAsia="宋体"/>
                <w:b/>
                <w:sz w:val="21"/>
              </w:rPr>
              <w:t>使用的功能</w:t>
            </w:r>
          </w:p>
        </w:tc>
        <w:tc>
          <w:tcPr>
            <w:tcW w:type="dxa" w:w="3118"/>
            <w:shd w:val="clear" w:fill="E7E6E6"/>
          </w:tcPr>
          <w:p>
            <w:pPr>
              <w:spacing w:line="276" w:lineRule="auto"/>
              <w:jc w:val="center"/>
            </w:pPr>
            <w:r/>
            <w:r>
              <w:rPr>
                <w:rFonts w:ascii="Times New Roman" w:hAnsi="Times New Roman" w:cs="Times New Roman" w:eastAsia="宋体"/>
                <w:b/>
                <w:sz w:val="21"/>
              </w:rPr>
              <w:t>用在哪个环节</w:t>
            </w:r>
          </w:p>
        </w:tc>
      </w:tr>
      <w:tr>
        <w:tc>
          <w:tcPr>
            <w:tcW w:type="dxa" w:w="2381"/>
          </w:tcPr>
          <w:p>
            <w:pPr>
              <w:spacing w:line="276" w:lineRule="auto"/>
              <w:jc w:val="left"/>
            </w:pPr>
            <w:r/>
            <w:r>
              <w:rPr>
                <w:rFonts w:ascii="Times New Roman" w:hAnsi="Times New Roman" w:cs="Times New Roman" w:eastAsia="宋体"/>
                <w:b w:val="0"/>
                <w:sz w:val="21"/>
              </w:rPr>
              <w:t>Claude（Claude Code）</w:t>
            </w:r>
          </w:p>
        </w:tc>
        <w:tc>
          <w:tcPr>
            <w:tcW w:type="dxa" w:w="3288"/>
          </w:tcPr>
          <w:p>
            <w:pPr>
              <w:spacing w:line="276" w:lineRule="auto"/>
              <w:jc w:val="center"/>
            </w:pPr>
            <w:r/>
            <w:r>
              <w:rPr>
                <w:rFonts w:ascii="Times New Roman" w:hAnsi="Times New Roman" w:cs="Times New Roman" w:eastAsia="宋体"/>
                <w:b w:val="0"/>
                <w:sz w:val="21"/>
              </w:rPr>
              <w:t>交互式提问</w:t>
            </w:r>
          </w:p>
        </w:tc>
        <w:tc>
          <w:tcPr>
            <w:tcW w:type="dxa" w:w="3118"/>
          </w:tcPr>
          <w:p>
            <w:pPr>
              <w:spacing w:line="276" w:lineRule="auto"/>
              <w:jc w:val="left"/>
            </w:pPr>
            <w:r/>
            <w:r>
              <w:rPr>
                <w:rFonts w:ascii="Times New Roman" w:hAnsi="Times New Roman" w:cs="Times New Roman" w:eastAsia="宋体"/>
                <w:b w:val="0"/>
                <w:sz w:val="21"/>
              </w:rPr>
              <w:t>询问小组主题与切入方式，确定选题</w:t>
            </w:r>
          </w:p>
        </w:tc>
      </w:tr>
      <w:tr>
        <w:tc>
          <w:tcPr>
            <w:tcW w:type="dxa" w:w="2381"/>
          </w:tcPr>
          <w:p>
            <w:pPr>
              <w:spacing w:line="276" w:lineRule="auto"/>
              <w:jc w:val="left"/>
            </w:pPr>
            <w:r/>
            <w:r>
              <w:rPr>
                <w:rFonts w:ascii="Times New Roman" w:hAnsi="Times New Roman" w:cs="Times New Roman" w:eastAsia="宋体"/>
                <w:b w:val="0"/>
                <w:sz w:val="21"/>
              </w:rPr>
              <w:t>Claude（Claude Code）</w:t>
            </w:r>
          </w:p>
        </w:tc>
        <w:tc>
          <w:tcPr>
            <w:tcW w:type="dxa" w:w="3288"/>
          </w:tcPr>
          <w:p>
            <w:pPr>
              <w:spacing w:line="276" w:lineRule="auto"/>
              <w:jc w:val="left"/>
            </w:pPr>
            <w:r/>
            <w:r>
              <w:rPr>
                <w:rFonts w:ascii="Times New Roman" w:hAnsi="Times New Roman" w:cs="Times New Roman" w:eastAsia="宋体"/>
                <w:b w:val="0"/>
                <w:sz w:val="21"/>
              </w:rPr>
              <w:t>联网搜索（WebSearch）</w:t>
            </w:r>
          </w:p>
        </w:tc>
        <w:tc>
          <w:tcPr>
            <w:tcW w:type="dxa" w:w="3118"/>
          </w:tcPr>
          <w:p>
            <w:pPr>
              <w:spacing w:line="276" w:lineRule="auto"/>
              <w:jc w:val="left"/>
            </w:pPr>
            <w:r/>
            <w:r>
              <w:rPr>
                <w:rFonts w:ascii="Times New Roman" w:hAnsi="Times New Roman" w:cs="Times New Roman" w:eastAsia="宋体"/>
                <w:b w:val="0"/>
                <w:sz w:val="21"/>
              </w:rPr>
              <w:t>检索三家企业发布报道、政策文件与相关文献</w:t>
            </w:r>
          </w:p>
        </w:tc>
      </w:tr>
      <w:tr>
        <w:tc>
          <w:tcPr>
            <w:tcW w:type="dxa" w:w="2381"/>
          </w:tcPr>
          <w:p>
            <w:pPr>
              <w:spacing w:line="276" w:lineRule="auto"/>
              <w:jc w:val="left"/>
            </w:pPr>
            <w:r/>
            <w:r>
              <w:rPr>
                <w:rFonts w:ascii="Times New Roman" w:hAnsi="Times New Roman" w:cs="Times New Roman" w:eastAsia="宋体"/>
                <w:b w:val="0"/>
                <w:sz w:val="21"/>
              </w:rPr>
              <w:t>Claude（Claude Code）</w:t>
            </w:r>
          </w:p>
        </w:tc>
        <w:tc>
          <w:tcPr>
            <w:tcW w:type="dxa" w:w="3288"/>
          </w:tcPr>
          <w:p>
            <w:pPr>
              <w:spacing w:line="276" w:lineRule="auto"/>
              <w:jc w:val="left"/>
            </w:pPr>
            <w:r/>
            <w:r>
              <w:rPr>
                <w:rFonts w:ascii="Times New Roman" w:hAnsi="Times New Roman" w:cs="Times New Roman" w:eastAsia="宋体"/>
                <w:b w:val="0"/>
                <w:sz w:val="21"/>
              </w:rPr>
              <w:t>网页读取（WebFetch）</w:t>
            </w:r>
          </w:p>
        </w:tc>
        <w:tc>
          <w:tcPr>
            <w:tcW w:type="dxa" w:w="3118"/>
          </w:tcPr>
          <w:p>
            <w:pPr>
              <w:spacing w:line="276" w:lineRule="auto"/>
              <w:jc w:val="left"/>
            </w:pPr>
            <w:r/>
            <w:r>
              <w:rPr>
                <w:rFonts w:ascii="Times New Roman" w:hAnsi="Times New Roman" w:cs="Times New Roman" w:eastAsia="宋体"/>
                <w:b w:val="0"/>
                <w:sz w:val="21"/>
              </w:rPr>
              <w:t>尝试读取京东物流官网等原文（未成功，见7.3）</w:t>
            </w:r>
          </w:p>
        </w:tc>
      </w:tr>
      <w:tr>
        <w:tc>
          <w:tcPr>
            <w:tcW w:type="dxa" w:w="2381"/>
          </w:tcPr>
          <w:p>
            <w:pPr>
              <w:spacing w:line="276" w:lineRule="auto"/>
              <w:jc w:val="left"/>
            </w:pPr>
            <w:r/>
            <w:r>
              <w:rPr>
                <w:rFonts w:ascii="Times New Roman" w:hAnsi="Times New Roman" w:cs="Times New Roman" w:eastAsia="宋体"/>
                <w:b w:val="0"/>
                <w:sz w:val="21"/>
              </w:rPr>
              <w:t>Claude（Claude Code）</w:t>
            </w:r>
          </w:p>
        </w:tc>
        <w:tc>
          <w:tcPr>
            <w:tcW w:type="dxa" w:w="3288"/>
          </w:tcPr>
          <w:p>
            <w:pPr>
              <w:spacing w:line="276" w:lineRule="auto"/>
              <w:jc w:val="center"/>
            </w:pPr>
            <w:r/>
            <w:r>
              <w:rPr>
                <w:rFonts w:ascii="Times New Roman" w:hAnsi="Times New Roman" w:cs="Times New Roman" w:eastAsia="宋体"/>
                <w:b w:val="0"/>
                <w:sz w:val="21"/>
              </w:rPr>
              <w:t>文本生成</w:t>
            </w:r>
          </w:p>
        </w:tc>
        <w:tc>
          <w:tcPr>
            <w:tcW w:type="dxa" w:w="3118"/>
          </w:tcPr>
          <w:p>
            <w:pPr>
              <w:spacing w:line="276" w:lineRule="auto"/>
              <w:jc w:val="left"/>
            </w:pPr>
            <w:r/>
            <w:r>
              <w:rPr>
                <w:rFonts w:ascii="Times New Roman" w:hAnsi="Times New Roman" w:cs="Times New Roman" w:eastAsia="宋体"/>
                <w:b w:val="0"/>
                <w:sz w:val="21"/>
              </w:rPr>
              <w:t>设计对比框架、撰写初稿与分析观点</w:t>
            </w:r>
          </w:p>
        </w:tc>
      </w:tr>
      <w:tr>
        <w:tc>
          <w:tcPr>
            <w:tcW w:type="dxa" w:w="2381"/>
          </w:tcPr>
          <w:p>
            <w:pPr>
              <w:spacing w:line="276" w:lineRule="auto"/>
              <w:jc w:val="left"/>
            </w:pPr>
            <w:r/>
            <w:r>
              <w:rPr>
                <w:rFonts w:ascii="Times New Roman" w:hAnsi="Times New Roman" w:cs="Times New Roman" w:eastAsia="宋体"/>
                <w:b w:val="0"/>
                <w:sz w:val="21"/>
              </w:rPr>
              <w:t>Claude（Claude Code）</w:t>
            </w:r>
          </w:p>
        </w:tc>
        <w:tc>
          <w:tcPr>
            <w:tcW w:type="dxa" w:w="3288"/>
          </w:tcPr>
          <w:p>
            <w:pPr>
              <w:spacing w:line="276" w:lineRule="auto"/>
              <w:jc w:val="left"/>
            </w:pPr>
            <w:r/>
            <w:r>
              <w:rPr>
                <w:rFonts w:ascii="Times New Roman" w:hAnsi="Times New Roman" w:cs="Times New Roman" w:eastAsia="宋体"/>
                <w:b w:val="0"/>
                <w:sz w:val="21"/>
              </w:rPr>
              <w:t>运行Python程序（python-docx、SVG绘图）</w:t>
            </w:r>
          </w:p>
        </w:tc>
        <w:tc>
          <w:tcPr>
            <w:tcW w:type="dxa" w:w="3118"/>
          </w:tcPr>
          <w:p>
            <w:pPr>
              <w:spacing w:line="276" w:lineRule="auto"/>
              <w:jc w:val="left"/>
            </w:pPr>
            <w:r/>
            <w:r>
              <w:rPr>
                <w:rFonts w:ascii="Times New Roman" w:hAnsi="Times New Roman" w:cs="Times New Roman" w:eastAsia="宋体"/>
                <w:b w:val="0"/>
                <w:sz w:val="21"/>
              </w:rPr>
              <w:t>绘制架构对比图、生成表格、套用Word模板</w:t>
            </w:r>
          </w:p>
        </w:tc>
      </w:tr>
    </w:tbl>
    <w:p>
      <w:pPr>
        <w:spacing w:line="240" w:lineRule="auto" w:before="0" w:after="0"/>
        <w:jc w:val="both"/>
      </w:pPr>
    </w:p>
    <w:p>
      <w:pPr>
        <w:keepNext/>
        <w:spacing w:line="360" w:lineRule="auto" w:before="120" w:after="60"/>
        <w:jc w:val="both"/>
      </w:pPr>
      <w:r>
        <w:rPr>
          <w:rFonts w:ascii="Times New Roman" w:hAnsi="Times New Roman" w:cs="Times New Roman" w:eastAsia="宋体"/>
          <w:b/>
          <w:sz w:val="26"/>
        </w:rPr>
        <w:t>7.3 内容校验与二次加工</w:t>
      </w:r>
    </w:p>
    <w:p>
      <w:pPr>
        <w:spacing w:line="360" w:lineRule="auto" w:before="0" w:after="0"/>
        <w:ind w:firstLine="480"/>
        <w:jc w:val="both"/>
      </w:pPr>
      <w:r>
        <w:rPr>
          <w:rFonts w:ascii="Times New Roman" w:hAnsi="Times New Roman" w:cs="Times New Roman" w:eastAsia="宋体"/>
          <w:b/>
          <w:sz w:val="24"/>
        </w:rPr>
        <w:t>（1）原文无法打开，只能依据搜索摘要。</w:t>
      </w:r>
      <w:r>
        <w:rPr>
          <w:rFonts w:ascii="Times New Roman" w:hAnsi="Times New Roman" w:cs="Times New Roman" w:eastAsia="宋体"/>
          <w:b w:val="0"/>
          <w:sz w:val="24"/>
        </w:rPr>
        <w:t>AI尝试直接读取中国交通新闻网、腾讯新闻和京东物流官网的原文，但这三个网站在AI运行环境的网络设置中不被允许访问，读取失败。因此文中涉及京东“超脑2.0”的数据，改为引用人民网、新浪财经等可检索到的转载报道，并在1.4节和表2注释中统一说明“数据属企业自行披露”。</w:t>
      </w:r>
    </w:p>
    <w:p>
      <w:pPr>
        <w:spacing w:line="360" w:lineRule="auto" w:before="0" w:after="0"/>
        <w:ind w:firstLine="480"/>
        <w:jc w:val="both"/>
      </w:pPr>
      <w:r>
        <w:rPr>
          <w:rFonts w:ascii="Times New Roman" w:hAnsi="Times New Roman" w:cs="Times New Roman" w:eastAsia="宋体"/>
          <w:b/>
          <w:sz w:val="24"/>
        </w:rPr>
        <w:t>（2）对同一数据做多来源比对。</w:t>
      </w:r>
      <w:r>
        <w:rPr>
          <w:rFonts w:ascii="Times New Roman" w:hAnsi="Times New Roman" w:cs="Times New Roman" w:eastAsia="宋体"/>
          <w:b w:val="0"/>
          <w:sz w:val="24"/>
        </w:rPr>
        <w:t>例如顺丰“丰语”的“摘要准确率超过95%、客服处理时长减少30%”在IT之家、腾讯云开发者社区、新浪财经的报道中一致，才予以采用；“丰知”的“服务器资源需求降低”在不同报道中说法不一（有的写降低5倍，有的只写“大幅降低”），因此正文没有采用这一数据。</w:t>
      </w:r>
    </w:p>
    <w:p>
      <w:pPr>
        <w:spacing w:line="360" w:lineRule="auto" w:before="0" w:after="0"/>
        <w:ind w:firstLine="480"/>
        <w:jc w:val="both"/>
      </w:pPr>
      <w:r>
        <w:rPr>
          <w:rFonts w:ascii="Times New Roman" w:hAnsi="Times New Roman" w:cs="Times New Roman" w:eastAsia="宋体"/>
          <w:b/>
          <w:sz w:val="24"/>
        </w:rPr>
        <w:t>（3）剔除无法核实的内容。</w:t>
      </w:r>
      <w:r>
        <w:rPr>
          <w:rFonts w:ascii="Times New Roman" w:hAnsi="Times New Roman" w:cs="Times New Roman" w:eastAsia="宋体"/>
          <w:b w:val="0"/>
          <w:sz w:val="24"/>
        </w:rPr>
        <w:t>检索中出现的以下信息未被采用：某行业博客称“预测准确率提升约20%”，但它并非针对“天机π”；一篇2026年的报道提到京东“超脑3.0”求解时间压缩到秒级、车辆调度率86%，但无法核对官方原文；京东物流2024年营收与利润数据仅见于搜索摘要，未核对年报原文。</w:t>
      </w:r>
    </w:p>
    <w:p>
      <w:pPr>
        <w:spacing w:line="360" w:lineRule="auto" w:before="0" w:after="0"/>
        <w:ind w:firstLine="480"/>
        <w:jc w:val="both"/>
      </w:pPr>
      <w:r>
        <w:rPr>
          <w:rFonts w:ascii="Times New Roman" w:hAnsi="Times New Roman" w:cs="Times New Roman" w:eastAsia="宋体"/>
          <w:b/>
          <w:sz w:val="24"/>
        </w:rPr>
        <w:t>（4）修正AI自己生成的“无出处”细节。</w:t>
      </w:r>
      <w:r>
        <w:rPr>
          <w:rFonts w:ascii="Times New Roman" w:hAnsi="Times New Roman" w:cs="Times New Roman" w:eastAsia="宋体"/>
          <w:b w:val="0"/>
          <w:sz w:val="24"/>
        </w:rPr>
        <w:t>AI绘制图1初稿时，在京东和菜鸟的“交互层”中写了“自然语言下达规划需求”“商家用自然语言查询”，但检索资料中找不到依据。复查后改为“交互形态公开信息较少”“通用大模型调度小模型”等有出处或如实的表述。</w:t>
      </w:r>
    </w:p>
    <w:p>
      <w:pPr>
        <w:spacing w:line="360" w:lineRule="auto" w:before="0" w:after="0"/>
        <w:ind w:firstLine="480"/>
        <w:jc w:val="both"/>
      </w:pPr>
      <w:r>
        <w:rPr>
          <w:rFonts w:ascii="Times New Roman" w:hAnsi="Times New Roman" w:cs="Times New Roman" w:eastAsia="宋体"/>
          <w:b/>
          <w:sz w:val="24"/>
        </w:rPr>
        <w:t>（5）区分事实与推论。</w:t>
      </w:r>
      <w:r>
        <w:rPr>
          <w:rFonts w:ascii="Times New Roman" w:hAnsi="Times New Roman" w:cs="Times New Roman" w:eastAsia="宋体"/>
          <w:b w:val="0"/>
          <w:sz w:val="24"/>
        </w:rPr>
        <w:t>“网络形态决定第一落点”“大模型负责说清楚、小模型负责算准确”等属于分析推论，文中统一以“个人分析”“发现”的形式写出，与企业公开数据分开；对“预测准确率提升5%”这类缺少基线的数据，在正文中专门说明其局限。</w:t>
      </w:r>
    </w:p>
    <w:p>
      <w:pPr>
        <w:spacing w:line="360" w:lineRule="auto" w:before="0" w:after="0"/>
        <w:ind w:firstLine="480"/>
        <w:jc w:val="both"/>
      </w:pPr>
      <w:r>
        <w:rPr>
          <w:rFonts w:ascii="Times New Roman" w:hAnsi="Times New Roman" w:cs="Times New Roman" w:eastAsia="宋体"/>
          <w:b/>
          <w:sz w:val="24"/>
        </w:rPr>
        <w:t>（6）尚未完成的校验。</w:t>
      </w:r>
      <w:r>
        <w:rPr>
          <w:rFonts w:ascii="Times New Roman" w:hAnsi="Times New Roman" w:cs="Times New Roman" w:eastAsia="宋体"/>
          <w:b w:val="0"/>
          <w:sz w:val="24"/>
        </w:rPr>
        <w:t>参考文献中的链接由AI检索得到，我尚未逐一点开核对原文；论文类文献也未能通过中国知网检索补充。这是本报告资料可靠性方面需要说明的不足。</w:t>
      </w:r>
    </w:p>
    <w:p>
      <w:pPr>
        <w:keepNext/>
        <w:spacing w:line="360" w:lineRule="auto" w:before="120" w:after="60"/>
        <w:jc w:val="both"/>
      </w:pPr>
      <w:r>
        <w:rPr>
          <w:rFonts w:ascii="Times New Roman" w:hAnsi="Times New Roman" w:cs="Times New Roman" w:eastAsia="宋体"/>
          <w:b/>
          <w:sz w:val="26"/>
        </w:rPr>
        <w:t>7.4 应用反思</w:t>
      </w:r>
    </w:p>
    <w:p>
      <w:pPr>
        <w:spacing w:line="360" w:lineRule="auto" w:before="0" w:after="0"/>
        <w:ind w:firstLine="480"/>
        <w:jc w:val="both"/>
      </w:pPr>
      <w:r>
        <w:rPr>
          <w:rFonts w:ascii="Times New Roman" w:hAnsi="Times New Roman" w:cs="Times New Roman" w:eastAsia="宋体"/>
          <w:b/>
          <w:sz w:val="24"/>
        </w:rPr>
        <w:t>价值：</w:t>
      </w:r>
      <w:r>
        <w:rPr>
          <w:rFonts w:ascii="Times New Roman" w:hAnsi="Times New Roman" w:cs="Times New Roman" w:eastAsia="宋体"/>
          <w:b w:val="0"/>
          <w:sz w:val="24"/>
        </w:rPr>
        <w:t>AI的效率优势非常明显。从读取作业要求、检索资料到生成排版好的Word文档，AI在一次对话中完成了大部分工作，并能把分散在十多篇报道中的发布信息整理成一张对比表。AI在开始前主动询问小组主题和切入方式，也让选题能够承接小组作业，而不是泛泛而谈。</w:t>
      </w:r>
    </w:p>
    <w:p>
      <w:pPr>
        <w:spacing w:line="360" w:lineRule="auto" w:before="0" w:after="0"/>
        <w:ind w:firstLine="480"/>
        <w:jc w:val="both"/>
      </w:pPr>
      <w:r>
        <w:rPr>
          <w:rFonts w:ascii="Times New Roman" w:hAnsi="Times New Roman" w:cs="Times New Roman" w:eastAsia="宋体"/>
          <w:b/>
          <w:sz w:val="24"/>
        </w:rPr>
        <w:t>偏差：</w:t>
      </w:r>
      <w:r>
        <w:rPr>
          <w:rFonts w:ascii="Times New Roman" w:hAnsi="Times New Roman" w:cs="Times New Roman" w:eastAsia="宋体"/>
          <w:b w:val="0"/>
          <w:sz w:val="24"/>
        </w:rPr>
        <w:t>一是信息源偏差：检索结果几乎全部来自企业新闻稿和媒体转载，天然带有宣传视角，菜鸟这类不公布数据的企业在对比中容易“吃亏”。二是摘要混淆：搜索工具返回的摘要有时把不同企业的数据放在一起，例如在查询菜鸟时返回了顺丰“丰知”的数据，需要逐条拆开。三是“自动补全”：AI在画图、写作时会顺手补上看似合理但没有出处的细节，必须逐项回查。</w:t>
      </w:r>
    </w:p>
    <w:p>
      <w:pPr>
        <w:spacing w:line="360" w:lineRule="auto" w:before="0" w:after="0"/>
        <w:ind w:firstLine="480"/>
        <w:jc w:val="both"/>
      </w:pPr>
      <w:r>
        <w:rPr>
          <w:rFonts w:ascii="Times New Roman" w:hAnsi="Times New Roman" w:cs="Times New Roman" w:eastAsia="宋体"/>
          <w:b/>
          <w:sz w:val="24"/>
        </w:rPr>
        <w:t>局限：</w:t>
      </w:r>
      <w:r>
        <w:rPr>
          <w:rFonts w:ascii="Times New Roman" w:hAnsi="Times New Roman" w:cs="Times New Roman" w:eastAsia="宋体"/>
          <w:b w:val="0"/>
          <w:sz w:val="24"/>
        </w:rPr>
        <w:t>AI无法登录中国知网等学术数据库，部分网站因网络设置无法访问，所以参考文献以公开报道为主，学术文献不足；AI生成的分析观点虽有逻辑，但是否成立仍需要研究者自己判断和负责。</w:t>
      </w:r>
    </w:p>
    <w:p>
      <w:pPr>
        <w:spacing w:line="360" w:lineRule="auto" w:before="0" w:after="0"/>
        <w:ind w:firstLine="480"/>
        <w:jc w:val="both"/>
      </w:pPr>
      <w:r>
        <w:rPr>
          <w:rFonts w:ascii="Times New Roman" w:hAnsi="Times New Roman" w:cs="Times New Roman" w:eastAsia="宋体"/>
          <w:b/>
          <w:sz w:val="24"/>
        </w:rPr>
        <w:t>体会：</w:t>
      </w:r>
      <w:r>
        <w:rPr>
          <w:rFonts w:ascii="Times New Roman" w:hAnsi="Times New Roman" w:cs="Times New Roman" w:eastAsia="宋体"/>
          <w:b w:val="0"/>
          <w:sz w:val="24"/>
        </w:rPr>
        <w:t>这次使用让我认识到，AI可以大大加快“找资料、搭框架、出初稿”的速度，但它不能替代人对信息真实性的判断。下一步我需要做的是：逐条打开参考文献核对原文，并补充知网上的相关论文；今后使用AI写作业时，应该先让AI给出资料清单和出处，再由自己核实后写作，而不是直接采用成稿。</w:t>
      </w:r>
    </w:p>
    <w:p>
      <w:pPr>
        <w:keepNext/>
        <w:spacing w:line="360" w:lineRule="auto" w:before="240" w:after="120"/>
        <w:jc w:val="both"/>
      </w:pPr>
      <w:r>
        <w:rPr>
          <w:rFonts w:ascii="Times New Roman" w:hAnsi="Times New Roman" w:cs="Times New Roman" w:eastAsia="宋体"/>
          <w:b/>
          <w:sz w:val="30"/>
        </w:rPr>
        <w:t>参考文献</w:t>
      </w:r>
    </w:p>
    <w:p>
      <w:pPr>
        <w:spacing w:line="300" w:lineRule="auto" w:before="0" w:after="0"/>
        <w:ind w:left="480" w:hanging="480"/>
        <w:jc w:val="left"/>
      </w:pPr>
      <w:r>
        <w:rPr>
          <w:rFonts w:ascii="Times New Roman" w:hAnsi="Times New Roman" w:cs="Times New Roman" w:eastAsia="宋体"/>
          <w:b w:val="0"/>
          <w:sz w:val="21"/>
        </w:rPr>
        <w:t>[1] 国务院. 国务院关于深入实施“人工智能+”行动的意见：国发〔2025〕11号[EB/OL]. (2025-08-26). https://www.cac.gov.cn/2025-08/27/c_1758018277755538.htm.</w:t>
      </w:r>
    </w:p>
    <w:p>
      <w:pPr>
        <w:spacing w:line="300" w:lineRule="auto" w:before="0" w:after="0"/>
        <w:ind w:left="480" w:hanging="480"/>
        <w:jc w:val="left"/>
      </w:pPr>
      <w:r>
        <w:rPr>
          <w:rFonts w:ascii="Times New Roman" w:hAnsi="Times New Roman" w:cs="Times New Roman" w:eastAsia="宋体"/>
          <w:b w:val="0"/>
          <w:sz w:val="21"/>
        </w:rPr>
        <w:t>[2] IT之家. 顺丰科技发布物流垂域大语言模型“丰语”，全业务流程助力顺丰小哥[EB/OL]. (2024-09). https://it.ithome.com/archiver/794/992.htm.</w:t>
      </w:r>
    </w:p>
    <w:p>
      <w:pPr>
        <w:spacing w:line="300" w:lineRule="auto" w:before="0" w:after="0"/>
        <w:ind w:left="480" w:hanging="480"/>
        <w:jc w:val="left"/>
      </w:pPr>
      <w:r>
        <w:rPr>
          <w:rFonts w:ascii="Times New Roman" w:hAnsi="Times New Roman" w:cs="Times New Roman" w:eastAsia="宋体"/>
          <w:b w:val="0"/>
          <w:sz w:val="21"/>
        </w:rPr>
        <w:t>[3] 新浪财经. 顺丰科技发布大模型“丰知”[EB/OL]. (2024-08-22). https://finance.sina.com.cn/roll/2024-08-22/doc-inckmwmy0913178.shtml.</w:t>
      </w:r>
    </w:p>
    <w:p>
      <w:pPr>
        <w:spacing w:line="300" w:lineRule="auto" w:before="0" w:after="0"/>
        <w:ind w:left="480" w:hanging="480"/>
        <w:jc w:val="left"/>
      </w:pPr>
      <w:r>
        <w:rPr>
          <w:rFonts w:ascii="Times New Roman" w:hAnsi="Times New Roman" w:cs="Times New Roman" w:eastAsia="宋体"/>
          <w:b w:val="0"/>
          <w:sz w:val="21"/>
        </w:rPr>
        <w:t>[4] 每日经济新闻. “钻研ChatGPT”一年半后 顺丰推“丰知”物流决策大模型 巨头抢滩，谁能抢占落地先机？[EB/OL]. (2024-08-19). https://www.mrjjxw.com/articles/2024-08-19/3511426.html.</w:t>
      </w:r>
    </w:p>
    <w:p>
      <w:pPr>
        <w:spacing w:line="300" w:lineRule="auto" w:before="0" w:after="0"/>
        <w:ind w:left="480" w:hanging="480"/>
        <w:jc w:val="left"/>
      </w:pPr>
      <w:r>
        <w:rPr>
          <w:rFonts w:ascii="Times New Roman" w:hAnsi="Times New Roman" w:cs="Times New Roman" w:eastAsia="宋体"/>
          <w:b w:val="0"/>
          <w:sz w:val="21"/>
        </w:rPr>
        <w:t>[5] 新浪财经. “京东物流超脑”升级！揭秘“快准稳”背后的数智化供应链技术全景[EB/OL]. (2024-11-19). https://finance.sina.com.cn/jjxw/2024-11-19/doc-incwqrfs2919046.shtml.</w:t>
      </w:r>
    </w:p>
    <w:p>
      <w:pPr>
        <w:spacing w:line="300" w:lineRule="auto" w:before="0" w:after="0"/>
        <w:ind w:left="480" w:hanging="480"/>
        <w:jc w:val="left"/>
      </w:pPr>
      <w:r>
        <w:rPr>
          <w:rFonts w:ascii="Times New Roman" w:hAnsi="Times New Roman" w:cs="Times New Roman" w:eastAsia="宋体"/>
          <w:b w:val="0"/>
          <w:sz w:val="21"/>
        </w:rPr>
        <w:t>[6] 人民网·科普中国. 京东物流在JDD大会发布超脑大模型2.0，“自主进化”成物流技术应用新范式[EB/OL]. (2025-09-26). http://kpzg.people.com.cn/n1/2025/0926/c404214-40572761.html.</w:t>
      </w:r>
    </w:p>
    <w:p>
      <w:pPr>
        <w:spacing w:line="300" w:lineRule="auto" w:before="0" w:after="0"/>
        <w:ind w:left="480" w:hanging="480"/>
        <w:jc w:val="left"/>
      </w:pPr>
      <w:r>
        <w:rPr>
          <w:rFonts w:ascii="Times New Roman" w:hAnsi="Times New Roman" w:cs="Times New Roman" w:eastAsia="宋体"/>
          <w:b w:val="0"/>
          <w:sz w:val="21"/>
        </w:rPr>
        <w:t>[7] 新浪财经. 京东物流发布“超脑大模型2.0”和“异狼”，加速构建“人工智能+”应用生态圈[EB/OL]. (2025-09-25). https://finance.sina.com.cn/roll/2025-09-25/doc-infrtinn1131700.shtml.</w:t>
      </w:r>
    </w:p>
    <w:p>
      <w:pPr>
        <w:spacing w:line="300" w:lineRule="auto" w:before="0" w:after="0"/>
        <w:ind w:left="480" w:hanging="480"/>
        <w:jc w:val="left"/>
      </w:pPr>
      <w:r>
        <w:rPr>
          <w:rFonts w:ascii="Times New Roman" w:hAnsi="Times New Roman" w:cs="Times New Roman" w:eastAsia="宋体"/>
          <w:b w:val="0"/>
          <w:sz w:val="21"/>
        </w:rPr>
        <w:t>[8] 环球网. 菜鸟发布国内物流产品矩阵 基于大模型的数字供应链产品“天机π”曝光[EB/OL]. (2023-06-28). https://tech.huanqiu.com/article/4DVNiFOblw9.</w:t>
      </w:r>
    </w:p>
    <w:p>
      <w:pPr>
        <w:spacing w:line="300" w:lineRule="auto" w:before="0" w:after="0"/>
        <w:ind w:left="480" w:hanging="480"/>
        <w:jc w:val="left"/>
      </w:pPr>
      <w:r>
        <w:rPr>
          <w:rFonts w:ascii="Times New Roman" w:hAnsi="Times New Roman" w:cs="Times New Roman" w:eastAsia="宋体"/>
          <w:b w:val="0"/>
          <w:sz w:val="21"/>
        </w:rPr>
        <w:t>[9] 新浪财经. 抢占应用场景 物流巨头争相布局大模型[EB/OL]. (2024-10-16). https://finance.sina.com.cn/roll/2024-10-16/doc-incstarc0085426.shtml.</w:t>
      </w:r>
    </w:p>
    <w:p>
      <w:pPr>
        <w:spacing w:line="300" w:lineRule="auto" w:before="0" w:after="0"/>
        <w:ind w:left="480" w:hanging="480"/>
        <w:jc w:val="left"/>
      </w:pPr>
      <w:r>
        <w:rPr>
          <w:rFonts w:ascii="Times New Roman" w:hAnsi="Times New Roman" w:cs="Times New Roman" w:eastAsia="宋体"/>
          <w:b w:val="0"/>
          <w:sz w:val="21"/>
        </w:rPr>
        <w:t>[10] 网易. 为客户的供应链装上AI大脑，菜鸟物流科技跑出智能化新路径[EB/OL]. https://www.163.com/dy/article/L7K5M51G0519DFFO.html.</w:t>
      </w:r>
    </w:p>
    <w:p>
      <w:pPr>
        <w:spacing w:line="300" w:lineRule="auto" w:before="0" w:after="0"/>
        <w:ind w:left="480" w:hanging="480"/>
        <w:jc w:val="left"/>
      </w:pPr>
      <w:r>
        <w:rPr>
          <w:rFonts w:ascii="Times New Roman" w:hAnsi="Times New Roman" w:cs="Times New Roman" w:eastAsia="宋体"/>
          <w:b w:val="0"/>
          <w:sz w:val="21"/>
        </w:rPr>
        <w:t>[11] 王鹏. 物流大模型技术的应用：挑战、趋势与展望[EB/OL]. 中国日报网, (2024-10-10). https://column.chinadaily.com.cn/a/202410/10/WS67079749a310b59111d9d4f1.html.</w:t>
      </w:r>
    </w:p>
    <w:p>
      <w:pPr>
        <w:spacing w:line="300" w:lineRule="auto" w:before="0" w:after="0"/>
        <w:ind w:left="480" w:hanging="480"/>
        <w:jc w:val="left"/>
      </w:pPr>
      <w:r>
        <w:rPr>
          <w:rFonts w:ascii="Times New Roman" w:hAnsi="Times New Roman" w:cs="Times New Roman" w:eastAsia="宋体"/>
          <w:b w:val="0"/>
          <w:sz w:val="21"/>
        </w:rPr>
        <w:t>[12] 人民论坛. “人工智能+物流”：技术张力与结构性优化[EB/OL]. (2025-02-05). http://paper.people.com.cn/rmlt/pc/content/202502/05/content_30059347.html.</w:t>
      </w:r>
    </w:p>
    <w:sectPr>
      <w:headerReference w:type="default" r:id="rId4"/>
      <w:footerReference w:type="default" r:id="rId5"/>
      <w:type w:val="nextPage"/>
      <w:pgSz w:w="11906" w:h="16838"/>
      <w:pgMar w:left="1418" w:right="1134" w:gutter="0" w:header="851" w:top="1418" w:footer="992"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宋体">
    <w:altName w:val="SimSun"/>
    <w:charset w:val="86"/>
    <w:family w:val="auto"/>
    <w:pitch w:val="variable"/>
  </w:font>
  <w:font w:name="等线">
    <w:altName w:val="DengXian"/>
    <w:charset w:val="86"/>
    <w:family w:val="auto"/>
    <w:pitch w:val="variable"/>
  </w:font>
  <w:font w:name="Liberation Sans">
    <w:altName w:val="Arial"/>
    <w:charset w:val="00" w:characterSet="iso-8859-1"/>
    <w:family w:val="swiss"/>
    <w:pitch w:val="variable"/>
  </w:font>
  <w:font w:name="Calibri">
    <w:charset w:val="00" w:characterSet="windows-1252"/>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
        <w:szCs w:val="2"/>
      </w:rPr>
    </w:pPr>
    <w:r>
      <w:rPr>
        <w:sz w:val="2"/>
        <w:szCs w:val="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
      <w:lvlJc w:val="start"/>
      <w:pPr>
        <w:tabs>
          <w:tab w:val="num" w:pos="420"/>
        </w:tabs>
        <w:ind w:start="600" w:hanging="420"/>
      </w:pPr>
      <w:rPr/>
    </w:lvl>
  </w:abstractNum>
  <w:abstractNum w:abstractNumId="3">
    <w:lvl w:ilvl="0">
      <w:start w:val="1"/>
      <w:numFmt w:val="decimal"/>
      <w:lvlText w:val="%1."/>
      <w:lvlJc w:val="start"/>
      <w:pPr>
        <w:tabs>
          <w:tab w:val="num" w:pos="0"/>
        </w:tabs>
        <w:ind w:start="440" w:hanging="44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SimSun" w:hAnsi="宋体;SimSun" w:eastAsia="宋体;SimSun" w:cs="宋体;SimSun"/>
      <w:color w:val="auto"/>
      <w:kern w:val="2"/>
      <w:sz w:val="24"/>
      <w:szCs w:val="20"/>
      <w:lang w:val="en-US" w:eastAsia="zh-CN" w:bidi="ar-SA"/>
    </w:rPr>
  </w:style>
  <w:style w:type="paragraph" w:styleId="Heading1">
    <w:name w:val="Heading 1"/>
    <w:basedOn w:val="Normal"/>
    <w:next w:val="Normal"/>
    <w:qFormat/>
    <w:pPr>
      <w:keepNext w:val="true"/>
      <w:numPr>
        <w:ilvl w:val="0"/>
        <w:numId w:val="1"/>
      </w:numPr>
      <w:spacing w:lineRule="auto" w:line="300"/>
      <w:jc w:val="center"/>
      <w:outlineLvl w:val="0"/>
    </w:pPr>
    <w:rPr>
      <w:rFonts w:ascii="Times New Roman" w:hAnsi="Times New Roman" w:cs="Times New Roman"/>
      <w:b/>
      <w:sz w:val="32"/>
    </w:rPr>
  </w:style>
  <w:style w:type="paragraph" w:styleId="Heading2">
    <w:name w:val="Heading 2"/>
    <w:basedOn w:val="Normal"/>
    <w:next w:val="Normal"/>
    <w:qFormat/>
    <w:pPr>
      <w:keepNext w:val="true"/>
      <w:keepLines/>
      <w:numPr>
        <w:ilvl w:val="1"/>
        <w:numId w:val="1"/>
      </w:numPr>
      <w:tabs>
        <w:tab w:val="clear" w:pos="420"/>
        <w:tab w:val="left" w:pos="1107" w:leader="none"/>
      </w:tabs>
      <w:spacing w:lineRule="auto" w:line="412" w:before="260" w:after="260"/>
      <w:ind w:hanging="567" w:start="1107" w:end="0"/>
      <w:jc w:val="start"/>
      <w:outlineLvl w:val="1"/>
    </w:pPr>
    <w:rPr>
      <w:rFonts w:ascii="Arial" w:hAnsi="Arial" w:eastAsia="黑体;SimHei" w:cs="Arial"/>
      <w:b/>
      <w:bCs/>
      <w:sz w:val="32"/>
      <w:szCs w:val="32"/>
    </w:rPr>
  </w:style>
  <w:style w:type="paragraph" w:styleId="Heading3">
    <w:name w:val="Heading 3"/>
    <w:basedOn w:val="Normal"/>
    <w:next w:val="Normal"/>
    <w:qFormat/>
    <w:pPr>
      <w:keepNext w:val="true"/>
      <w:keepLines/>
      <w:numPr>
        <w:ilvl w:val="2"/>
        <w:numId w:val="1"/>
      </w:numPr>
      <w:tabs>
        <w:tab w:val="clear" w:pos="420"/>
        <w:tab w:val="left" w:pos="709" w:leader="none"/>
      </w:tabs>
      <w:spacing w:lineRule="auto" w:line="412" w:before="260" w:after="260"/>
      <w:outlineLvl w:val="2"/>
    </w:pPr>
    <w:rPr>
      <w:rFonts w:ascii="Times New Roman" w:hAnsi="Times New Roman" w:cs="Times New Roman"/>
      <w:b/>
      <w:bCs/>
      <w:sz w:val="28"/>
      <w:szCs w:val="32"/>
    </w:rPr>
  </w:style>
  <w:style w:type="character" w:styleId="WW8Num1z0">
    <w:name w:val="WW8Num1z0"/>
    <w:qFormat/>
    <w:rPr/>
  </w:style>
  <w:style w:type="character" w:styleId="WW8Num2z0">
    <w:name w:val="WW8Num2z0"/>
    <w:qFormat/>
    <w:rPr/>
  </w:style>
  <w:style w:type="character" w:styleId="WW8Num6z0">
    <w:name w:val="WW8Num6z0"/>
    <w:qFormat/>
    <w:rPr>
      <w:color w:val="000000"/>
    </w:rPr>
  </w:style>
  <w:style w:type="character" w:styleId="Style11">
    <w:name w:val="默认段落字体"/>
    <w:qFormat/>
    <w:rPr/>
  </w:style>
  <w:style w:type="character" w:styleId="dbluetext1">
    <w:name w:val="dbluetext1"/>
    <w:qFormat/>
    <w:rPr>
      <w:rFonts w:ascii="Arial" w:hAnsi="Arial" w:cs="Arial"/>
      <w:color w:val="003FB2"/>
      <w:sz w:val="13"/>
    </w:rPr>
  </w:style>
  <w:style w:type="character" w:styleId="Strong">
    <w:name w:val="Strong"/>
    <w:qFormat/>
    <w:rPr>
      <w:b/>
      <w:bCs/>
    </w:rPr>
  </w:style>
  <w:style w:type="character" w:styleId="Style12">
    <w:name w:val="批注框文本 字符"/>
    <w:qFormat/>
    <w:rPr>
      <w:rFonts w:ascii="宋体;SimSun" w:hAnsi="宋体;SimSun" w:cs="宋体;SimSun"/>
      <w:kern w:val="2"/>
      <w:sz w:val="18"/>
      <w:szCs w:val="18"/>
    </w:rPr>
  </w:style>
  <w:style w:type="character" w:styleId="Style13">
    <w:name w:val="纯文本 字符"/>
    <w:qFormat/>
    <w:rPr>
      <w:rFonts w:ascii="等线;DengXian" w:hAnsi="等线;DengXian" w:eastAsia="等线;DengXian" w:cs="Courier New"/>
      <w:kern w:val="2"/>
      <w:sz w:val="21"/>
      <w:szCs w:val="22"/>
    </w:rPr>
  </w:style>
  <w:style w:type="character" w:styleId="3">
    <w:name w:val="正文文本缩进 3 字符"/>
    <w:qFormat/>
    <w:rPr>
      <w:rFonts w:ascii="宋体;SimSun" w:hAnsi="宋体;SimSun" w:cs="宋体;SimSun"/>
      <w:kern w:val="2"/>
      <w:sz w:val="16"/>
      <w:szCs w:val="16"/>
    </w:rPr>
  </w:style>
  <w:style w:type="character" w:styleId="2">
    <w:name w:val="标题 2 字符"/>
    <w:qFormat/>
    <w:rPr>
      <w:rFonts w:ascii="Arial" w:hAnsi="Arial" w:eastAsia="黑体;SimHei" w:cs="Arial"/>
      <w:b/>
      <w:bCs/>
      <w:kern w:val="2"/>
      <w:sz w:val="32"/>
      <w:szCs w:val="32"/>
    </w:rPr>
  </w:style>
  <w:style w:type="character" w:styleId="31">
    <w:name w:val="标题 3 字符"/>
    <w:qFormat/>
    <w:rPr>
      <w:b/>
      <w:bCs/>
      <w:kern w:val="2"/>
      <w:sz w:val="28"/>
      <w:szCs w:val="32"/>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列表段落"/>
    <w:basedOn w:val="Normal"/>
    <w:qFormat/>
    <w:pPr>
      <w:ind w:firstLine="420" w:start="0" w:end="0"/>
    </w:pPr>
    <w:rPr>
      <w:rFonts w:ascii="Calibri" w:hAnsi="Calibri" w:cs="Calibri"/>
      <w:sz w:val="21"/>
      <w:szCs w:val="22"/>
    </w:rPr>
  </w:style>
  <w:style w:type="paragraph" w:styleId="BodyTextIndent">
    <w:name w:val="Body Text Indent"/>
    <w:basedOn w:val="Normal"/>
    <w:pPr>
      <w:ind w:firstLine="2325" w:start="0" w:end="0"/>
      <w:jc w:val="center"/>
    </w:pPr>
    <w:rPr>
      <w:rFonts w:ascii="Times New Roman" w:hAnsi="Times New Roman" w:cs="Times New Roman"/>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rPr>
  </w:style>
  <w:style w:type="paragraph" w:styleId="Style15">
    <w:name w:val="批注框文本"/>
    <w:basedOn w:val="Normal"/>
    <w:qFormat/>
    <w:pPr/>
    <w:rPr>
      <w:sz w:val="18"/>
      <w:szCs w:val="18"/>
    </w:rPr>
  </w:style>
  <w:style w:type="paragraph" w:styleId="Style16">
    <w:name w:val="纯文本"/>
    <w:basedOn w:val="Normal"/>
    <w:qFormat/>
    <w:pPr>
      <w:widowControl/>
    </w:pPr>
    <w:rPr>
      <w:rFonts w:ascii="等线;DengXian" w:hAnsi="等线;DengXian" w:eastAsia="等线;DengXian" w:cs="Courier New"/>
      <w:sz w:val="21"/>
      <w:szCs w:val="22"/>
    </w:rPr>
  </w:style>
  <w:style w:type="paragraph" w:styleId="32">
    <w:name w:val="正文文本缩进 3"/>
    <w:basedOn w:val="Normal"/>
    <w:qFormat/>
    <w:pPr>
      <w:spacing w:before="0" w:after="120"/>
      <w:ind w:hanging="0" w:start="420" w:end="0"/>
    </w:pPr>
    <w:rPr>
      <w:sz w:val="16"/>
      <w:szCs w:val="16"/>
    </w:rPr>
  </w:style>
  <w:style w:type="paragraph" w:styleId="12">
    <w:name w:val="样式 标题 1 +2"/>
    <w:basedOn w:val="Heading1"/>
    <w:qFormat/>
    <w:pPr>
      <w:keepLines/>
      <w:numPr>
        <w:ilvl w:val="0"/>
        <w:numId w:val="0"/>
      </w:numPr>
      <w:tabs>
        <w:tab w:val="clear" w:pos="420"/>
        <w:tab w:val="left" w:pos="785" w:leader="none"/>
      </w:tabs>
      <w:spacing w:lineRule="auto" w:line="576" w:before="340" w:after="330"/>
      <w:ind w:hanging="425" w:start="785" w:end="0"/>
      <w:jc w:val="start"/>
      <w:outlineLvl w:val="9"/>
    </w:pPr>
    <w:rPr>
      <w:rFonts w:ascii="Arial" w:hAnsi="Arial" w:eastAsia="黑体;SimHei" w:cs="Arial"/>
      <w:b w:val="false"/>
      <w:kern w:val="0"/>
      <w:sz w:val="44"/>
      <w:szCs w:val="4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2026-10-15T01:15:00Z</dcterms:created>
  <dc:creator>jwc</dc:creator>
  <dc:description/>
  <cp:keywords/>
  <dc:language>en-US</dc:language>
  <cp:lastModifiedBy>yi wang</cp:lastModifiedBy>
  <cp:lastPrinted>2020-12-30T19:39:00Z</cp:lastPrinted>
  <dcterms:modified xsi:type="dcterms:W3CDTF">2026-10-15T01:15:00Z</dcterms:modified>
  <cp:revision>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