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</w:t>
      </w:r>
      <w:r>
        <w:t xml:space="preserve"> </w:t>
      </w:r>
      <w:r>
        <w:t xml:space="preserve">2</w:t>
      </w:r>
    </w:p>
    <w:p>
      <w:pPr>
        <w:pStyle w:val="FirstParagraph"/>
      </w:pPr>
      <w:r>
        <w:t xml:space="preserve">Please copy and paste your code and answers into this document and submit on Canvas.</w:t>
      </w:r>
    </w:p>
    <w:p>
      <w:pPr>
        <w:numPr>
          <w:ilvl w:val="0"/>
          <w:numId w:val="1001"/>
        </w:numPr>
      </w:pPr>
      <w:r>
        <w:t xml:space="preserve">Using the NLSY data, make a scatter plot of the relationship between hours of sleep on weekends and weekdays. Color it according to region (where 1 = northeast, 2 = north central, 3 = south, and 4 = west).</w:t>
      </w:r>
    </w:p>
    <w:p>
      <w:pPr>
        <w:numPr>
          <w:ilvl w:val="0"/>
          <w:numId w:val="1001"/>
        </w:numPr>
      </w:pPr>
      <w:r>
        <w:t xml:space="preserve">Replace</w:t>
      </w:r>
      <w:r>
        <w:t xml:space="preserve"> </w:t>
      </w:r>
      <w:r>
        <w:rPr>
          <w:rStyle w:val="VerbatimChar"/>
        </w:rPr>
        <w:t xml:space="preserve">geom_point()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geom_jitter()</w:t>
      </w:r>
      <w:r>
        <w:t xml:space="preserve">. What does this do? Why might this be a good choice for this graph? Play with the</w:t>
      </w:r>
      <w:r>
        <w:t xml:space="preserve"> </w:t>
      </w:r>
      <w:r>
        <w:rPr>
          <w:rStyle w:val="VerbatimChar"/>
        </w:rPr>
        <w:t xml:space="preserve">width =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height =</w:t>
      </w:r>
      <w:r>
        <w:t xml:space="preserve"> </w:t>
      </w:r>
      <w:r>
        <w:t xml:space="preserve">options. This site may help: https://ggplot2.tidyverse.org/reference/geom_jitter.html</w:t>
      </w:r>
    </w:p>
    <w:p>
      <w:pPr>
        <w:numPr>
          <w:ilvl w:val="0"/>
          <w:numId w:val="1001"/>
        </w:numPr>
      </w:pPr>
      <w:r>
        <w:t xml:space="preserve">Use the</w:t>
      </w:r>
      <w:r>
        <w:t xml:space="preserve"> </w:t>
      </w:r>
      <w:r>
        <w:rPr>
          <w:rStyle w:val="VerbatimChar"/>
        </w:rPr>
        <w:t xml:space="preserve">shape =</w:t>
      </w:r>
      <w:r>
        <w:t xml:space="preserve"> </w:t>
      </w:r>
      <w:r>
        <w:t xml:space="preserve">argument to map the sex variable to different shapes. Change the shapes to squares and diamonds. (Hint: how did we manually change colors to certain values? This might help: https://ggplot2.tidyverse.org/articles/ggplot2-specs.html)</w:t>
      </w:r>
    </w:p>
    <w:p>
      <w:pPr>
        <w:numPr>
          <w:ilvl w:val="0"/>
          <w:numId w:val="1001"/>
        </w:numPr>
      </w:pPr>
      <w:r>
        <w:t xml:space="preserve">When we’re comparing distributions with very different numbers of observations, instead of scaling the y-axis like we did with the</w:t>
      </w:r>
      <w:r>
        <w:t xml:space="preserve"> </w:t>
      </w:r>
      <w:r>
        <w:rPr>
          <w:rStyle w:val="VerbatimChar"/>
        </w:rPr>
        <w:t xml:space="preserve">facet_grid()</w:t>
      </w:r>
      <w:r>
        <w:t xml:space="preserve"> </w:t>
      </w:r>
      <w:r>
        <w:t xml:space="preserve">function, we might want to make density histograms. Use google to figure out how to make a density histogram of income. Facet it by region.</w:t>
      </w:r>
    </w:p>
    <w:p>
      <w:pPr>
        <w:numPr>
          <w:ilvl w:val="0"/>
          <w:numId w:val="1001"/>
        </w:numPr>
      </w:pPr>
      <w:r>
        <w:t xml:space="preserve">Make each of the regions in your histogram a different color and square-root transform the x-axis.</w:t>
      </w:r>
    </w:p>
    <w:p>
      <w:pPr>
        <w:numPr>
          <w:ilvl w:val="0"/>
          <w:numId w:val="1001"/>
        </w:numPr>
      </w:pPr>
      <w:r>
        <w:t xml:space="preserve">Doing the last question squishes the labels on the x-axis. Using the</w:t>
      </w:r>
      <w:r>
        <w:t xml:space="preserve"> </w:t>
      </w:r>
      <w:r>
        <w:rPr>
          <w:rStyle w:val="VerbatimChar"/>
        </w:rPr>
        <w:t xml:space="preserve">breaks =</w:t>
      </w:r>
      <w:r>
        <w:t xml:space="preserve"> </w:t>
      </w:r>
      <w:r>
        <w:t xml:space="preserve">argument that all the</w:t>
      </w:r>
      <w:r>
        <w:t xml:space="preserve"> </w:t>
      </w:r>
      <w:r>
        <w:rPr>
          <w:rStyle w:val="VerbatimChar"/>
        </w:rPr>
        <w:t xml:space="preserve">scale_x_()</w:t>
      </w:r>
      <w:r>
        <w:t xml:space="preserve"> </w:t>
      </w:r>
      <w:r>
        <w:t xml:space="preserve">functions have, make labels at 1000, 10000, 25000, and 50000. To make these easier to read, format them with commas (But not dollar signs. Hint: look at the examples in the documentation.)</w:t>
      </w:r>
    </w:p>
    <w:p>
      <w:pPr>
        <w:numPr>
          <w:ilvl w:val="0"/>
          <w:numId w:val="1001"/>
        </w:numPr>
      </w:pPr>
      <w:r>
        <w:t xml:space="preserve">The order of the different levels of a factor variable is important. Describe a scenario where different orders of the levels of a factor variable may lead to different results. (Hint: Think about how factor variables are treated a regression analysis.)</w:t>
      </w:r>
      <w:r>
        <w:t xml:space="preserve"> </w:t>
      </w:r>
      <w:r>
        <w:t xml:space="preserve"> </w:t>
      </w:r>
    </w:p>
    <w:p>
      <w:pPr>
        <w:numPr>
          <w:ilvl w:val="0"/>
          <w:numId w:val="1001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race_eth</w:t>
      </w:r>
      <w:r>
        <w:t xml:space="preserve"> </w:t>
      </w:r>
      <w:r>
        <w:t xml:space="preserve">variable in the NLSY dataset is numeric. In the dataset you loaded, we already turned it into a factor variable (</w:t>
      </w:r>
      <w:r>
        <w:rPr>
          <w:rStyle w:val="VerbatimChar"/>
        </w:rPr>
        <w:t xml:space="preserve">race_eth_cat</w:t>
      </w:r>
      <w:r>
        <w:t xml:space="preserve">). Show the code you would use to do this.</w:t>
      </w:r>
    </w:p>
    <w:p>
      <w:pPr>
        <w:numPr>
          <w:ilvl w:val="0"/>
          <w:numId w:val="1001"/>
        </w:numPr>
      </w:pPr>
      <w:r>
        <w:t xml:space="preserve">Create a new variable called</w:t>
      </w:r>
      <w:r>
        <w:t xml:space="preserve"> </w:t>
      </w:r>
      <w:r>
        <w:rPr>
          <w:rStyle w:val="VerbatimChar"/>
        </w:rPr>
        <w:t xml:space="preserve">race_reor</w:t>
      </w:r>
      <w:r>
        <w:t xml:space="preserve">, reordering the levels such that</w:t>
      </w:r>
      <w:r>
        <w:t xml:space="preserve"> </w:t>
      </w:r>
      <w:r>
        <w:t xml:space="preserve">“</w:t>
      </w:r>
      <w:r>
        <w:t xml:space="preserve">Non-Black, Non-Hispanic</w:t>
      </w:r>
      <w:r>
        <w:t xml:space="preserve">”</w:t>
      </w:r>
      <w:r>
        <w:t xml:space="preserve"> </w:t>
      </w:r>
      <w:r>
        <w:t xml:space="preserve">would automatically be used as reference level in analyses. Use a function to check the order of these two variables.</w:t>
      </w:r>
    </w:p>
    <w:p>
      <w:pPr>
        <w:numPr>
          <w:ilvl w:val="0"/>
          <w:numId w:val="1001"/>
        </w:numPr>
      </w:pPr>
      <w:r>
        <w:t xml:space="preserve">Age of individuals contained in the NLSY dataset ranges from 13 to 52 years (variable:</w:t>
      </w:r>
      <w:r>
        <w:t xml:space="preserve"> </w:t>
      </w:r>
      <w:r>
        <w:rPr>
          <w:rStyle w:val="VerbatimChar"/>
        </w:rPr>
        <w:t xml:space="preserve">age_bir</w:t>
      </w:r>
      <w:r>
        <w:t xml:space="preserve">). Use</w:t>
      </w:r>
      <w:r>
        <w:t xml:space="preserve"> </w:t>
      </w:r>
      <w:r>
        <w:rPr>
          <w:rStyle w:val="VerbatimChar"/>
        </w:rPr>
        <w:t xml:space="preserve">case_when()</w:t>
      </w:r>
      <w:r>
        <w:t xml:space="preserve"> </w:t>
      </w:r>
      <w:r>
        <w:t xml:space="preserve">to create the following age categories: teenager (13-19), young adult (20-29), adult (30-52). Make sure it is a correctly labeled factor variable (hint: this can be a two-step process).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2e3440"/>
    </w:pPr>
  </w:style>
  <w:style w:type="character" w:customStyle="1" w:styleId="KeywordTok">
    <w:name w:val="KeywordTok"/>
    <w:basedOn w:val="VerbatimChar"/>
    <w:rPr>
      <w:color w:val="81a1c1"/>
      <w:shd w:val="clear" w:fill="2e3440"/>
      <w:b/>
    </w:rPr>
  </w:style>
  <w:style w:type="character" w:customStyle="1" w:styleId="DataTypeTok">
    <w:name w:val="DataTypeTok"/>
    <w:basedOn w:val="VerbatimChar"/>
    <w:rPr>
      <w:color w:val="81a1c1"/>
      <w:shd w:val="clear" w:fill="2e3440"/>
    </w:rPr>
  </w:style>
  <w:style w:type="character" w:customStyle="1" w:styleId="DecValTok">
    <w:name w:val="DecValTok"/>
    <w:basedOn w:val="VerbatimChar"/>
    <w:rPr>
      <w:color w:val="b48ead"/>
      <w:shd w:val="clear" w:fill="2e3440"/>
    </w:rPr>
  </w:style>
  <w:style w:type="character" w:customStyle="1" w:styleId="BaseNTok">
    <w:name w:val="BaseNTok"/>
    <w:basedOn w:val="VerbatimChar"/>
    <w:rPr>
      <w:color w:val="b48ead"/>
      <w:shd w:val="clear" w:fill="2e3440"/>
    </w:rPr>
  </w:style>
  <w:style w:type="character" w:customStyle="1" w:styleId="FloatTok">
    <w:name w:val="FloatTok"/>
    <w:basedOn w:val="VerbatimChar"/>
    <w:rPr>
      <w:color w:val="b48ead"/>
      <w:shd w:val="clear" w:fill="2e3440"/>
    </w:rPr>
  </w:style>
  <w:style w:type="character" w:customStyle="1" w:styleId="ConstantTok">
    <w:name w:val="ConstantTok"/>
    <w:basedOn w:val="VerbatimChar"/>
    <w:rPr>
      <w:color w:val="eceff4"/>
      <w:shd w:val="clear" w:fill="2e3440"/>
      <w:b/>
    </w:rPr>
  </w:style>
  <w:style w:type="character" w:customStyle="1" w:styleId="CharTok">
    <w:name w:val="CharTok"/>
    <w:basedOn w:val="VerbatimChar"/>
    <w:rPr>
      <w:color w:val="ebcb8b"/>
      <w:shd w:val="clear" w:fill="2e3440"/>
    </w:rPr>
  </w:style>
  <w:style w:type="character" w:customStyle="1" w:styleId="SpecialCharTok">
    <w:name w:val="SpecialCharTok"/>
    <w:basedOn w:val="VerbatimChar"/>
    <w:rPr>
      <w:color w:val="ebcb8b"/>
      <w:shd w:val="clear" w:fill="2e3440"/>
    </w:rPr>
  </w:style>
  <w:style w:type="character" w:customStyle="1" w:styleId="StringTok">
    <w:name w:val="StringTok"/>
    <w:basedOn w:val="VerbatimChar"/>
    <w:rPr>
      <w:color w:val="a3be8c"/>
      <w:shd w:val="clear" w:fill="2e3440"/>
    </w:rPr>
  </w:style>
  <w:style w:type="character" w:customStyle="1" w:styleId="VerbatimStringTok">
    <w:name w:val="VerbatimStringTok"/>
    <w:basedOn w:val="VerbatimChar"/>
    <w:rPr>
      <w:color w:val="a3be8c"/>
      <w:shd w:val="clear" w:fill="2e3440"/>
    </w:rPr>
  </w:style>
  <w:style w:type="character" w:customStyle="1" w:styleId="SpecialStringTok">
    <w:name w:val="SpecialStringTok"/>
    <w:basedOn w:val="VerbatimChar"/>
    <w:rPr>
      <w:color w:val="d08770"/>
      <w:shd w:val="clear" w:fill="2e3440"/>
    </w:rPr>
  </w:style>
  <w:style w:type="character" w:customStyle="1" w:styleId="ImportTok">
    <w:name w:val="ImportTok"/>
    <w:basedOn w:val="VerbatimChar"/>
    <w:rPr>
      <w:color w:val="a3be8c"/>
      <w:shd w:val="clear" w:fill="2e3440"/>
    </w:rPr>
  </w:style>
  <w:style w:type="character" w:customStyle="1" w:styleId="CommentTok">
    <w:name w:val="CommentTok"/>
    <w:basedOn w:val="VerbatimChar"/>
    <w:rPr>
      <w:color w:val="616e88"/>
      <w:shd w:val="clear" w:fill="2e3440"/>
    </w:rPr>
  </w:style>
  <w:style w:type="character" w:customStyle="1" w:styleId="DocumentationTok">
    <w:name w:val="DocumentationTok"/>
    <w:basedOn w:val="VerbatimChar"/>
    <w:rPr>
      <w:color w:val="5e81ac"/>
      <w:shd w:val="clear" w:fill="2e3440"/>
    </w:rPr>
  </w:style>
  <w:style w:type="character" w:customStyle="1" w:styleId="AnnotationTok">
    <w:name w:val="AnnotationTok"/>
    <w:basedOn w:val="VerbatimChar"/>
    <w:rPr>
      <w:color w:val="d08770"/>
      <w:shd w:val="clear" w:fill="2e3440"/>
    </w:rPr>
  </w:style>
  <w:style w:type="character" w:customStyle="1" w:styleId="CommentVarTok">
    <w:name w:val="CommentVarTok"/>
    <w:basedOn w:val="VerbatimChar"/>
    <w:rPr>
      <w:color w:val="e5e9f0"/>
      <w:shd w:val="clear" w:fill="2e3440"/>
    </w:rPr>
  </w:style>
  <w:style w:type="character" w:customStyle="1" w:styleId="OtherTok">
    <w:name w:val="OtherTok"/>
    <w:basedOn w:val="VerbatimChar"/>
    <w:rPr>
      <w:color w:val="8fbcbb"/>
      <w:shd w:val="clear" w:fill="2e3440"/>
    </w:rPr>
  </w:style>
  <w:style w:type="character" w:customStyle="1" w:styleId="FunctionTok">
    <w:name w:val="FunctionTok"/>
    <w:basedOn w:val="VerbatimChar"/>
    <w:rPr>
      <w:color w:val="88c0d0"/>
      <w:shd w:val="clear" w:fill="2e3440"/>
    </w:rPr>
  </w:style>
  <w:style w:type="character" w:customStyle="1" w:styleId="VariableTok">
    <w:name w:val="VariableTok"/>
    <w:basedOn w:val="VerbatimChar"/>
    <w:rPr>
      <w:color w:val="5e81ac"/>
      <w:shd w:val="clear" w:fill="2e3440"/>
    </w:rPr>
  </w:style>
  <w:style w:type="character" w:customStyle="1" w:styleId="ControlFlowTok">
    <w:name w:val="ControlFlowTok"/>
    <w:basedOn w:val="VerbatimChar"/>
    <w:rPr>
      <w:color w:val="81a1c1"/>
      <w:shd w:val="clear" w:fill="2e3440"/>
      <w:b/>
    </w:rPr>
  </w:style>
  <w:style w:type="character" w:customStyle="1" w:styleId="OperatorTok">
    <w:name w:val="OperatorTok"/>
    <w:basedOn w:val="VerbatimChar"/>
    <w:rPr>
      <w:color w:val="81a1c1"/>
      <w:shd w:val="clear" w:fill="2e3440"/>
    </w:rPr>
  </w:style>
  <w:style w:type="character" w:customStyle="1" w:styleId="BuiltInTok">
    <w:name w:val="BuiltInTok"/>
    <w:basedOn w:val="VerbatimChar"/>
    <w:rPr>
      <w:color w:val="88c0d0"/>
      <w:shd w:val="clear" w:fill="2e3440"/>
      <w:i/>
    </w:rPr>
  </w:style>
  <w:style w:type="character" w:customStyle="1" w:styleId="ExtensionTok">
    <w:name w:val="ExtensionTok"/>
    <w:basedOn w:val="VerbatimChar"/>
    <w:rPr>
      <w:color w:val="8fbcbb"/>
      <w:shd w:val="clear" w:fill="2e3440"/>
      <w:b/>
    </w:rPr>
  </w:style>
  <w:style w:type="character" w:customStyle="1" w:styleId="PreprocessorTok">
    <w:name w:val="PreprocessorTok"/>
    <w:basedOn w:val="VerbatimChar"/>
    <w:rPr>
      <w:color w:val="5e81ac"/>
      <w:shd w:val="clear" w:fill="2e3440"/>
    </w:rPr>
  </w:style>
  <w:style w:type="character" w:customStyle="1" w:styleId="AttributeTok">
    <w:name w:val="AttributeTok"/>
    <w:basedOn w:val="VerbatimChar"/>
    <w:rPr>
      <w:color w:val="8fbcbb"/>
      <w:shd w:val="clear" w:fill="2e3440"/>
    </w:rPr>
  </w:style>
  <w:style w:type="character" w:customStyle="1" w:styleId="RegionMarkerTok">
    <w:name w:val="RegionMarkerTok"/>
    <w:basedOn w:val="VerbatimChar"/>
    <w:rPr>
      <w:color w:val="88c0d0"/>
      <w:shd w:val="clear" w:fill="3b4252"/>
    </w:rPr>
  </w:style>
  <w:style w:type="character" w:customStyle="1" w:styleId="InformationTok">
    <w:name w:val="InformationTok"/>
    <w:basedOn w:val="VerbatimChar"/>
    <w:rPr>
      <w:color w:val="ebcb8b"/>
      <w:shd w:val="clear" w:fill="2e3440"/>
    </w:rPr>
  </w:style>
  <w:style w:type="character" w:customStyle="1" w:styleId="WarningTok">
    <w:name w:val="WarningTok"/>
    <w:basedOn w:val="VerbatimChar"/>
    <w:rPr>
      <w:color w:val="bf616a"/>
      <w:shd w:val="clear" w:fill="2e3440"/>
    </w:rPr>
  </w:style>
  <w:style w:type="character" w:customStyle="1" w:styleId="AlertTok">
    <w:name w:val="AlertTok"/>
    <w:basedOn w:val="VerbatimChar"/>
    <w:rPr>
      <w:color w:val="bf616a"/>
      <w:shd w:val="clear" w:fill="3b4252"/>
      <w:b/>
    </w:rPr>
  </w:style>
  <w:style w:type="character" w:customStyle="1" w:styleId="ErrorTok">
    <w:name w:val="ErrorTok"/>
    <w:basedOn w:val="VerbatimChar"/>
    <w:rPr>
      <w:color w:val="bf616a"/>
      <w:shd w:val="clear" w:fill="2e3440"/>
      <w:u/>
    </w:rPr>
  </w:style>
  <w:style w:type="character" w:customStyle="1" w:styleId="NormalTok">
    <w:name w:val="NormalTok"/>
    <w:basedOn w:val="VerbatimChar"/>
    <w:rPr>
      <w:color w:val="d8dee9"/>
      <w:shd w:val="clear" w:fill="2e3440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2</dc:title>
  <dc:creator/>
  <cp:keywords/>
  <dcterms:created xsi:type="dcterms:W3CDTF">2023-06-07T16:43:04Z</dcterms:created>
  <dcterms:modified xsi:type="dcterms:W3CDTF">2023-06-07T16:43:04Z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source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order">
    <vt:lpwstr>2</vt:lpwstr>
  </property>
  <property fmtid="{D5CDD505-2E9C-101B-9397-08002B2CF9AE}" pid="9" name="revealjs-plugins">
    <vt:lpwstr/>
  </property>
  <property fmtid="{D5CDD505-2E9C-101B-9397-08002B2CF9AE}" pid="10" name="toc-title">
    <vt:lpwstr>Table of contents</vt:lpwstr>
  </property>
</Properties>
</file>