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2026 Goals</w:t>
      </w:r>
    </w:p>
    <w:p>
      <w:pPr>
        <w:pStyle w:val="Heading1"/>
      </w:pPr>
      <w:r>
        <w:t xml:space="preserve">Goal 1: Pharma Content Ownership &amp; Expertise Deepening</w:t>
      </w:r>
    </w:p>
    <w:p>
      <w:pPr>
        <w:pStyle w:val="Heading2"/>
      </w:pPr>
      <w:r>
        <w:t xml:space="preserve">Description</w:t>
      </w:r>
    </w:p>
    <w:p>
      <w:pPr>
        <w:spacing w:after="120"/>
      </w:pPr>
      <w:r>
        <w:t xml:space="preserve">Own end-to-end coverage on GILD, PFE, AMGN, and BMY — from model maintenance to writing earnings notes to forming independent investment views. Deepen my knowledge in oncology and obesity as sub-sectors. Go from updating models to actually understanding what drives them and being able to talk about it with conviction.</w:t>
      </w:r>
    </w:p>
    <w:p>
      <w:pPr>
        <w:pStyle w:val="Heading2"/>
      </w:pPr>
      <w:r>
        <w:t xml:space="preserve">Measurement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Independently update all 4 company models each earnings cycle with drivers, forecasts, and valuation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 first drafts of pre-Q and post-Q notes for all 4 names each quarter, with no more than 1 round of senior analyst edits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 at least 1 longer-form content piece per half (e.g., AI in pharma deep dive)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Present covered stock theses confidently in team discussions; build linkages across pharma and adjacent sectors (diagnostics, tools)</w:t>
      </w:r>
    </w:p>
    <w:p>
      <w:pPr>
        <w:spacing w:after="60"/>
      </w:pPr>
      <w:r>
        <w:rPr>
          <w:b/>
          <w:bCs/>
          <w:i/>
          <w:iCs/>
          <w:color w:val="666666"/>
          <w:sz w:val="20"/>
          <w:szCs w:val="20"/>
        </w:rPr>
        <w:t xml:space="preserve">SRA Competency Alignment: </w:t>
      </w:r>
      <w:r>
        <w:rPr>
          <w:i/>
          <w:iCs/>
          <w:color w:val="666666"/>
          <w:sz w:val="20"/>
          <w:szCs w:val="20"/>
        </w:rPr>
        <w:t xml:space="preserve">Knowledge of Companies/Sector/Markets (L4), Communication (L4), Financial Modeling (L4)</w:t>
      </w:r>
    </w:p>
    <w:p>
      <w:pPr>
        <w:pStyle w:val="Heading1"/>
      </w:pPr>
      <w:r>
        <w:t xml:space="preserve">Goal 2: Drive Tools Coverage Relaunch (1H26)</w:t>
      </w:r>
    </w:p>
    <w:p>
      <w:pPr>
        <w:pStyle w:val="Heading2"/>
      </w:pPr>
      <w:r>
        <w:t xml:space="preserve">Description</w:t>
      </w:r>
    </w:p>
    <w:p>
      <w:pPr>
        <w:spacing w:after="120"/>
      </w:pPr>
      <w:r>
        <w:t xml:space="preserve">Own the diagnostics/oncology relaunch for the tools team. Not just executing pieces — managing the full process, keeping Eve updated, and making sure everything is client-ready by launch.</w:t>
      </w:r>
    </w:p>
    <w:p>
      <w:pPr>
        <w:pStyle w:val="Heading2"/>
      </w:pPr>
      <w:r>
        <w:t xml:space="preserve">Measurement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 3 relaunch workstreams (MolDx model, oncology exhibit, LSTD coverage note) by relaunch 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Flag any delays at least 1 week in advance; no missed deadlines without proactive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Achieve publishable quality with no more than 1 round of revisions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Take on COO role for the relaunch: own the timeline, track deliverables, keep the process moving</w:t>
      </w:r>
    </w:p>
    <w:p>
      <w:pPr>
        <w:spacing w:after="60"/>
      </w:pPr>
      <w:r>
        <w:rPr>
          <w:b/>
          <w:bCs/>
          <w:i/>
          <w:iCs/>
          <w:color w:val="666666"/>
          <w:sz w:val="20"/>
          <w:szCs w:val="20"/>
        </w:rPr>
        <w:t xml:space="preserve">SRA Competency Alignment: </w:t>
      </w:r>
      <w:r>
        <w:rPr>
          <w:i/>
          <w:iCs/>
          <w:color w:val="666666"/>
          <w:sz w:val="20"/>
          <w:szCs w:val="20"/>
        </w:rPr>
        <w:t xml:space="preserve">Accountability &amp; Ownership (L4), Timeliness &amp; Productivity (L4), Information Gathering &amp; Data Analysis (L4)</w:t>
      </w:r>
    </w:p>
    <w:p>
      <w:pPr>
        <w:pStyle w:val="Heading1"/>
      </w:pPr>
      <w:r>
        <w:t xml:space="preserve">Goal 3: AI in Pharma/Tools — Thought Leadership</w:t>
      </w:r>
    </w:p>
    <w:p>
      <w:pPr>
        <w:pStyle w:val="Heading2"/>
      </w:pPr>
      <w:r>
        <w:t xml:space="preserve">Description</w:t>
      </w:r>
    </w:p>
    <w:p>
      <w:pPr>
        <w:spacing w:after="120"/>
      </w:pPr>
      <w:r>
        <w:t xml:space="preserve">Build out the AI-in-healthcare angle as my own thing across both teams. I want to be the person people come to when they have an AI question related to our coverage. Generate original ideas, not just summarize what’s out there.</w:t>
      </w:r>
    </w:p>
    <w:p>
      <w:pPr>
        <w:pStyle w:val="Heading2"/>
      </w:pPr>
      <w:r>
        <w:t xml:space="preserve">Measurement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Produce at least 2 original AI-in-healthcare content pieces by year-end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Contribute to at least 1 session in the AI virtual series (July 2026)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at least 1 cross-sector insight per quarter that gets incorporated into team research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Independently structure the AI research agenda with limited guidance from senior analyst</w:t>
      </w:r>
    </w:p>
    <w:p>
      <w:pPr>
        <w:spacing w:after="60"/>
      </w:pPr>
      <w:r>
        <w:rPr>
          <w:b/>
          <w:bCs/>
          <w:i/>
          <w:iCs/>
          <w:color w:val="666666"/>
          <w:sz w:val="20"/>
          <w:szCs w:val="20"/>
        </w:rPr>
        <w:t xml:space="preserve">SRA Competency Alignment: </w:t>
      </w:r>
      <w:r>
        <w:rPr>
          <w:i/>
          <w:iCs/>
          <w:color w:val="666666"/>
          <w:sz w:val="20"/>
          <w:szCs w:val="20"/>
        </w:rPr>
        <w:t xml:space="preserve">Thought Leadership, Idea Generation &amp; Synthesis (L4), Information Gathering (L4)</w:t>
      </w:r>
    </w:p>
    <w:p>
      <w:pPr>
        <w:pStyle w:val="Heading1"/>
      </w:pPr>
      <w:r>
        <w:t xml:space="preserve">Goal 4: Sales &amp; Client Relationship Deepening</w:t>
      </w:r>
    </w:p>
    <w:p>
      <w:pPr>
        <w:pStyle w:val="Heading2"/>
      </w:pPr>
      <w:r>
        <w:t xml:space="preserve">Description</w:t>
      </w:r>
    </w:p>
    <w:p>
      <w:pPr>
        <w:spacing w:after="120"/>
      </w:pPr>
      <w:r>
        <w:t xml:space="preserve">Build a real, consistent presence with sales and trading — not just responding when asked, but proactively reaching out with ideas and research. Start developing client-facing experience and my own industry contact network, especially in APAC and London.</w:t>
      </w:r>
    </w:p>
    <w:p>
      <w:pPr>
        <w:pStyle w:val="Heading2"/>
      </w:pPr>
      <w:r>
        <w:t xml:space="preserve">Measurement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Visit sales/trading desk at least 3x per week; proactively share relevant news flow and research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Conduct at least 2 teach-ins per quarter for salespeople/traders on covered names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Establish monthly touchpoints with 2 regional sales teams (APAC, London)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Handle at least 2 inbound client calls independently by mid-year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 in for senior analyst on at least 1 client interaction by mid-year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IR relationships across all coverage names</w:t>
      </w:r>
    </w:p>
    <w:p>
      <w:pPr>
        <w:spacing w:after="60"/>
      </w:pPr>
      <w:r>
        <w:rPr>
          <w:b/>
          <w:bCs/>
          <w:i/>
          <w:iCs/>
          <w:color w:val="666666"/>
          <w:sz w:val="20"/>
          <w:szCs w:val="20"/>
        </w:rPr>
        <w:t xml:space="preserve">SRA Competency Alignment: </w:t>
      </w:r>
      <w:r>
        <w:rPr>
          <w:i/>
          <w:iCs/>
          <w:color w:val="666666"/>
          <w:sz w:val="20"/>
          <w:szCs w:val="20"/>
        </w:rPr>
        <w:t xml:space="preserve">Interaction with Sales &amp; Trading (L3→4), Interaction with Clients (L3→4), Interaction with Companies/Industry Contacts (L3→4)</w:t>
      </w:r>
    </w:p>
    <w:p>
      <w:pPr>
        <w:pStyle w:val="Heading1"/>
      </w:pPr>
      <w:r>
        <w:t xml:space="preserve">Goal 5: CFA Level II — August 2026</w:t>
      </w:r>
    </w:p>
    <w:p>
      <w:pPr>
        <w:pStyle w:val="Heading2"/>
      </w:pPr>
      <w:r>
        <w:t xml:space="preserve">Description</w:t>
      </w:r>
    </w:p>
    <w:p>
      <w:pPr>
        <w:spacing w:after="120"/>
      </w:pPr>
      <w:r>
        <w:t xml:space="preserve">Pass CFA Level II. This supports everything else — sharper modeling, better analytical instincts, more credibility.</w:t>
      </w:r>
    </w:p>
    <w:p>
      <w:pPr>
        <w:pStyle w:val="Heading2"/>
      </w:pPr>
      <w:r>
        <w:t xml:space="preserve">Measurement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 the exam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Maintain study cadence of at least 4 sessions per week through exam date</w:t>
      </w:r>
    </w:p>
    <w:p>
      <w:pPr>
        <w:spacing w:after="60"/>
      </w:pPr>
      <w:r>
        <w:rPr>
          <w:b/>
          <w:bCs/>
          <w:i/>
          <w:iCs/>
          <w:color w:val="666666"/>
          <w:sz w:val="20"/>
          <w:szCs w:val="20"/>
        </w:rPr>
        <w:t xml:space="preserve">SRA Competency Alignment: </w:t>
      </w:r>
      <w:r>
        <w:rPr>
          <w:i/>
          <w:iCs/>
          <w:color w:val="666666"/>
          <w:sz w:val="20"/>
          <w:szCs w:val="20"/>
        </w:rPr>
        <w:t xml:space="preserve">Accuracy &amp; Attention to Detail (supporting), Financial Modeling (supporting)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2026-04-14T12:07:44.502Z</dcterms:created>
  <dcterms:modified xsi:type="dcterms:W3CDTF">2026-04-14T12:07:44.503Z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