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AI in Pharma: From Hype to Pipeline</w:t>
      </w:r>
    </w:p>
    <w:p>
      <w:pPr>
        <w:spacing w:after="6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A Thematic Deep Dive on Artificial Intelligence in Pharmaceutical R&amp;D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March 29, 2026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Classification: Equity Research | Healthcare | Thematic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of Contents</w:t>
      </w:r>
    </w:p>
    <w:p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AI in pharmaceutical R&amp;D has undergone a dramatic transformation from speculative narrative in 2022 to strategic necessity in 2026. The inflection point arrived with historic partnerships: Isomorphic Labs closed $3.0B in combined deals (Eli Lilly and Novartis) in 2024, while Eli Lilly and NVIDIA announced a $1B co-innovation lab in 2026. This shift reflects the industry's conviction that AI is no longer optional.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Market sizing underscores the opportunity. The AI in pharma market stood at approximately $3–5B in 2024 and is projected to reach $15–25B by 2030, representing a compound annual growth rate (CAGR) of 25–31%. McKinsey estimates that generative AI alone could unlock $60–110B in annual value across pharmaceutical and medical technology sectors.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The bull case rests on quantifiable productivity gains. AI has demonstrated the ability to compress preclinical timelines by 30–40%, improve hit rates to 22–46% (versus 2% in random screening), and achieve Phase I success rates near 90% for AI-assisted candidates. Insilico Medicine's rentosertib, the first end-to-end AI-discovered drug, completed Phase 2a for idiopathic pulmonary fibrosis with compelling efficacy data.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However, the bear case remains compelling. As of March 2026, no AI-discovered drug has received FDA approval. Phase II success rates for AI molecules hover near 40%, matching historical averages. The field remains in proof-of-concept, with 3–5 years likely remaining before significant P&amp;L impact emerges.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Our bottom line: AI is a genuine productivity lever for pharma R&amp;D. Companies investing aggressively will likely reap efficiency and portfolio benefits over the next decade. However, investors should resist pricing in benefits that remain years away. The best-positioned companies are Eli Lilly (most aggressive), Amgen (unique data moat), and Moderna (digital-native platform).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2. The AI in Pharma Landscape: Where Are We?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Market Sizing and Scope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The market for AI in pharma grew from approximately $3.0B in 2024 to a projected $15.2B by 2030, representing a CAGR of 31.7%. McKinsey estimates range from $60–110B in annual value unlocked by generative AI.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Key Application Areas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AI is being deployed across pharmaceutical development stages: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Target Identification: Reduces timelines from years to months.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Molecule Design: Hit rates improved to 22–46% versus 2% random.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Clinical Trial Design: 65% improvements in enrollment.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Biomarker Discovery: Precision medicine optimization.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Manufacturing: Digital twins and predictive maintenance.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Commercial: Sales force optimization.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Technology Enablers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AlphaFold and Protein Structure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NVIDIA BioNeMo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Generative AI and Large Language Models</w:t>
      </w:r>
    </w:p>
    <w:p/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3. Year-over-Year Evolution: How the AI Narrative Changed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2022: The Exploratory Phase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AI was discussed at conferences but remained peripheral. The tone was cautious. Few partnerships existed.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2023: The Inflection Year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ChatGPT catalyzed urgency. Insilico announced InClinico trained on 55,600+ Phase 2 trials. The narrative shifted to table stakes.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2024: The Year of Acceleration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Isomorphic announced $1.7B milestones with Lilly and $1.24B with Novartis. NVIDIA launched BioNeMo.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2025: The Maturation Phase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AI partnerships became standard. Healthcare systems made major commitments. The tone normalized.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2026: Strategic Necessity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JPM 2026 witnessed $8.3B in AI deals. Lilly-NVIDIA $1B lab launched. Tone shifted to full commitment.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4. Company-by-Company AI Scorecard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Eli Lilly (LLY): The AI Leader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Eli Lilly has positioned itself as the most aggressive adopter.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NVIDIA Lab: $1B, 5-year facility in San Francisco.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Isomorphic: $45M + $1.7B milestones.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Insilico: $115M upfront, $2.75B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TuneLab: Provides biotech access to AI models.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Chief AI Officer: Thomas J. Fuchs.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Assessment: Most comprehensive strategy. First-mover in infrastructure.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Pfizer (PFE): Efficiency-Focused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PACT: 14 projects; 16,000 hours/year savings.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PostEra: Up to $350M partnership.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Timeline compression: Discovery to 30 days.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Assessment: Pragmatic, cost-focused.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Merck (MRK): Foundation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KERMT: 11M+ molecules; open-source.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 Gen: 2–3 weeks reduced to days.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Assessment: Strengthens thought leadership.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Bristol-Myers Squibb (BMY): Focused on Neuro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insitro: $2B+ milestones for 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Three ALS targets nominated.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Assessment: Narrowly focused, high-conviction.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Amgen (AMGN): Data Moat Leader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deCODE: 200+ petabytes from 3M individuals.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NVIDIA Freyja: 248 H100 GPUs.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AMPLIFY: 43x fewer parameters; 2,000x faster.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Assessment: Most defensible advantage.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AbbVie (ABBV): Analytics-First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ARCH: Connects 200+ sources.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19 approvals since launch.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Assessment: Quiet productivity gains.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Moderna (MRNA): Digital-Native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Design Studio: 30 to 1,000+/month (33x).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OpenAI: 750+ custom GPTs.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Margin impact: &gt;10pp improvement expected.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Assessment: Near-term benefits realized.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Gilead (GILD): Infrastructure 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$32B investment through 2030.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Foster City: 180,000 sq ft facility.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Assessment: Substantial but less near-term clarity.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5. Bull Case: Why AI Will Transform Pharma R&amp;D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 Demonstrable Productivity Gains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Preclinical timelines compress 30–40%. Hit rates improve to 22–46% versus 2%.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 Cost Reduction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20–40% preclinical savings enable 4–8 additional molecules. Clinical reductions of 70% possible.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 First AI Drugs Approaching Approval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Insilico's rentosertib completed Phase 2a. Recursion has 7 readouts in 18 months.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 AlphaFold Revolution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40%+ increase in protein structures. CDK20 identified in 30 days.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 Ecosystem Investment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$3.8B in 2024; projected $25B by 2030.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 Morgan Stanley Thesis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50 additional therapies over 10 years; $50B+ value.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7. Regulatory Clarity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FDA reviewed 500+ submissions. First qualified AI tool approved December 2024.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 Coverage Implications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Lilly, Amgen, and Moderna best positioned for upside.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6. Bear Case: Why Skepticism Remains Warranted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 Zero FDA Approvals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No AI drug approved. Field in proof-of-concept.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 Clinical Bottleneck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Phase II success ~40%, matching history. Overall compression modest.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 Notable Failures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BenevolentAI collapsed. Recursion and Exscientia underperformed.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 Data Quality Issues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68% cite poor data as primary failure reason.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 Black Box Problem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Models cannot explain selection. FDA demands transparency.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 Massive CapEx Risk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Growing 600%. If clinical rates don't improve, ROI uncertain.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7. Biotech Valuations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Exscientia and BenevolentAI collapsed. Investor skepticism justified.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 Hype vs. Reality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'10x faster' claims not materializing. No solved problem yet.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7. Investment Implications and Framework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Assessment framework across four dimensions: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Data Moat: Proprietary data defensibility.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Partnership Depth: Substantive commitments.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Internal Capability: In-house talent and workflows.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P&amp;L Impact: 1–3 year evidence of benefits.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Tier 1: AI Leaders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Eli Lilly: Comprehensive; highest capex.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Amgen: deCODE moat; AMPLIFY leadership.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Moderna: Digital-native; margin expansion.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Tier 2: Active Adopters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Pfizer: Cost-focused; measurable gains.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Merck: Strong partnerships; IP leadership.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AbbVie: Analytics-driven; steady execution.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Tier 3: Early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Bristol-Myers Squibb: Focused; narrow scope.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Gilead: Major capex; lower visibility.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Key Catalysts (2026–2027)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Insilico rentosertib Phase 3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First AI-designed molecule FDA approval.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Isomorphic-Novartis Phase I entry.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Lilly-NVIDIA operational results.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Moderna portfolio expansion.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Key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CapEx without clinical translation.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Regulatory interpretability demands.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Data fragmentation limits.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Hype cycle correction.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8. Key Sources and References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Primary sources used: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Morgan Stanley: AI in Pharma R&amp;D (2024–2026).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McKinsey: Generative AI impact studies (2024–2025).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BCC Research: AI Market Report (2024–2030).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NVIDIA Investor Relations: BioNeMo partnerships.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Company Earnings Calls: Q4 2024 and JPM 2026.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Isomorphic Labs: Partnership details.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FDA: AI/ML guidance and approvals (2023–2026).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DeepMind: AlphaFold structural biology.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Insilico: rentosertib Phase 2a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Nature Biotech: Peer-reviewed publications.</w:t>
      </w:r>
    </w:p>
    <w:p/>
    <w:p>
      <w:pPr>
        <w:spacing w:before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This thematic note represents equity research analysis as of March 29, 2026. Forward-looking statements are subject to significant uncertainty.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6"/>
      </w:pBdr>
      <w:spacing w:before="120"/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6"/>
      </w:pBdr>
      <w:spacing w:after="120"/>
    </w:pPr>
    <w:r>
      <w:rPr>
        <w:rFonts w:ascii="Arial" w:cs="Arial" w:eastAsia="Arial" w:hAnsi="Arial"/>
        <w:color w:val="404040"/>
        <w:sz w:val="20"/>
        <w:szCs w:val="20"/>
      </w:rPr>
      <w:t xml:space="preserve">Equity Research | Thematic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2026-03-30T03:21:41.369Z</dcterms:created>
  <dcterms:modified xsi:type="dcterms:W3CDTF">2026-03-30T03:21:41.370Z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