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rFonts w:ascii="Calibri" w:hAnsi="Calibri"/>
          <w:b/>
          <w:color w:val="001E3C"/>
          <w:sz w:val="112"/>
        </w:rPr>
        <w:t>INFLECTION</w:t>
      </w:r>
    </w:p>
    <w:p>
      <w:pPr>
        <w:jc w:val="center"/>
      </w:pPr>
      <w:r>
        <w:rPr>
          <w:rFonts w:ascii="Calibri" w:hAnsi="Calibri"/>
          <w:b/>
          <w:color w:val="C8102E"/>
          <w:sz w:val="112"/>
        </w:rPr>
        <w:t>DEFERRED</w:t>
      </w:r>
    </w:p>
    <w:p>
      <w:pPr>
        <w:spacing w:before="800" w:after="160"/>
        <w:jc w:val="center"/>
      </w:pPr>
      <w:r>
        <w:rPr>
          <w:rFonts w:ascii="Calibri" w:hAnsi="Calibri"/>
          <w:b/>
          <w:color w:val="001E3C"/>
          <w:sz w:val="32"/>
        </w:rPr>
        <w:t>AI in Drug Discovery — A Thematic View on Pharma Operating Leverage</w:t>
      </w:r>
    </w:p>
    <w:p>
      <w:pPr>
        <w:spacing w:after="600"/>
        <w:jc w:val="center"/>
      </w:pPr>
      <w:r>
        <w:rPr>
          <w:rFonts w:ascii="Georgia" w:hAnsi="Georgia"/>
          <w:i/>
          <w:color w:val="6C757D"/>
          <w:sz w:val="24"/>
        </w:rPr>
        <w:t>Three years of executive AI commentary, and what has actually shown up in the filings.</w:t>
      </w:r>
    </w:p>
    <w:p>
      <w:pPr>
        <w:spacing w:before="1200"/>
        <w:jc w:val="center"/>
      </w:pPr>
      <w:r>
        <w:rPr>
          <w:rFonts w:ascii="Calibri" w:hAnsi="Calibri"/>
          <w:b/>
          <w:color w:val="001E3C"/>
          <w:sz w:val="22"/>
        </w:rPr>
        <w:t>Louisa Qiu</w:t>
      </w:r>
    </w:p>
    <w:p>
      <w:pPr>
        <w:spacing w:after="120" w:before="0" w:line="276" w:lineRule="auto"/>
        <w:jc w:val="center"/>
      </w:pPr>
      <w:r>
        <w:rPr>
          <w:rFonts w:ascii="Calibri" w:hAnsi="Calibri"/>
          <w:b w:val="0"/>
          <w:i/>
          <w:color w:val="6C757D"/>
          <w:sz w:val="20"/>
        </w:rPr>
        <w:t>Senior Analyst, Life Science Tools &amp; Pharma</w:t>
      </w:r>
    </w:p>
    <w:p>
      <w:pPr>
        <w:spacing w:after="120" w:before="0" w:line="276" w:lineRule="auto"/>
        <w:jc w:val="center"/>
      </w:pPr>
      <w:r>
        <w:rPr>
          <w:rFonts w:ascii="Calibri" w:hAnsi="Calibri"/>
          <w:b w:val="0"/>
          <w:i w:val="0"/>
          <w:color w:val="6C757D"/>
          <w:sz w:val="20"/>
        </w:rPr>
        <w:t>May 11, 2026</w:t>
      </w:r>
    </w:p>
    <w:p>
      <w:pPr>
        <w:spacing w:after="120" w:before="400" w:line="276" w:lineRule="auto"/>
        <w:jc w:val="center"/>
      </w:pPr>
      <w:r>
        <w:rPr>
          <w:rFonts w:ascii="Calibri" w:hAnsi="Calibri"/>
          <w:b w:val="0"/>
          <w:i/>
          <w:color w:val="6C757D"/>
          <w:sz w:val="18"/>
        </w:rPr>
        <w:t>For Institutional Investor Distribution</w:t>
      </w:r>
    </w:p>
    <w:p>
      <w:r>
        <w:br w:type="page"/>
      </w:r>
    </w:p>
    <w:p>
      <w:pPr>
        <w:keepNext/>
        <w:spacing w:before="360" w:after="200"/>
      </w:pPr>
      <w:r>
        <w:rPr>
          <w:rFonts w:ascii="Calibri" w:hAnsi="Calibri"/>
          <w:b/>
          <w:color w:val="001E3C"/>
          <w:sz w:val="28"/>
        </w:rPr>
        <w:t>The View in Five Sentences</w:t>
      </w:r>
    </w:p>
    <w:p>
      <w:pPr>
        <w:spacing w:after="200"/>
      </w:pPr>
      <w:r>
        <w:rPr>
          <w:rFonts w:ascii="Georgia" w:hAnsi="Georgia"/>
          <w:i/>
          <w:color w:val="6C757D"/>
          <w:sz w:val="22"/>
        </w:rPr>
        <w:t>Our framework, hypothesis, and where we expect to be proven right or wrong.</w:t>
      </w:r>
    </w:p>
    <w:p>
      <w:pPr>
        <w:spacing w:after="160"/>
        <w:ind w:left="432"/>
      </w:pPr>
      <w:r>
        <w:rPr>
          <w:rFonts w:ascii="Georgia" w:hAnsi="Georgia"/>
          <w:color w:val="1A1A1A"/>
          <w:sz w:val="20"/>
        </w:rPr>
        <w:t>▪ We believe AI's impact on pharma operating economics has been talked about for three years and remains almost entirely absent from disclosed P&amp;L — only 4 of 55 named operating-line claims at the eight covered names are filing-grade, and 20 are explicitly executive commentary that has not migrated into a 10-K.</w:t>
      </w:r>
    </w:p>
    <w:p>
      <w:pPr>
        <w:spacing w:after="160"/>
        <w:ind w:left="432"/>
      </w:pPr>
      <w:r>
        <w:rPr>
          <w:rFonts w:ascii="Georgia" w:hAnsi="Georgia"/>
          <w:color w:val="1A1A1A"/>
          <w:sz w:val="20"/>
        </w:rPr>
        <w:t>▪ The single material exception is Pfizer's $1.2B incremental SG&amp;A savings, disclosed on the Q4 2024 call and attributed in part to AI and automation; we view this as the only Tier 1 quantified AI disclosure of material size at any covered name [SG-001].</w:t>
      </w:r>
    </w:p>
    <w:p>
      <w:pPr>
        <w:spacing w:after="160"/>
        <w:ind w:left="432"/>
      </w:pPr>
      <w:r>
        <w:rPr>
          <w:rFonts w:ascii="Georgia" w:hAnsi="Georgia"/>
          <w:color w:val="1A1A1A"/>
          <w:sz w:val="20"/>
        </w:rPr>
        <w:t>▪ The R&amp;D-productivity case is sharper but narrower — AI has compressed discovery-to-IND timelines in concentrated programs (Insilico's Rentosertib at ~$2.6M and 18 months [RD-001]) and has produced exactly one Phase 3 winner across the 82-molecule AI-discovered cohort (Zasocitinib) [PoS-V01].</w:t>
      </w:r>
    </w:p>
    <w:p>
      <w:pPr>
        <w:spacing w:after="160"/>
        <w:ind w:left="432"/>
      </w:pPr>
      <w:r>
        <w:rPr>
          <w:rFonts w:ascii="Georgia" w:hAnsi="Georgia"/>
          <w:color w:val="1A1A1A"/>
          <w:sz w:val="20"/>
        </w:rPr>
        <w:t>▪ The realized AI-pharma signal lives in the deal market, not the operating line: median upfront sizes moved from ~$1M per-target milestones (2018–2020) to nine-figure upfronts plus standard equity tranches (2024) [DL-001, DL-002, DL-040].</w:t>
      </w:r>
    </w:p>
    <w:p>
      <w:pPr>
        <w:spacing w:after="160"/>
        <w:ind w:left="432"/>
      </w:pPr>
      <w:r>
        <w:rPr>
          <w:rFonts w:ascii="Georgia" w:hAnsi="Georgia"/>
          <w:color w:val="1A1A1A"/>
          <w:sz w:val="20"/>
        </w:rPr>
        <w:t>▪ We frame our verdict as hypothesis MODIFIED — the near-term efficiency case is real but small and slow; the long-term productivity case has one data point and a tech-maturity comp set (autonomous driving + cell and gene therapy) that suggests measurable P&amp;L impact arrives in the back half of the 2030s, not the late 2020s.</w:t>
      </w:r>
    </w:p>
    <w:p>
      <w:r>
        <w:br w:type="page"/>
      </w:r>
    </w:p>
    <w:p>
      <w:pPr>
        <w:keepNext/>
        <w:spacing w:before="360" w:after="200"/>
      </w:pPr>
      <w:r>
        <w:rPr>
          <w:rFonts w:ascii="Calibri" w:hAnsi="Calibri"/>
          <w:b/>
          <w:color w:val="001E3C"/>
          <w:sz w:val="28"/>
        </w:rPr>
        <w:t>Hypothesis and Verdict</w:t>
      </w:r>
    </w:p>
    <w:p>
      <w:pPr>
        <w:spacing w:after="200"/>
      </w:pPr>
      <w:r>
        <w:rPr>
          <w:rFonts w:ascii="Georgia" w:hAnsi="Georgia"/>
          <w:i/>
          <w:color w:val="6C757D"/>
          <w:sz w:val="22"/>
        </w:rPr>
        <w:t>Stating the thesis precisely, then committing to a position.</w:t>
      </w:r>
    </w:p>
    <w:p>
      <w:pPr>
        <w:keepNext/>
        <w:spacing w:before="280" w:after="120"/>
      </w:pPr>
      <w:r>
        <w:rPr>
          <w:rFonts w:ascii="Calibri" w:hAnsi="Calibri"/>
          <w:b/>
          <w:color w:val="001E3C"/>
          <w:sz w:val="24"/>
        </w:rPr>
        <w:t>Hypothesis (commissioning)</w:t>
      </w:r>
    </w:p>
    <w:p>
      <w:pPr>
        <w:spacing w:after="120" w:before="0" w:line="276" w:lineRule="auto"/>
      </w:pPr>
      <w:r>
        <w:rPr>
          <w:rFonts w:ascii="Georgia" w:hAnsi="Georgia"/>
          <w:b w:val="0"/>
          <w:i w:val="0"/>
          <w:sz w:val="20"/>
        </w:rPr>
        <w:t>Near-term (today through ~3 years), AI delivers operating-line efficiency gains across (a) COGS / manufacturing, (b) R&amp;D speed and cycle time, and (c) SG&amp;A productivity. Long-term (5–10 years), AI delivers R&amp;D productivity gains — more validated targets per dollar, higher phase-by-phase probability of success (PoS), and ultimately more approvals per R&amp;D dollar deployed.</w:t>
      </w:r>
    </w:p>
    <w:p>
      <w:pPr>
        <w:keepNext/>
        <w:spacing w:before="280" w:after="120"/>
      </w:pPr>
      <w:r>
        <w:rPr>
          <w:rFonts w:ascii="Calibri" w:hAnsi="Calibri"/>
          <w:b/>
          <w:color w:val="001E3C"/>
          <w:sz w:val="24"/>
        </w:rPr>
        <w:t>Verdict — MODIFIED</w:t>
      </w:r>
    </w:p>
    <w:p>
      <w:pPr>
        <w:spacing w:after="120" w:before="0" w:line="276" w:lineRule="auto"/>
      </w:pPr>
      <w:r>
        <w:rPr>
          <w:rFonts w:ascii="Georgia" w:hAnsi="Georgia"/>
          <w:b w:val="0"/>
          <w:i w:val="0"/>
          <w:sz w:val="20"/>
        </w:rPr>
        <w:t>Supported in narrow form: concentrated discovery-stage timeline compression at AI-native programs, and a single quantified SG&amp;A disclosure at Pfizer. Unsupported in broad form: there is no material disclosed evidence of AI-attributable margin expansion, SG&amp;A productivity, or clinical-stage PoS uplift across the covered universe. The R&amp;D productivity case beyond timelines (more targets per dollar, higher PoS) is unproven outside a small-n cohort that is heavily survivorship-biased and that, on the available evidence, hits non-novel biology.</w:t>
      </w:r>
    </w:p>
    <w:p>
      <w:pPr>
        <w:spacing w:before="120" w:after="40"/>
        <w:jc w:val="center"/>
      </w:pPr>
      <w:r>
        <w:rPr>
          <w:rFonts w:ascii="Calibri" w:hAnsi="Calibri"/>
          <w:b/>
          <w:color w:val="C8102E"/>
          <w:sz w:val="48"/>
        </w:rPr>
        <w:t>4 of 55</w:t>
      </w:r>
    </w:p>
    <w:p>
      <w:pPr>
        <w:spacing w:after="200"/>
        <w:jc w:val="center"/>
      </w:pPr>
      <w:r>
        <w:rPr>
          <w:rFonts w:ascii="Georgia" w:hAnsi="Georgia"/>
          <w:i/>
          <w:color w:val="6C757D"/>
          <w:sz w:val="18"/>
        </w:rPr>
        <w:t>Named operating-line claims at covered pharma that are filing-grade. The other 51 are commentary, press, or industry framing.</w:t>
      </w:r>
    </w:p>
    <w:p>
      <w:r>
        <w:br w:type="page"/>
      </w:r>
    </w:p>
    <w:p>
      <w:pPr>
        <w:keepNext/>
        <w:spacing w:before="360" w:after="200"/>
      </w:pPr>
      <w:r>
        <w:rPr>
          <w:rFonts w:ascii="Calibri" w:hAnsi="Calibri"/>
          <w:b/>
          <w:color w:val="001E3C"/>
          <w:sz w:val="28"/>
        </w:rPr>
        <w:t>Where We'd Be Right, Where We'd Be Wrong</w:t>
      </w:r>
    </w:p>
    <w:p>
      <w:pPr>
        <w:spacing w:after="200"/>
      </w:pPr>
      <w:r>
        <w:rPr>
          <w:rFonts w:ascii="Georgia" w:hAnsi="Georgia"/>
          <w:i/>
          <w:color w:val="6C757D"/>
          <w:sz w:val="22"/>
        </w:rPr>
        <w:t>Pre-committing to the data that would falsify our thesis — published before the readouts.</w:t>
      </w:r>
    </w:p>
    <w:tbl>
      <w:tblPr>
        <w:tblW w:type="auto" w:w="0"/>
        <w:jc w:val="center"/>
        <w:tblLook w:firstColumn="1" w:firstRow="1" w:lastColumn="0" w:lastRow="0" w:noHBand="0" w:noVBand="1" w:val="04A0"/>
      </w:tblPr>
      <w:tblGrid>
        <w:gridCol w:w="4680"/>
        <w:gridCol w:w="4680"/>
      </w:tblGrid>
      <w:tr>
        <w:tc>
          <w:tcPr>
            <w:tcW w:type="dxa" w:w="4680"/>
            <w:shd w:val="clear" w:color="auto" w:fill="001E3C"/>
          </w:tcPr>
          <w:p>
            <w:pPr>
              <w:spacing w:after="40"/>
            </w:pPr>
            <w:r>
              <w:rPr>
                <w:rFonts w:ascii="Calibri" w:hAnsi="Calibri"/>
                <w:b/>
                <w:color w:val="FFFFFF"/>
                <w:sz w:val="20"/>
              </w:rPr>
              <w:t>What would prove us right</w:t>
            </w:r>
          </w:p>
        </w:tc>
        <w:tc>
          <w:tcPr>
            <w:tcW w:type="dxa" w:w="4680"/>
            <w:shd w:val="clear" w:color="auto" w:fill="001E3C"/>
          </w:tcPr>
          <w:p>
            <w:pPr>
              <w:spacing w:after="40"/>
            </w:pPr>
            <w:r>
              <w:rPr>
                <w:rFonts w:ascii="Calibri" w:hAnsi="Calibri"/>
                <w:b/>
                <w:color w:val="FFFFFF"/>
                <w:sz w:val="20"/>
              </w:rPr>
              <w:t>What would prove us wrong</w:t>
            </w:r>
          </w:p>
        </w:tc>
      </w:tr>
      <w:tr>
        <w:tc>
          <w:tcPr>
            <w:tcW w:type="dxa" w:w="4680"/>
            <w:shd w:val="clear" w:color="auto" w:fill="F2F2F2"/>
          </w:tcPr>
          <w:p>
            <w:pPr>
              <w:spacing w:after="60"/>
            </w:pPr>
            <w:r/>
            <w:r>
              <w:rPr>
                <w:rFonts w:ascii="Georgia" w:hAnsi="Georgia"/>
                <w:color w:val="1A1A1A"/>
                <w:sz w:val="20"/>
              </w:rPr>
              <w:t>• No more than 1–2 covered names break out an AI-attributable opex/margin line item in a 10-K through FY2027.</w:t>
            </w:r>
          </w:p>
          <w:p>
            <w:pPr>
              <w:spacing w:after="60"/>
            </w:pPr>
            <w:r>
              <w:rPr>
                <w:rFonts w:ascii="Georgia" w:hAnsi="Georgia"/>
                <w:color w:val="1A1A1A"/>
                <w:sz w:val="20"/>
              </w:rPr>
              <w:t>• Zasocitinib remains the only AI-cohort Phase 3 winner through end-2027; no additional AI-discovered molecule reaches commercial launch.</w:t>
            </w:r>
          </w:p>
          <w:p>
            <w:pPr>
              <w:spacing w:after="60"/>
            </w:pPr>
            <w:r>
              <w:rPr>
                <w:rFonts w:ascii="Georgia" w:hAnsi="Georgia"/>
                <w:color w:val="1A1A1A"/>
                <w:sz w:val="20"/>
              </w:rPr>
              <w:t>• Median upfront in AI-pharma platform deals plateaus or declines vs. the 2024 peak; deal market repriced toward equity-light, milestone-heavy structures.</w:t>
            </w:r>
          </w:p>
          <w:p>
            <w:pPr>
              <w:spacing w:after="60"/>
            </w:pPr>
            <w:r>
              <w:rPr>
                <w:rFonts w:ascii="Georgia" w:hAnsi="Georgia"/>
                <w:color w:val="1A1A1A"/>
                <w:sz w:val="20"/>
              </w:rPr>
              <w:t>• FDA does not finalize the January 2025 'Considerations for the Use of AI' draft guidance through 2026.</w:t>
            </w:r>
          </w:p>
          <w:p>
            <w:pPr>
              <w:spacing w:after="60"/>
            </w:pPr>
            <w:r>
              <w:rPr>
                <w:rFonts w:ascii="Georgia" w:hAnsi="Georgia"/>
                <w:color w:val="1A1A1A"/>
                <w:sz w:val="20"/>
              </w:rPr>
              <w:t>• At least one major AI-native consolidates or fails materially within the next 12–18 months (analog: Argo AI 2022, Cruise 2023).</w:t>
            </w:r>
          </w:p>
        </w:tc>
        <w:tc>
          <w:tcPr>
            <w:tcW w:type="dxa" w:w="4680"/>
            <w:shd w:val="clear" w:color="auto" w:fill="F2F2F2"/>
          </w:tcPr>
          <w:p>
            <w:pPr>
              <w:spacing w:after="60"/>
            </w:pPr>
            <w:r/>
            <w:r>
              <w:rPr>
                <w:rFonts w:ascii="Georgia" w:hAnsi="Georgia"/>
                <w:color w:val="1A1A1A"/>
                <w:sz w:val="20"/>
              </w:rPr>
              <w:t>• Three or more covered names disclose AI-attributable margin or opex line items in their FY2026 or FY2027 10-Ks, in figures that move the consolidated number.</w:t>
            </w:r>
          </w:p>
          <w:p>
            <w:pPr>
              <w:spacing w:after="60"/>
            </w:pPr>
            <w:r>
              <w:rPr>
                <w:rFonts w:ascii="Georgia" w:hAnsi="Georgia"/>
                <w:color w:val="1A1A1A"/>
                <w:sz w:val="20"/>
              </w:rPr>
              <w:t>• Two or more AI-discovered molecules reach Phase 3 readouts with positive primary endpoints by end-2027.</w:t>
            </w:r>
          </w:p>
          <w:p>
            <w:pPr>
              <w:spacing w:after="60"/>
            </w:pPr>
            <w:r>
              <w:rPr>
                <w:rFonts w:ascii="Georgia" w:hAnsi="Georgia"/>
                <w:color w:val="1A1A1A"/>
                <w:sz w:val="20"/>
              </w:rPr>
              <w:t>• FDA issues finalized AI submission guidance in 2026 with a permissive, sponsor-friendly stance, and an approval letter materially cites AI-derived evidence as load-bearing.</w:t>
            </w:r>
          </w:p>
          <w:p>
            <w:pPr>
              <w:spacing w:after="60"/>
            </w:pPr>
            <w:r>
              <w:rPr>
                <w:rFonts w:ascii="Georgia" w:hAnsi="Georgia"/>
                <w:color w:val="1A1A1A"/>
                <w:sz w:val="20"/>
              </w:rPr>
              <w:t>• Median upfront in AI-pharma deals continues to rise through 2026–2027.</w:t>
            </w:r>
          </w:p>
          <w:p>
            <w:pPr>
              <w:spacing w:after="60"/>
            </w:pPr>
            <w:r>
              <w:rPr>
                <w:rFonts w:ascii="Georgia" w:hAnsi="Georgia"/>
                <w:color w:val="1A1A1A"/>
                <w:sz w:val="20"/>
              </w:rPr>
              <w:t>• An NVIDIA-style 'picks and shovels' platform reaches &gt;$5B revenue for AI-in-pharma applications, validating the platform thesis.</w:t>
            </w:r>
          </w:p>
        </w:tc>
      </w:tr>
    </w:tbl>
    <w:p>
      <w:r>
        <w:br w:type="page"/>
      </w:r>
    </w:p>
    <w:p>
      <w:pPr>
        <w:spacing w:before="3600" w:after="400"/>
        <w:jc w:val="center"/>
      </w:pPr>
      <w:r>
        <w:rPr>
          <w:rFonts w:ascii="Calibri" w:hAnsi="Calibri"/>
          <w:b/>
          <w:color w:val="001E3C"/>
          <w:sz w:val="56"/>
        </w:rPr>
        <w:t>INVESTMENT FRAMEWORK</w:t>
      </w:r>
    </w:p>
    <w:p>
      <w:pPr>
        <w:jc w:val="center"/>
      </w:pPr>
      <w:r>
        <w:rPr>
          <w:color w:val="C8102E"/>
          <w:sz w:val="28"/>
        </w:rPr>
        <w:t>— — —</w:t>
      </w:r>
    </w:p>
    <w:p>
      <w:pPr>
        <w:keepNext/>
        <w:spacing w:before="360" w:after="200"/>
      </w:pPr>
      <w:r>
        <w:rPr>
          <w:rFonts w:ascii="Calibri" w:hAnsi="Calibri"/>
          <w:b/>
          <w:color w:val="001E3C"/>
          <w:sz w:val="28"/>
        </w:rPr>
        <w:t>AI Productivity Gains Concentrate in Discovery, Not Late-Stage Development</w:t>
      </w:r>
    </w:p>
    <w:p>
      <w:pPr>
        <w:spacing w:after="200"/>
      </w:pPr>
      <w:r>
        <w:rPr>
          <w:rFonts w:ascii="Georgia" w:hAnsi="Georgia"/>
          <w:i/>
          <w:color w:val="6C757D"/>
          <w:sz w:val="22"/>
        </w:rPr>
        <w:t>Of 55 named operating-line claims at covered pharma, only four are filing-grade. The rest live in transcripts, press releases, and industry framing that has not been formalized.</w:t>
      </w:r>
    </w:p>
    <w:p>
      <w:pPr>
        <w:spacing w:after="120" w:before="0" w:line="276" w:lineRule="auto"/>
      </w:pPr>
      <w:r>
        <w:rPr>
          <w:rFonts w:ascii="Georgia" w:hAnsi="Georgia"/>
          <w:b w:val="0"/>
          <w:i w:val="0"/>
          <w:sz w:val="20"/>
        </w:rPr>
        <w:t>Our review of disclosed AI-related operating-line claims at the eight covered big-pharma names yields 55 evidence rows in the working matrix. Of those, four are filing-grade — that is, they appear in a 10-K, 10-Q, 8-K, S-1, DEF 14A, or 20-F at quantified specificity. Twenty are explicitly flagged in our matrix as MANAGEMENT COMMENTARY NOT GUIDED, meaning an executive made the claim on an earnings call or at an investor event but the figure has not migrated into a formal SEC disclosure. The remainder are press releases or industry trade material. Three years into the executive AI narrative cycle (2022–2025), the gap between what has been said and what has been disclosed is the single most-defensible empirical finding we can land.</w:t>
      </w:r>
    </w:p>
    <w:p>
      <w:pPr>
        <w:keepNext/>
        <w:spacing w:before="280" w:after="120"/>
      </w:pPr>
      <w:r>
        <w:rPr>
          <w:rFonts w:ascii="Calibri" w:hAnsi="Calibri"/>
          <w:b/>
          <w:color w:val="001E3C"/>
          <w:sz w:val="24"/>
        </w:rPr>
        <w:t>The four filing-grade disclosures</w:t>
      </w:r>
    </w:p>
    <w:p>
      <w:pPr>
        <w:spacing w:after="120" w:before="0" w:line="276" w:lineRule="auto"/>
      </w:pPr>
      <w:r>
        <w:rPr>
          <w:rFonts w:ascii="Georgia" w:hAnsi="Georgia"/>
          <w:b w:val="0"/>
          <w:i w:val="0"/>
          <w:sz w:val="20"/>
        </w:rPr>
        <w:t>Pfizer's Q4 2024 earnings call (February 4, 2025) carries the single largest quantified AI-attributable disclosure in the covered universe — $1.2 billion in incremental net SG&amp;A savings, 'in part by leveraging digital tools, including automation and AI' [SG-001]. This is also the cleanest piece of evidence supporting the spec hypothesis; we treat it as load-bearing in our model-inputs synthesis but flag that the figure has not yet been broken out as a standalone AI line in the FY24 10-K. If the disclosure does not repeat in the FY25 reporting cycle, the strongest single piece of supporting evidence in our matrix weakens materially.</w:t>
      </w:r>
    </w:p>
    <w:p>
      <w:pPr>
        <w:spacing w:after="120" w:before="0" w:line="276" w:lineRule="auto"/>
      </w:pPr>
      <w:r>
        <w:rPr>
          <w:rFonts w:ascii="Georgia" w:hAnsi="Georgia"/>
          <w:b w:val="0"/>
          <w:i w:val="0"/>
          <w:sz w:val="20"/>
        </w:rPr>
        <w:t>Insilico Medicine's Rentosertib (INS018_055) chain — peer-reviewed Phase IIa publication in Nature Medicine (June 2025) showing +98.4 mL FVC improvement versus −62.3 mL placebo [RD-029], a ~$2.6M discovery-to-PCC cost vs. industry rule-of-thumb of $50–100M [RD-001], and Eli Lilly's $2.75B licensing deal in March 2026 [RD-015] — is the cleanest single-program AI-versus-traditional benchmark in the matrix. We caveat the comparison heavily: it is n=1, in a rare-disease indication, and is overwhelmingly survivorship-biased. Phase III initiation is expected in 2026–2027; the readout is the most important forward test of the long-term hypothesis.</w:t>
      </w:r>
    </w:p>
    <w:p>
      <w:pPr>
        <w:spacing w:after="120" w:before="0" w:line="276" w:lineRule="auto"/>
      </w:pPr>
      <w:r>
        <w:rPr>
          <w:rFonts w:ascii="Georgia" w:hAnsi="Georgia"/>
          <w:b w:val="0"/>
          <w:i w:val="0"/>
          <w:sz w:val="20"/>
        </w:rPr>
        <w:t>Recursion's Q1 2026 10-Q shows cash operating expense down 30% year-over-year (R&amp;D down 32% to $87.9M from $129.6M; G&amp;A down 37%) [RD-003]. This is real AI-native operating-cost compression but should not be conflated with covered pharma R&amp;D-line compression — Recursion's delta partly reflects the November 2024 Exscientia integration synergies and portfolio reprioritization, not pure AI productivity.</w:t>
      </w:r>
    </w:p>
    <w:p>
      <w:pPr>
        <w:spacing w:after="120" w:before="0" w:line="276" w:lineRule="auto"/>
      </w:pPr>
      <w:r>
        <w:rPr>
          <w:rFonts w:ascii="Georgia" w:hAnsi="Georgia"/>
          <w:b w:val="0"/>
          <w:i w:val="0"/>
          <w:sz w:val="20"/>
        </w:rPr>
        <w:t>The fourth filing-grade row is Sanofi's plai platform commentary in the annual report, corroborated externally but not yet broken out as a standalone line item in the consolidated SG&amp;A or COGS disclosure [GM-005 / SG-004]. We treat this as directional rather than load-bearing.</w:t>
      </w:r>
    </w:p>
    <w:p>
      <w:pPr>
        <w:keepNext/>
        <w:spacing w:before="280" w:after="120"/>
      </w:pPr>
      <w:r>
        <w:rPr>
          <w:rFonts w:ascii="Calibri" w:hAnsi="Calibri"/>
          <w:b/>
          <w:color w:val="001E3C"/>
          <w:sz w:val="24"/>
        </w:rPr>
        <w:t>What has not shown up</w:t>
      </w:r>
    </w:p>
    <w:p>
      <w:pPr>
        <w:spacing w:after="120" w:before="0" w:line="276" w:lineRule="auto"/>
      </w:pPr>
      <w:r>
        <w:rPr>
          <w:rFonts w:ascii="Georgia" w:hAnsi="Georgia"/>
          <w:b w:val="0"/>
          <w:i w:val="0"/>
          <w:sz w:val="20"/>
        </w:rPr>
        <w:t>The list of executive AI claims with no corresponding filing-grade disclosure is longer than the list of disclosed numbers. AbbVie's '5 → 19 approvals (4× expansion); 12 experimental medicines in late stage' framing is the most aggressive AI productivity narrative in our covered universe [RD-007] — but the underlying portfolio expansion is the Skyrizi and Rinvoq immunology pipeline, which was built largely pre-AI. Attribution to AI is rhetorical, not analytical. Moderna's 42-day sequence-to-clinical-batch claim traces to a vendor case study (Aily Labs), not the Moderna 10-K [GM-006]. Bristol Myers Squibb's '30+ AI solutions deployed' is unverifiable; the company's 2019 Exscientia collaboration has had no major public update since 2022 [RD-019]. Gilead is the silent name in our universe — zero quantified AI productivity disclosure across any forum through Q1 2026.</w:t>
      </w:r>
    </w:p>
    <w:p>
      <w:pPr>
        <w:keepNext/>
        <w:spacing w:before="280" w:after="120"/>
      </w:pPr>
      <w:r>
        <w:rPr>
          <w:rFonts w:ascii="Calibri" w:hAnsi="Calibri"/>
          <w:b/>
          <w:color w:val="001E3C"/>
          <w:sz w:val="24"/>
        </w:rPr>
        <w:t>Coverage universe — Claim, Proof, Verdict</w:t>
      </w:r>
    </w:p>
    <w:p>
      <w:pPr>
        <w:spacing w:after="120" w:before="0" w:line="276" w:lineRule="auto"/>
      </w:pPr>
      <w:r>
        <w:rPr>
          <w:rFonts w:ascii="Georgia" w:hAnsi="Georgia"/>
          <w:b w:val="0"/>
          <w:i w:val="0"/>
          <w:sz w:val="20"/>
        </w:rPr>
        <w:t>This is the page-one exhibit of the Q1 section. One row per covered pharma name. The 'Verdict' column reflects whether disclosed evidence corroborates the AI narrative.</w:t>
      </w:r>
    </w:p>
    <w:tbl>
      <w:tblPr>
        <w:tblW w:type="auto" w:w="0"/>
        <w:jc w:val="center"/>
        <w:tblLook w:firstColumn="1" w:firstRow="1" w:lastColumn="0" w:lastRow="0" w:noHBand="0" w:noVBand="1" w:val="04A0"/>
      </w:tblPr>
      <w:tblGrid>
        <w:gridCol w:w="2340"/>
        <w:gridCol w:w="2340"/>
        <w:gridCol w:w="2340"/>
        <w:gridCol w:w="2340"/>
      </w:tblGrid>
      <w:tr>
        <w:tc>
          <w:tcPr>
            <w:tcW w:type="dxa" w:w="864"/>
            <w:shd w:val="clear" w:color="auto" w:fill="001E3C"/>
          </w:tcPr>
          <w:p>
            <w:pPr>
              <w:spacing w:after="40"/>
              <w:jc w:val="center"/>
            </w:pPr>
            <w:r>
              <w:rPr>
                <w:rFonts w:ascii="Calibri" w:hAnsi="Calibri"/>
                <w:b/>
                <w:color w:val="FFFFFF"/>
                <w:sz w:val="18"/>
              </w:rPr>
              <w:t>Name</w:t>
            </w:r>
          </w:p>
        </w:tc>
        <w:tc>
          <w:tcPr>
            <w:tcW w:type="dxa" w:w="4896"/>
            <w:shd w:val="clear" w:color="auto" w:fill="001E3C"/>
          </w:tcPr>
          <w:p>
            <w:pPr>
              <w:spacing w:after="40"/>
              <w:jc w:val="center"/>
            </w:pPr>
            <w:r>
              <w:rPr>
                <w:rFonts w:ascii="Calibri" w:hAnsi="Calibri"/>
                <w:b/>
                <w:color w:val="FFFFFF"/>
                <w:sz w:val="18"/>
              </w:rPr>
              <w:t>Claim summary</w:t>
            </w:r>
          </w:p>
        </w:tc>
        <w:tc>
          <w:tcPr>
            <w:tcW w:type="dxa" w:w="1440"/>
            <w:shd w:val="clear" w:color="auto" w:fill="001E3C"/>
          </w:tcPr>
          <w:p>
            <w:pPr>
              <w:spacing w:after="40"/>
              <w:jc w:val="center"/>
            </w:pPr>
            <w:r>
              <w:rPr>
                <w:rFonts w:ascii="Calibri" w:hAnsi="Calibri"/>
                <w:b/>
                <w:color w:val="FFFFFF"/>
                <w:sz w:val="18"/>
              </w:rPr>
              <w:t>Proof?</w:t>
            </w:r>
          </w:p>
        </w:tc>
        <w:tc>
          <w:tcPr>
            <w:tcW w:type="dxa" w:w="2160"/>
            <w:shd w:val="clear" w:color="auto" w:fill="001E3C"/>
          </w:tcPr>
          <w:p>
            <w:pPr>
              <w:spacing w:after="40"/>
              <w:jc w:val="center"/>
            </w:pPr>
            <w:r>
              <w:rPr>
                <w:rFonts w:ascii="Calibri" w:hAnsi="Calibri"/>
                <w:b/>
                <w:color w:val="FFFFFF"/>
                <w:sz w:val="18"/>
              </w:rPr>
              <w:t>Verdict</w:t>
            </w:r>
          </w:p>
        </w:tc>
      </w:tr>
      <w:tr>
        <w:tc>
          <w:tcPr>
            <w:tcW w:type="dxa" w:w="864"/>
          </w:tcPr>
          <w:p>
            <w:pPr>
              <w:spacing w:after="40"/>
            </w:pPr>
            <w:r/>
            <w:r>
              <w:rPr>
                <w:rFonts w:ascii="Georgia" w:hAnsi="Georgia"/>
                <w:color w:val="1A1A1A"/>
                <w:sz w:val="18"/>
              </w:rPr>
              <w:t>PFE</w:t>
            </w:r>
          </w:p>
        </w:tc>
        <w:tc>
          <w:tcPr>
            <w:tcW w:type="dxa" w:w="4896"/>
          </w:tcPr>
          <w:p>
            <w:pPr>
              <w:spacing w:after="40"/>
            </w:pPr>
            <w:r/>
            <w:r>
              <w:rPr>
                <w:rFonts w:ascii="Georgia" w:hAnsi="Georgia"/>
                <w:color w:val="1A1A1A"/>
                <w:sz w:val="18"/>
              </w:rPr>
              <w:t>$1.2B SG&amp;A AI/automation savings Q4 2024; $4.0B 2023–2024 envelope; 70% target specialties #1/#2 via AI tools</w:t>
            </w:r>
          </w:p>
        </w:tc>
        <w:tc>
          <w:tcPr>
            <w:tcW w:type="dxa" w:w="1440"/>
          </w:tcPr>
          <w:p>
            <w:pPr>
              <w:spacing w:after="40"/>
            </w:pPr>
            <w:r/>
            <w:r>
              <w:rPr>
                <w:rFonts w:ascii="Georgia" w:hAnsi="Georgia"/>
                <w:color w:val="1A1A1A"/>
                <w:sz w:val="18"/>
              </w:rPr>
              <w:t>YES (narrow)</w:t>
            </w:r>
          </w:p>
        </w:tc>
        <w:tc>
          <w:tcPr>
            <w:tcW w:type="dxa" w:w="2160"/>
          </w:tcPr>
          <w:p>
            <w:pPr>
              <w:spacing w:after="40"/>
            </w:pPr>
            <w:r/>
            <w:r>
              <w:rPr>
                <w:rFonts w:ascii="Georgia" w:hAnsi="Georgia"/>
                <w:color w:val="1A1A1A"/>
                <w:sz w:val="18"/>
              </w:rPr>
              <w:t>PROOF ON RECORD</w:t>
            </w:r>
          </w:p>
        </w:tc>
      </w:tr>
      <w:tr>
        <w:tc>
          <w:tcPr>
            <w:tcW w:type="dxa" w:w="864"/>
            <w:shd w:val="clear" w:color="auto" w:fill="F2F2F2"/>
          </w:tcPr>
          <w:p>
            <w:pPr>
              <w:spacing w:after="40"/>
            </w:pPr>
            <w:r/>
            <w:r>
              <w:rPr>
                <w:rFonts w:ascii="Georgia" w:hAnsi="Georgia"/>
                <w:color w:val="1A1A1A"/>
                <w:sz w:val="18"/>
              </w:rPr>
              <w:t>LLY</w:t>
            </w:r>
          </w:p>
        </w:tc>
        <w:tc>
          <w:tcPr>
            <w:tcW w:type="dxa" w:w="4896"/>
            <w:shd w:val="clear" w:color="auto" w:fill="F2F2F2"/>
          </w:tcPr>
          <w:p>
            <w:pPr>
              <w:spacing w:after="40"/>
            </w:pPr>
            <w:r/>
            <w:r>
              <w:rPr>
                <w:rFonts w:ascii="Georgia" w:hAnsi="Georgia"/>
                <w:color w:val="1A1A1A"/>
                <w:sz w:val="18"/>
              </w:rPr>
              <w:t>Up to $1B/5yr AI infrastructure; $45M+$1.7B to Isomorphic; $2.75B to Insilico (Rentosertib); SG&amp;A 19% vs revenue 56% YoY (Mounjaro/Zepbound-driven, not AI-separable)</w:t>
            </w:r>
          </w:p>
        </w:tc>
        <w:tc>
          <w:tcPr>
            <w:tcW w:type="dxa" w:w="1440"/>
            <w:shd w:val="clear" w:color="auto" w:fill="F2F2F2"/>
          </w:tcPr>
          <w:p>
            <w:pPr>
              <w:spacing w:after="40"/>
            </w:pPr>
            <w:r/>
            <w:r>
              <w:rPr>
                <w:rFonts w:ascii="Georgia" w:hAnsi="Georgia"/>
                <w:color w:val="1A1A1A"/>
                <w:sz w:val="18"/>
              </w:rPr>
              <w:t>NO (capital only)</w:t>
            </w:r>
          </w:p>
        </w:tc>
        <w:tc>
          <w:tcPr>
            <w:tcW w:type="dxa" w:w="2160"/>
            <w:shd w:val="clear" w:color="auto" w:fill="F2F2F2"/>
          </w:tcPr>
          <w:p>
            <w:pPr>
              <w:spacing w:after="40"/>
            </w:pPr>
            <w:r/>
            <w:r>
              <w:rPr>
                <w:rFonts w:ascii="Georgia" w:hAnsi="Georgia"/>
                <w:color w:val="1A1A1A"/>
                <w:sz w:val="18"/>
              </w:rPr>
              <w:t>CAPITAL DEPLOYED, NO PROOF YET</w:t>
            </w:r>
          </w:p>
        </w:tc>
      </w:tr>
      <w:tr>
        <w:tc>
          <w:tcPr>
            <w:tcW w:type="dxa" w:w="864"/>
          </w:tcPr>
          <w:p>
            <w:pPr>
              <w:spacing w:after="40"/>
            </w:pPr>
            <w:r/>
            <w:r>
              <w:rPr>
                <w:rFonts w:ascii="Georgia" w:hAnsi="Georgia"/>
                <w:color w:val="1A1A1A"/>
                <w:sz w:val="18"/>
              </w:rPr>
              <w:t>MRK</w:t>
            </w:r>
          </w:p>
        </w:tc>
        <w:tc>
          <w:tcPr>
            <w:tcW w:type="dxa" w:w="4896"/>
          </w:tcPr>
          <w:p>
            <w:pPr>
              <w:spacing w:after="40"/>
            </w:pPr>
            <w:r/>
            <w:r>
              <w:rPr>
                <w:rFonts w:ascii="Georgia" w:hAnsi="Georgia"/>
                <w:color w:val="1A1A1A"/>
                <w:sz w:val="18"/>
              </w:rPr>
              <w:t>CSR draft 180h→80h (-55%); active dealmaking with Variational AI, Schrödinger, Absci; Exscientia 2020 collab gone quiet</w:t>
            </w:r>
          </w:p>
        </w:tc>
        <w:tc>
          <w:tcPr>
            <w:tcW w:type="dxa" w:w="1440"/>
          </w:tcPr>
          <w:p>
            <w:pPr>
              <w:spacing w:after="40"/>
            </w:pPr>
            <w:r/>
            <w:r>
              <w:rPr>
                <w:rFonts w:ascii="Georgia" w:hAnsi="Georgia"/>
                <w:color w:val="1A1A1A"/>
                <w:sz w:val="18"/>
              </w:rPr>
              <w:t>YES (narrow)</w:t>
            </w:r>
          </w:p>
        </w:tc>
        <w:tc>
          <w:tcPr>
            <w:tcW w:type="dxa" w:w="2160"/>
          </w:tcPr>
          <w:p>
            <w:pPr>
              <w:spacing w:after="40"/>
            </w:pPr>
            <w:r/>
            <w:r>
              <w:rPr>
                <w:rFonts w:ascii="Georgia" w:hAnsi="Georgia"/>
                <w:color w:val="1A1A1A"/>
                <w:sz w:val="18"/>
              </w:rPr>
              <w:t>NARROW PROOF</w:t>
            </w:r>
          </w:p>
        </w:tc>
      </w:tr>
      <w:tr>
        <w:tc>
          <w:tcPr>
            <w:tcW w:type="dxa" w:w="864"/>
            <w:shd w:val="clear" w:color="auto" w:fill="F2F2F2"/>
          </w:tcPr>
          <w:p>
            <w:pPr>
              <w:spacing w:after="40"/>
            </w:pPr>
            <w:r/>
            <w:r>
              <w:rPr>
                <w:rFonts w:ascii="Georgia" w:hAnsi="Georgia"/>
                <w:color w:val="1A1A1A"/>
                <w:sz w:val="18"/>
              </w:rPr>
              <w:t>BMY</w:t>
            </w:r>
          </w:p>
        </w:tc>
        <w:tc>
          <w:tcPr>
            <w:tcW w:type="dxa" w:w="4896"/>
            <w:shd w:val="clear" w:color="auto" w:fill="F2F2F2"/>
          </w:tcPr>
          <w:p>
            <w:pPr>
              <w:spacing w:after="40"/>
            </w:pPr>
            <w:r/>
            <w:r>
              <w:rPr>
                <w:rFonts w:ascii="Georgia" w:hAnsi="Georgia"/>
                <w:color w:val="1A1A1A"/>
                <w:sz w:val="18"/>
              </w:rPr>
              <w:t>'30+ AI solutions deployed'; Exscientia 2019 collab (silent since 2022); Insitro 2021 CV/onc — no clinical asset yet</w:t>
            </w:r>
          </w:p>
        </w:tc>
        <w:tc>
          <w:tcPr>
            <w:tcW w:type="dxa" w:w="1440"/>
            <w:shd w:val="clear" w:color="auto" w:fill="F2F2F2"/>
          </w:tcPr>
          <w:p>
            <w:pPr>
              <w:spacing w:after="40"/>
            </w:pPr>
            <w:r/>
            <w:r>
              <w:rPr>
                <w:rFonts w:ascii="Georgia" w:hAnsi="Georgia"/>
                <w:color w:val="1A1A1A"/>
                <w:sz w:val="18"/>
              </w:rPr>
              <w:t>NO</w:t>
            </w:r>
          </w:p>
        </w:tc>
        <w:tc>
          <w:tcPr>
            <w:tcW w:type="dxa" w:w="2160"/>
            <w:shd w:val="clear" w:color="auto" w:fill="F2F2F2"/>
          </w:tcPr>
          <w:p>
            <w:pPr>
              <w:spacing w:after="40"/>
            </w:pPr>
            <w:r/>
            <w:r>
              <w:rPr>
                <w:rFonts w:ascii="Georgia" w:hAnsi="Georgia"/>
                <w:color w:val="1A1A1A"/>
                <w:sz w:val="18"/>
              </w:rPr>
              <w:t>TALKING, NO PROOF</w:t>
            </w:r>
          </w:p>
        </w:tc>
      </w:tr>
      <w:tr>
        <w:tc>
          <w:tcPr>
            <w:tcW w:type="dxa" w:w="864"/>
          </w:tcPr>
          <w:p>
            <w:pPr>
              <w:spacing w:after="40"/>
            </w:pPr>
            <w:r/>
            <w:r>
              <w:rPr>
                <w:rFonts w:ascii="Georgia" w:hAnsi="Georgia"/>
                <w:color w:val="1A1A1A"/>
                <w:sz w:val="18"/>
              </w:rPr>
              <w:t>AMGN</w:t>
            </w:r>
          </w:p>
        </w:tc>
        <w:tc>
          <w:tcPr>
            <w:tcW w:type="dxa" w:w="4896"/>
          </w:tcPr>
          <w:p>
            <w:pPr>
              <w:spacing w:after="40"/>
            </w:pPr>
            <w:r/>
            <w:r>
              <w:rPr>
                <w:rFonts w:ascii="Georgia" w:hAnsi="Georgia"/>
                <w:color w:val="1A1A1A"/>
                <w:sz w:val="18"/>
              </w:rPr>
              <w:t>3× protein engineering speed (MGMT); ML viscosity prediction; Generate Biomedicines $50M+$1.9B (2022 — no asset disclosed)</w:t>
            </w:r>
          </w:p>
        </w:tc>
        <w:tc>
          <w:tcPr>
            <w:tcW w:type="dxa" w:w="1440"/>
          </w:tcPr>
          <w:p>
            <w:pPr>
              <w:spacing w:after="40"/>
            </w:pPr>
            <w:r/>
            <w:r>
              <w:rPr>
                <w:rFonts w:ascii="Georgia" w:hAnsi="Georgia"/>
                <w:color w:val="1A1A1A"/>
                <w:sz w:val="18"/>
              </w:rPr>
              <w:t>NO (capital only)</w:t>
            </w:r>
          </w:p>
        </w:tc>
        <w:tc>
          <w:tcPr>
            <w:tcW w:type="dxa" w:w="2160"/>
          </w:tcPr>
          <w:p>
            <w:pPr>
              <w:spacing w:after="40"/>
            </w:pPr>
            <w:r/>
            <w:r>
              <w:rPr>
                <w:rFonts w:ascii="Georgia" w:hAnsi="Georgia"/>
                <w:color w:val="1A1A1A"/>
                <w:sz w:val="18"/>
              </w:rPr>
              <w:t>CAPITAL DEPLOYED, NO PROOF YET</w:t>
            </w:r>
          </w:p>
        </w:tc>
      </w:tr>
      <w:tr>
        <w:tc>
          <w:tcPr>
            <w:tcW w:type="dxa" w:w="864"/>
            <w:shd w:val="clear" w:color="auto" w:fill="F2F2F2"/>
          </w:tcPr>
          <w:p>
            <w:pPr>
              <w:spacing w:after="40"/>
            </w:pPr>
            <w:r/>
            <w:r>
              <w:rPr>
                <w:rFonts w:ascii="Georgia" w:hAnsi="Georgia"/>
                <w:color w:val="1A1A1A"/>
                <w:sz w:val="18"/>
              </w:rPr>
              <w:t>ABBV</w:t>
            </w:r>
          </w:p>
        </w:tc>
        <w:tc>
          <w:tcPr>
            <w:tcW w:type="dxa" w:w="4896"/>
            <w:shd w:val="clear" w:color="auto" w:fill="F2F2F2"/>
          </w:tcPr>
          <w:p>
            <w:pPr>
              <w:spacing w:after="40"/>
            </w:pPr>
            <w:r/>
            <w:r>
              <w:rPr>
                <w:rFonts w:ascii="Georgia" w:hAnsi="Georgia"/>
                <w:color w:val="1A1A1A"/>
                <w:sz w:val="18"/>
              </w:rPr>
              <w:t>'5→19 approvals' narrative; AbCellera + Anima Biotech; the 4× expansion is Skyrizi/Rinvoq pre-AI immunology pipeline</w:t>
            </w:r>
          </w:p>
        </w:tc>
        <w:tc>
          <w:tcPr>
            <w:tcW w:type="dxa" w:w="1440"/>
            <w:shd w:val="clear" w:color="auto" w:fill="F2F2F2"/>
          </w:tcPr>
          <w:p>
            <w:pPr>
              <w:spacing w:after="40"/>
            </w:pPr>
            <w:r/>
            <w:r>
              <w:rPr>
                <w:rFonts w:ascii="Georgia" w:hAnsi="Georgia"/>
                <w:color w:val="1A1A1A"/>
                <w:sz w:val="18"/>
              </w:rPr>
              <w:t>NO</w:t>
            </w:r>
          </w:p>
        </w:tc>
        <w:tc>
          <w:tcPr>
            <w:tcW w:type="dxa" w:w="2160"/>
            <w:shd w:val="clear" w:color="auto" w:fill="F2F2F2"/>
          </w:tcPr>
          <w:p>
            <w:pPr>
              <w:spacing w:after="40"/>
            </w:pPr>
            <w:r/>
            <w:r>
              <w:rPr>
                <w:rFonts w:ascii="Georgia" w:hAnsi="Georgia"/>
                <w:color w:val="1A1A1A"/>
                <w:sz w:val="18"/>
              </w:rPr>
              <w:t>TALKING, NO PROOF</w:t>
            </w:r>
          </w:p>
        </w:tc>
      </w:tr>
      <w:tr>
        <w:tc>
          <w:tcPr>
            <w:tcW w:type="dxa" w:w="864"/>
          </w:tcPr>
          <w:p>
            <w:pPr>
              <w:spacing w:after="40"/>
            </w:pPr>
            <w:r/>
            <w:r>
              <w:rPr>
                <w:rFonts w:ascii="Georgia" w:hAnsi="Georgia"/>
                <w:color w:val="1A1A1A"/>
                <w:sz w:val="18"/>
              </w:rPr>
              <w:t>MRNA</w:t>
            </w:r>
          </w:p>
        </w:tc>
        <w:tc>
          <w:tcPr>
            <w:tcW w:type="dxa" w:w="4896"/>
          </w:tcPr>
          <w:p>
            <w:pPr>
              <w:spacing w:after="40"/>
            </w:pPr>
            <w:r/>
            <w:r>
              <w:rPr>
                <w:rFonts w:ascii="Georgia" w:hAnsi="Georgia"/>
                <w:color w:val="1A1A1A"/>
                <w:sz w:val="18"/>
              </w:rPr>
              <w:t>42-day sequence-to-clinical-batch (LIMITED; from Aily Labs vendor case study); OpenAI/IBM enterprise deals (opex-side)</w:t>
            </w:r>
          </w:p>
        </w:tc>
        <w:tc>
          <w:tcPr>
            <w:tcW w:type="dxa" w:w="1440"/>
          </w:tcPr>
          <w:p>
            <w:pPr>
              <w:spacing w:after="40"/>
            </w:pPr>
            <w:r/>
            <w:r>
              <w:rPr>
                <w:rFonts w:ascii="Georgia" w:hAnsi="Georgia"/>
                <w:color w:val="1A1A1A"/>
                <w:sz w:val="18"/>
              </w:rPr>
              <w:t>THIN</w:t>
            </w:r>
          </w:p>
        </w:tc>
        <w:tc>
          <w:tcPr>
            <w:tcW w:type="dxa" w:w="2160"/>
          </w:tcPr>
          <w:p>
            <w:pPr>
              <w:spacing w:after="40"/>
            </w:pPr>
            <w:r/>
            <w:r>
              <w:rPr>
                <w:rFonts w:ascii="Georgia" w:hAnsi="Georgia"/>
                <w:color w:val="1A1A1A"/>
                <w:sz w:val="18"/>
              </w:rPr>
              <w:t>STRUCTURAL FIT, THIN PROOF</w:t>
            </w:r>
          </w:p>
        </w:tc>
      </w:tr>
      <w:tr>
        <w:tc>
          <w:tcPr>
            <w:tcW w:type="dxa" w:w="864"/>
            <w:shd w:val="clear" w:color="auto" w:fill="F2F2F2"/>
          </w:tcPr>
          <w:p>
            <w:pPr>
              <w:spacing w:after="40"/>
            </w:pPr>
            <w:r/>
            <w:r>
              <w:rPr>
                <w:rFonts w:ascii="Georgia" w:hAnsi="Georgia"/>
                <w:color w:val="1A1A1A"/>
                <w:sz w:val="18"/>
              </w:rPr>
              <w:t>GILD</w:t>
            </w:r>
          </w:p>
        </w:tc>
        <w:tc>
          <w:tcPr>
            <w:tcW w:type="dxa" w:w="4896"/>
            <w:shd w:val="clear" w:color="auto" w:fill="F2F2F2"/>
          </w:tcPr>
          <w:p>
            <w:pPr>
              <w:spacing w:after="40"/>
            </w:pPr>
            <w:r/>
            <w:r>
              <w:rPr>
                <w:rFonts w:ascii="Georgia" w:hAnsi="Georgia"/>
                <w:color w:val="1A1A1A"/>
                <w:sz w:val="18"/>
              </w:rPr>
              <w:t>Genesis + Terray small partnerships; zero quantified AI productivity disclosure through Q1 2026</w:t>
            </w:r>
          </w:p>
        </w:tc>
        <w:tc>
          <w:tcPr>
            <w:tcW w:type="dxa" w:w="1440"/>
            <w:shd w:val="clear" w:color="auto" w:fill="F2F2F2"/>
          </w:tcPr>
          <w:p>
            <w:pPr>
              <w:spacing w:after="40"/>
            </w:pPr>
            <w:r/>
            <w:r>
              <w:rPr>
                <w:rFonts w:ascii="Georgia" w:hAnsi="Georgia"/>
                <w:color w:val="1A1A1A"/>
                <w:sz w:val="18"/>
              </w:rPr>
              <w:t>—</w:t>
            </w:r>
          </w:p>
        </w:tc>
        <w:tc>
          <w:tcPr>
            <w:tcW w:type="dxa" w:w="2160"/>
            <w:shd w:val="clear" w:color="auto" w:fill="F2F2F2"/>
          </w:tcPr>
          <w:p>
            <w:pPr>
              <w:spacing w:after="40"/>
            </w:pPr>
            <w:r/>
            <w:r>
              <w:rPr>
                <w:rFonts w:ascii="Georgia" w:hAnsi="Georgia"/>
                <w:color w:val="1A1A1A"/>
                <w:sz w:val="18"/>
              </w:rPr>
              <w:t>SILENT / CONTRARIAN</w:t>
            </w:r>
          </w:p>
        </w:tc>
      </w:tr>
    </w:tbl>
    <w:tbl>
      <w:tblPr>
        <w:tblW w:type="auto" w:w="0"/>
        <w:jc w:val="center"/>
        <w:tblLook w:firstColumn="1" w:firstRow="1" w:lastColumn="0" w:lastRow="0" w:noHBand="0" w:noVBand="1" w:val="04A0"/>
      </w:tblPr>
      <w:tblGrid>
        <w:gridCol w:w="4680"/>
        <w:gridCol w:w="4680"/>
      </w:tblGrid>
      <w:tr>
        <w:tc>
          <w:tcPr>
            <w:tcW w:type="dxa" w:w="4680"/>
            <w:shd w:val="clear" w:color="auto" w:fill="001E3C"/>
          </w:tcPr>
          <w:p>
            <w:pPr>
              <w:spacing w:after="40"/>
            </w:pPr>
            <w:r>
              <w:rPr>
                <w:rFonts w:ascii="Calibri" w:hAnsi="Calibri"/>
                <w:b/>
                <w:color w:val="FFFFFF"/>
                <w:sz w:val="20"/>
              </w:rPr>
              <w:t>Supportive evidence</w:t>
            </w:r>
          </w:p>
        </w:tc>
        <w:tc>
          <w:tcPr>
            <w:tcW w:type="dxa" w:w="4680"/>
            <w:shd w:val="clear" w:color="auto" w:fill="001E3C"/>
          </w:tcPr>
          <w:p>
            <w:pPr>
              <w:spacing w:after="40"/>
            </w:pPr>
            <w:r>
              <w:rPr>
                <w:rFonts w:ascii="Calibri" w:hAnsi="Calibri"/>
                <w:b/>
                <w:color w:val="FFFFFF"/>
                <w:sz w:val="20"/>
              </w:rPr>
              <w:t>Conscious of the counter-case</w:t>
            </w:r>
          </w:p>
        </w:tc>
      </w:tr>
      <w:tr>
        <w:tc>
          <w:tcPr>
            <w:tcW w:type="dxa" w:w="4680"/>
            <w:shd w:val="clear" w:color="auto" w:fill="F2F2F2"/>
          </w:tcPr>
          <w:p>
            <w:pPr>
              <w:spacing w:after="60"/>
            </w:pPr>
            <w:r/>
            <w:r>
              <w:rPr>
                <w:rFonts w:ascii="Georgia" w:hAnsi="Georgia"/>
                <w:color w:val="1A1A1A"/>
                <w:sz w:val="20"/>
              </w:rPr>
              <w:t>• PFE Q4 2024 $1.2B SG&amp;A figure remains the only Tier 1 quantified, AI-attributable disclosure of material size in the covered universe [SG-001].</w:t>
            </w:r>
          </w:p>
          <w:p>
            <w:pPr>
              <w:spacing w:after="60"/>
            </w:pPr>
            <w:r>
              <w:rPr>
                <w:rFonts w:ascii="Georgia" w:hAnsi="Georgia"/>
                <w:color w:val="1A1A1A"/>
                <w:sz w:val="20"/>
              </w:rPr>
              <w:t>• Merck CSR-drafting time reduced 180h→80h is filing-grade and corroborates the medical-affairs productivity claim [SG-005].</w:t>
            </w:r>
          </w:p>
          <w:p>
            <w:pPr>
              <w:spacing w:after="60"/>
            </w:pPr>
            <w:r>
              <w:rPr>
                <w:rFonts w:ascii="Georgia" w:hAnsi="Georgia"/>
                <w:color w:val="1A1A1A"/>
                <w:sz w:val="20"/>
              </w:rPr>
              <w:t>• Insilico Rentosertib economics ($2.6M to PCC; ~18 months) are externally validated by Nature Medicine and the Lilly $2.75B licensing transaction [RD-001, RD-015, RD-029].</w:t>
            </w:r>
          </w:p>
          <w:p>
            <w:pPr>
              <w:spacing w:after="60"/>
            </w:pPr>
            <w:r>
              <w:rPr>
                <w:rFonts w:ascii="Georgia" w:hAnsi="Georgia"/>
                <w:color w:val="1A1A1A"/>
                <w:sz w:val="20"/>
              </w:rPr>
              <w:t>• Recursion's Q1 2026 cash opex compression (-30% YoY) is the first material AI-native operating-cost compression on print [RD-003].</w:t>
            </w:r>
          </w:p>
        </w:tc>
        <w:tc>
          <w:tcPr>
            <w:tcW w:type="dxa" w:w="4680"/>
            <w:shd w:val="clear" w:color="auto" w:fill="F2F2F2"/>
          </w:tcPr>
          <w:p>
            <w:pPr>
              <w:spacing w:after="60"/>
            </w:pPr>
            <w:r/>
            <w:r>
              <w:rPr>
                <w:rFonts w:ascii="Georgia" w:hAnsi="Georgia"/>
                <w:color w:val="1A1A1A"/>
                <w:sz w:val="20"/>
              </w:rPr>
              <w:t>• Five of eight covered names have no filing-grade AI productivity disclosure; the narrative is concentrated in three names [coverage case study table].</w:t>
            </w:r>
          </w:p>
          <w:p>
            <w:pPr>
              <w:spacing w:after="60"/>
            </w:pPr>
            <w:r>
              <w:rPr>
                <w:rFonts w:ascii="Georgia" w:hAnsi="Georgia"/>
                <w:color w:val="1A1A1A"/>
                <w:sz w:val="20"/>
              </w:rPr>
              <w:t>• AbbVie's 5→19 portfolio expansion is Skyrizi/Rinvoq immunology — built largely pre-AI [RD-007, DISCONFIRMING-adjacent].</w:t>
            </w:r>
          </w:p>
          <w:p>
            <w:pPr>
              <w:spacing w:after="60"/>
            </w:pPr>
            <w:r>
              <w:rPr>
                <w:rFonts w:ascii="Georgia" w:hAnsi="Georgia"/>
                <w:color w:val="1A1A1A"/>
                <w:sz w:val="20"/>
              </w:rPr>
              <w:t>• Pfizer's $1.2B figure has not yet been broken out as a standalone AI line in the FY24 10-K — fade risk if not repeated in FY25.</w:t>
            </w:r>
          </w:p>
          <w:p>
            <w:pPr>
              <w:spacing w:after="60"/>
            </w:pPr>
            <w:r>
              <w:rPr>
                <w:rFonts w:ascii="Georgia" w:hAnsi="Georgia"/>
                <w:color w:val="1A1A1A"/>
                <w:sz w:val="20"/>
              </w:rPr>
              <w:t>• BMY × Exscientia 2019 collaboration has had no major public update since 2022; the fade pattern is consistent across multiple covered-name AI partnerships.</w:t>
            </w:r>
          </w:p>
        </w:tc>
      </w:tr>
    </w:tbl>
    <w:p>
      <w:pPr>
        <w:jc w:val="center"/>
      </w:pPr>
      <w:r>
        <w:rPr>
          <w:rFonts w:ascii="Calibri" w:hAnsi="Calibri"/>
          <w:b/>
          <w:color w:val="001E3C"/>
          <w:sz w:val="20"/>
        </w:rPr>
        <w:t>[CHART 1]  AI mentions in earnings calls vs. filing-grade disclosures, 2020–2026</w:t>
      </w:r>
    </w:p>
    <w:tbl>
      <w:tblPr>
        <w:tblW w:type="auto" w:w="0"/>
        <w:jc w:val="center"/>
        <w:tblLook w:firstColumn="1" w:firstRow="1" w:lastColumn="0" w:lastRow="0" w:noHBand="0" w:noVBand="1" w:val="04A0"/>
      </w:tblPr>
      <w:tblGrid>
        <w:gridCol w:w="9360"/>
      </w:tblGrid>
      <w:tr>
        <w:tc>
          <w:tcPr>
            <w:tcW w:type="dxa" w:w="9360"/>
            <w:shd w:val="clear" w:color="auto" w:fill="F2F2F2"/>
          </w:tcPr>
          <w:p>
            <w:r/>
            <w:r>
              <w:rPr>
                <w:rFonts w:ascii="Georgia" w:hAnsi="Georgia"/>
                <w:i/>
                <w:sz w:val="18"/>
              </w:rPr>
              <w:t>Chart spec — data sourced from matrix; production build to follow.</w:t>
            </w:r>
          </w:p>
          <w:p>
            <w:r>
              <w:rPr>
                <w:rFonts w:ascii="Calibri" w:hAnsi="Calibri"/>
                <w:b/>
                <w:color w:val="001E3C"/>
                <w:sz w:val="18"/>
              </w:rPr>
              <w:t xml:space="preserve">X-axis: </w:t>
            </w:r>
            <w:r>
              <w:rPr>
                <w:rFonts w:ascii="Georgia" w:hAnsi="Georgia"/>
                <w:color w:val="1A1A1A"/>
                <w:sz w:val="18"/>
              </w:rPr>
              <w:t>Calendar quarter, 2020 Q1 — 2026 Q1</w:t>
            </w:r>
          </w:p>
          <w:p>
            <w:r>
              <w:rPr>
                <w:rFonts w:ascii="Calibri" w:hAnsi="Calibri"/>
                <w:b/>
                <w:color w:val="001E3C"/>
                <w:sz w:val="18"/>
              </w:rPr>
              <w:t xml:space="preserve">Y-axis: </w:t>
            </w:r>
            <w:r>
              <w:rPr>
                <w:rFonts w:ascii="Georgia" w:hAnsi="Georgia"/>
                <w:color w:val="1A1A1A"/>
                <w:sz w:val="18"/>
              </w:rPr>
              <w:t>Count of distinct AI-related disclosures, by source type</w:t>
            </w:r>
          </w:p>
          <w:p>
            <w:r>
              <w:rPr>
                <w:rFonts w:ascii="Calibri" w:hAnsi="Calibri"/>
                <w:b/>
                <w:color w:val="001E3C"/>
                <w:sz w:val="18"/>
              </w:rPr>
              <w:t xml:space="preserve">Series: </w:t>
            </w:r>
            <w:r>
              <w:rPr>
                <w:rFonts w:ascii="Georgia" w:hAnsi="Georgia"/>
                <w:color w:val="1A1A1A"/>
                <w:sz w:val="18"/>
              </w:rPr>
              <w:t>Two series: navy bars = earnings-call mentions; Bernstein red line = filing-grade disclosures (10-K/Q/8-K/S-1/DEF 14A/20-F)</w:t>
            </w:r>
          </w:p>
          <w:p>
            <w:r>
              <w:rPr>
                <w:rFonts w:ascii="Calibri" w:hAnsi="Calibri"/>
                <w:b/>
                <w:color w:val="001E3C"/>
                <w:sz w:val="18"/>
              </w:rPr>
              <w:t xml:space="preserve">Source rows: </w:t>
            </w:r>
            <w:r>
              <w:rPr>
                <w:rFonts w:ascii="Georgia" w:hAnsi="Georgia"/>
                <w:color w:val="1A1A1A"/>
                <w:sz w:val="18"/>
              </w:rPr>
              <w:t>Q1 matrix rows GM-001 through GM-010, SG-001 through SG-009, RD-001 through RD-036</w:t>
            </w:r>
          </w:p>
          <w:p>
            <w:r>
              <w:rPr>
                <w:rFonts w:ascii="Calibri" w:hAnsi="Calibri"/>
                <w:b/>
                <w:color w:val="001E3C"/>
                <w:sz w:val="18"/>
              </w:rPr>
              <w:t xml:space="preserve">Methodology: </w:t>
            </w:r>
            <w:r>
              <w:rPr>
                <w:rFonts w:ascii="Georgia" w:hAnsi="Georgia"/>
                <w:color w:val="1A1A1A"/>
                <w:sz w:val="18"/>
              </w:rPr>
              <w:t>Filing-grade defined as appearing in a numbered SEC document; earnings-call mention defined as any AI/automation reference in CFO or CEO prepared remarks.</w:t>
            </w:r>
          </w:p>
        </w:tc>
      </w:tr>
    </w:tbl>
    <w:p>
      <w:r>
        <w:rPr>
          <w:rFonts w:ascii="Georgia" w:hAnsi="Georgia"/>
          <w:i/>
          <w:color w:val="6C757D"/>
          <w:sz w:val="16"/>
        </w:rPr>
        <w:t>As of 2026-05-11. Methodology: rows tagged by source_type field. Source: 01_Matrix_Master.xlsx Q1 rows; Bernstein analysis.</w:t>
      </w:r>
    </w:p>
    <w:p>
      <w:r>
        <w:br w:type="page"/>
      </w:r>
    </w:p>
    <w:p>
      <w:pPr>
        <w:keepNext/>
        <w:spacing w:before="360" w:after="200"/>
      </w:pPr>
      <w:r>
        <w:rPr>
          <w:rFonts w:ascii="Calibri" w:hAnsi="Calibri"/>
          <w:b/>
          <w:color w:val="001E3C"/>
          <w:sz w:val="28"/>
        </w:rPr>
        <w:t>AI Compresses Timelines But Has Not Demonstrably Improved Clinical-Stage PoS</w:t>
      </w:r>
    </w:p>
    <w:p>
      <w:pPr>
        <w:spacing w:after="200"/>
      </w:pPr>
      <w:r>
        <w:rPr>
          <w:rFonts w:ascii="Georgia" w:hAnsi="Georgia"/>
          <w:i/>
          <w:color w:val="6C757D"/>
          <w:sz w:val="22"/>
        </w:rPr>
        <w:t>82 AI-discovered molecules. One Phase 3 winner. ~52% attrition. The cohort hits known biology.</w:t>
      </w:r>
    </w:p>
    <w:p>
      <w:pPr>
        <w:spacing w:after="120" w:before="0" w:line="276" w:lineRule="auto"/>
      </w:pPr>
      <w:r>
        <w:rPr>
          <w:rFonts w:ascii="Georgia" w:hAnsi="Georgia"/>
          <w:b w:val="0"/>
          <w:i w:val="0"/>
          <w:sz w:val="20"/>
        </w:rPr>
        <w:t>Our backbone empirical base for the Q2 analysis is the AI Pipeline Tracker — 82 AI-discovered molecules drawn from Jayatunga et al., Drug Discovery Today (2024, PMID 38692505), with Bernstein extensions through May 2026. We disclose explicitly that the Jayatunga paper is peer-reviewed but authored by Boston Consulting Group employees who disclose their affiliation; we cite the cohort but treat its analytical conclusions as one input among several, and every Q2 row in our matrix tracing to the Jayatunga cohort definition is flagged in the working file with is_consulting_or_advocacy_source = TRUE.</w:t>
      </w:r>
    </w:p>
    <w:p>
      <w:pPr>
        <w:keepNext/>
        <w:spacing w:before="280" w:after="120"/>
      </w:pPr>
      <w:r>
        <w:rPr>
          <w:rFonts w:ascii="Calibri" w:hAnsi="Calibri"/>
          <w:b/>
          <w:color w:val="001E3C"/>
          <w:sz w:val="24"/>
        </w:rPr>
        <w:t>The aggregate finding</w:t>
      </w:r>
    </w:p>
    <w:p>
      <w:pPr>
        <w:spacing w:after="120" w:before="0" w:line="276" w:lineRule="auto"/>
      </w:pPr>
      <w:r>
        <w:rPr>
          <w:rFonts w:ascii="Georgia" w:hAnsi="Georgia"/>
          <w:b w:val="0"/>
          <w:i w:val="0"/>
          <w:sz w:val="20"/>
        </w:rPr>
        <w:t>Of 82 AI-discovered molecules in the cohort: 8 are 'clear winners' (~10%), 5 are successful through completed phases (~6%), 7 are positive but early (~9%), 41 are ongoing without final readout (~50%), 7 are too early to judge (~9%), and 14 are failed or terminated (~17%). Among the 27 programs with completed phases, attrition is ~52% — in line with historical pharma attrition baselines (Fernald et al. 2024) [PoS-AGG-001, PoS-AGG-002]. Zasocitinib (Nimbus/Takeda) is the only AI-assisted program to clear a Phase 3 primary endpoint readout as of May 2026 — NCT06108544 completed December 2024, sponsor Takeda [PoS-V01, PoS-AGG-003]. On the published baseline (Wong/Hay et al.), the industry P1→approval rate is ~9.6% overall and ~5.1% in oncology [B-001, B-002]. One in 82 is 1.2%. We do not view this comparison as supportive of an AI-cohort PoS premium.</w:t>
      </w:r>
    </w:p>
    <w:p>
      <w:pPr>
        <w:spacing w:before="120" w:after="40"/>
        <w:jc w:val="center"/>
      </w:pPr>
      <w:r>
        <w:rPr>
          <w:rFonts w:ascii="Calibri" w:hAnsi="Calibri"/>
          <w:b/>
          <w:color w:val="C8102E"/>
          <w:sz w:val="48"/>
        </w:rPr>
        <w:t>1 of 82</w:t>
      </w:r>
    </w:p>
    <w:p>
      <w:pPr>
        <w:spacing w:after="200"/>
        <w:jc w:val="center"/>
      </w:pPr>
      <w:r>
        <w:rPr>
          <w:rFonts w:ascii="Georgia" w:hAnsi="Georgia"/>
          <w:i/>
          <w:color w:val="6C757D"/>
          <w:sz w:val="18"/>
        </w:rPr>
        <w:t>AI-discovered molecules to have cleared a Phase 3 primary endpoint readout as of 2026-05-11 (Zasocitinib, Nimbus/Takeda).</w:t>
      </w:r>
    </w:p>
    <w:p>
      <w:pPr>
        <w:keepNext/>
        <w:spacing w:before="280" w:after="120"/>
      </w:pPr>
      <w:r>
        <w:rPr>
          <w:rFonts w:ascii="Calibri" w:hAnsi="Calibri"/>
          <w:b/>
          <w:color w:val="001E3C"/>
          <w:sz w:val="24"/>
        </w:rPr>
        <w:t>Target novelty — AI hits known biology</w:t>
      </w:r>
    </w:p>
    <w:p>
      <w:pPr>
        <w:spacing w:after="120" w:before="0" w:line="276" w:lineRule="auto"/>
      </w:pPr>
      <w:r>
        <w:rPr>
          <w:rFonts w:ascii="Georgia" w:hAnsi="Georgia"/>
          <w:b w:val="0"/>
          <w:i w:val="0"/>
          <w:sz w:val="20"/>
        </w:rPr>
        <w:t>Of the 24 AI-discovered assets that completed Phase I per the Jayatunga Supplementary S3 analysis, only 3 (12.5%) hit targets that were not previously the subject of clinical investigation by another sponsor. Two of those 3 hit the same target (LanC like 2; Omilancor and NIM-1324). The other 21 are well-precedented targets — TYK2, FGFR2, EGFR, 5-HT1A, A2A, MEK, COMT, and so on [TN-001 through TN-024]. We read this as evidence that AI's measurable benefit so far is concentrated in the speed and chemistry of target-engagement work, not in the discovery of new biology.</w:t>
      </w:r>
    </w:p>
    <w:p>
      <w:pPr>
        <w:keepNext/>
        <w:spacing w:before="280" w:after="120"/>
      </w:pPr>
      <w:r>
        <w:rPr>
          <w:rFonts w:ascii="Calibri" w:hAnsi="Calibri"/>
          <w:b/>
          <w:color w:val="001E3C"/>
          <w:sz w:val="24"/>
        </w:rPr>
        <w:t>Recent disconfirming developments</w:t>
      </w:r>
    </w:p>
    <w:p>
      <w:pPr>
        <w:spacing w:after="120" w:before="0" w:line="276" w:lineRule="auto"/>
      </w:pPr>
      <w:r>
        <w:rPr>
          <w:rFonts w:ascii="Georgia" w:hAnsi="Georgia"/>
          <w:b w:val="0"/>
          <w:i w:val="0"/>
          <w:sz w:val="20"/>
        </w:rPr>
        <w:t>Four pipeline status updates have arrived since the April 2026 tracker cutoff that materially worsen the AI cohort's disconfirming picture. VRG-50635 (Verge Genomics, PIKfyve, ALS) Phase 1b was terminated July 7, 2025 (NCT06215755) — previously categorized as 'positive but early' [PoS-V08]. REC-3964 (Recursion) Phase 2 failed; previously listed as 'successful Phase 1' [PoS-V07]. SGR-2921 (Schrödinger, CDC7) was terminated after two patient deaths despite the FEP+ AI-design provenance [PoS-V04]. BEN-2293 (BenevolentAI, pan-TRK, atopic dermatitis) Phase 2 failed; the program is removed [PoS-V14]. These four data points add weight to the 'AI compresses timelines but does not lift clinical PoS' framing.</w:t>
      </w:r>
    </w:p>
    <w:p>
      <w:pPr>
        <w:jc w:val="center"/>
      </w:pPr>
      <w:r>
        <w:rPr>
          <w:rFonts w:ascii="Calibri" w:hAnsi="Calibri"/>
          <w:b/>
          <w:color w:val="001E3C"/>
          <w:sz w:val="20"/>
        </w:rPr>
        <w:t>[CHART 2]  AI Pipeline Outcome Distribution</w:t>
      </w:r>
    </w:p>
    <w:tbl>
      <w:tblPr>
        <w:tblW w:type="auto" w:w="0"/>
        <w:jc w:val="center"/>
        <w:tblLook w:firstColumn="1" w:firstRow="1" w:lastColumn="0" w:lastRow="0" w:noHBand="0" w:noVBand="1" w:val="04A0"/>
      </w:tblPr>
      <w:tblGrid>
        <w:gridCol w:w="9360"/>
      </w:tblGrid>
      <w:tr>
        <w:tc>
          <w:tcPr>
            <w:tcW w:type="dxa" w:w="9360"/>
            <w:shd w:val="clear" w:color="auto" w:fill="F2F2F2"/>
          </w:tcPr>
          <w:p>
            <w:r/>
            <w:r>
              <w:rPr>
                <w:rFonts w:ascii="Georgia" w:hAnsi="Georgia"/>
                <w:i/>
                <w:sz w:val="18"/>
              </w:rPr>
              <w:t>Chart spec — data sourced from matrix; production build to follow.</w:t>
            </w:r>
          </w:p>
          <w:p>
            <w:r>
              <w:rPr>
                <w:rFonts w:ascii="Calibri" w:hAnsi="Calibri"/>
                <w:b/>
                <w:color w:val="001E3C"/>
                <w:sz w:val="18"/>
              </w:rPr>
              <w:t xml:space="preserve">X-axis: </w:t>
            </w:r>
            <w:r>
              <w:rPr>
                <w:rFonts w:ascii="Georgia" w:hAnsi="Georgia"/>
                <w:color w:val="1A1A1A"/>
                <w:sz w:val="18"/>
              </w:rPr>
              <w:t>Categorical: Clear winner / Successful (completed phase) / Positive but early / Ongoing / Too early / Failed</w:t>
            </w:r>
          </w:p>
          <w:p>
            <w:r>
              <w:rPr>
                <w:rFonts w:ascii="Calibri" w:hAnsi="Calibri"/>
                <w:b/>
                <w:color w:val="001E3C"/>
                <w:sz w:val="18"/>
              </w:rPr>
              <w:t xml:space="preserve">Y-axis: </w:t>
            </w:r>
            <w:r>
              <w:rPr>
                <w:rFonts w:ascii="Georgia" w:hAnsi="Georgia"/>
                <w:color w:val="1A1A1A"/>
                <w:sz w:val="18"/>
              </w:rPr>
              <w:t>Count of molecules (n=82 total)</w:t>
            </w:r>
          </w:p>
          <w:p>
            <w:r>
              <w:rPr>
                <w:rFonts w:ascii="Calibri" w:hAnsi="Calibri"/>
                <w:b/>
                <w:color w:val="001E3C"/>
                <w:sz w:val="18"/>
              </w:rPr>
              <w:t xml:space="preserve">Series: </w:t>
            </w:r>
            <w:r>
              <w:rPr>
                <w:rFonts w:ascii="Georgia" w:hAnsi="Georgia"/>
                <w:color w:val="1A1A1A"/>
                <w:sz w:val="18"/>
              </w:rPr>
              <w:t>Single-series stacked bar or donut, Bernstein navy with Bernstein red highlight on Failed/Terminated slice (n=14)</w:t>
            </w:r>
          </w:p>
          <w:p>
            <w:r>
              <w:rPr>
                <w:rFonts w:ascii="Calibri" w:hAnsi="Calibri"/>
                <w:b/>
                <w:color w:val="001E3C"/>
                <w:sz w:val="18"/>
              </w:rPr>
              <w:t xml:space="preserve">Source rows: </w:t>
            </w:r>
            <w:r>
              <w:rPr>
                <w:rFonts w:ascii="Georgia" w:hAnsi="Georgia"/>
                <w:color w:val="1A1A1A"/>
                <w:sz w:val="18"/>
              </w:rPr>
              <w:t>Q2 matrix rows PoS-001 through PoS-082; PoS-AGG-001 through PoS-AGG-003</w:t>
            </w:r>
          </w:p>
          <w:p>
            <w:r>
              <w:rPr>
                <w:rFonts w:ascii="Calibri" w:hAnsi="Calibri"/>
                <w:b/>
                <w:color w:val="001E3C"/>
                <w:sz w:val="18"/>
              </w:rPr>
              <w:t xml:space="preserve">Methodology: </w:t>
            </w:r>
            <w:r>
              <w:rPr>
                <w:rFonts w:ascii="Georgia" w:hAnsi="Georgia"/>
                <w:color w:val="1A1A1A"/>
                <w:sz w:val="18"/>
              </w:rPr>
              <w:t>Cohort defined per Jayatunga et al. (Drug Discovery Today 2024, PMID 38692505) with Bernstein extensions through May 2026.</w:t>
            </w:r>
          </w:p>
        </w:tc>
      </w:tr>
    </w:tbl>
    <w:p>
      <w:r>
        <w:rPr>
          <w:rFonts w:ascii="Georgia" w:hAnsi="Georgia"/>
          <w:i/>
          <w:color w:val="6C757D"/>
          <w:sz w:val="16"/>
        </w:rPr>
        <w:t>As of 2026-05-11. Source: AI Pipeline Tracker (Jayatunga 2024 + Bernstein extensions); Bernstein analysis.</w:t>
      </w:r>
    </w:p>
    <w:p>
      <w:pPr>
        <w:jc w:val="center"/>
      </w:pPr>
      <w:r>
        <w:rPr>
          <w:rFonts w:ascii="Calibri" w:hAnsi="Calibri"/>
          <w:b/>
          <w:color w:val="001E3C"/>
          <w:sz w:val="20"/>
        </w:rPr>
        <w:t>[CHART 3]  Target Novelty Rate — Phase I Completed AI Assets</w:t>
      </w:r>
    </w:p>
    <w:tbl>
      <w:tblPr>
        <w:tblW w:type="auto" w:w="0"/>
        <w:jc w:val="center"/>
        <w:tblLook w:firstColumn="1" w:firstRow="1" w:lastColumn="0" w:lastRow="0" w:noHBand="0" w:noVBand="1" w:val="04A0"/>
      </w:tblPr>
      <w:tblGrid>
        <w:gridCol w:w="9360"/>
      </w:tblGrid>
      <w:tr>
        <w:tc>
          <w:tcPr>
            <w:tcW w:type="dxa" w:w="9360"/>
            <w:shd w:val="clear" w:color="auto" w:fill="F2F2F2"/>
          </w:tcPr>
          <w:p>
            <w:r/>
            <w:r>
              <w:rPr>
                <w:rFonts w:ascii="Georgia" w:hAnsi="Georgia"/>
                <w:i/>
                <w:sz w:val="18"/>
              </w:rPr>
              <w:t>Chart spec — data sourced from matrix; production build to follow.</w:t>
            </w:r>
          </w:p>
          <w:p>
            <w:r>
              <w:rPr>
                <w:rFonts w:ascii="Calibri" w:hAnsi="Calibri"/>
                <w:b/>
                <w:color w:val="001E3C"/>
                <w:sz w:val="18"/>
              </w:rPr>
              <w:t xml:space="preserve">X-axis: </w:t>
            </w:r>
            <w:r>
              <w:rPr>
                <w:rFonts w:ascii="Georgia" w:hAnsi="Georgia"/>
                <w:color w:val="1A1A1A"/>
                <w:sz w:val="18"/>
              </w:rPr>
              <w:t>Categorical: Novel target / Non-novel / Unspecified</w:t>
            </w:r>
          </w:p>
          <w:p>
            <w:r>
              <w:rPr>
                <w:rFonts w:ascii="Calibri" w:hAnsi="Calibri"/>
                <w:b/>
                <w:color w:val="001E3C"/>
                <w:sz w:val="18"/>
              </w:rPr>
              <w:t xml:space="preserve">Y-axis: </w:t>
            </w:r>
            <w:r>
              <w:rPr>
                <w:rFonts w:ascii="Georgia" w:hAnsi="Georgia"/>
                <w:color w:val="1A1A1A"/>
                <w:sz w:val="18"/>
              </w:rPr>
              <w:t>Count of assets (n=24)</w:t>
            </w:r>
          </w:p>
          <w:p>
            <w:r>
              <w:rPr>
                <w:rFonts w:ascii="Calibri" w:hAnsi="Calibri"/>
                <w:b/>
                <w:color w:val="001E3C"/>
                <w:sz w:val="18"/>
              </w:rPr>
              <w:t xml:space="preserve">Series: </w:t>
            </w:r>
            <w:r>
              <w:rPr>
                <w:rFonts w:ascii="Georgia" w:hAnsi="Georgia"/>
                <w:color w:val="1A1A1A"/>
                <w:sz w:val="18"/>
              </w:rPr>
              <w:t>Single-series horizontal bar, navy with Bernstein red on Novel slice (n=3 of 24)</w:t>
            </w:r>
          </w:p>
          <w:p>
            <w:r>
              <w:rPr>
                <w:rFonts w:ascii="Calibri" w:hAnsi="Calibri"/>
                <w:b/>
                <w:color w:val="001E3C"/>
                <w:sz w:val="18"/>
              </w:rPr>
              <w:t xml:space="preserve">Source rows: </w:t>
            </w:r>
            <w:r>
              <w:rPr>
                <w:rFonts w:ascii="Georgia" w:hAnsi="Georgia"/>
                <w:color w:val="1A1A1A"/>
                <w:sz w:val="18"/>
              </w:rPr>
              <w:t>TN-001 (punchline) through TN-024 (per-asset novelty); Jayatunga Supplementary S3</w:t>
            </w:r>
          </w:p>
          <w:p>
            <w:r>
              <w:rPr>
                <w:rFonts w:ascii="Calibri" w:hAnsi="Calibri"/>
                <w:b/>
                <w:color w:val="001E3C"/>
                <w:sz w:val="18"/>
              </w:rPr>
              <w:t xml:space="preserve">Methodology: </w:t>
            </w:r>
            <w:r>
              <w:rPr>
                <w:rFonts w:ascii="Georgia" w:hAnsi="Georgia"/>
                <w:color w:val="1A1A1A"/>
                <w:sz w:val="18"/>
              </w:rPr>
              <w:t>Novel target = no prior clinical investigation by another sponsor on the same protein/molecule. Source: Jayatunga 2024 Supplementary S3.</w:t>
            </w:r>
          </w:p>
        </w:tc>
      </w:tr>
    </w:tbl>
    <w:p>
      <w:r>
        <w:rPr>
          <w:rFonts w:ascii="Georgia" w:hAnsi="Georgia"/>
          <w:i/>
          <w:color w:val="6C757D"/>
          <w:sz w:val="16"/>
        </w:rPr>
        <w:t>As of 2026-05-11. Methodology: Jayatunga S3 novelty classification, verified against ClinicalTrials.gov sponsor search. Source: AI Pipeline Tracker; Bernstein analysis.</w:t>
      </w:r>
    </w:p>
    <w:p>
      <w:pPr>
        <w:jc w:val="center"/>
      </w:pPr>
      <w:r>
        <w:rPr>
          <w:rFonts w:ascii="Calibri" w:hAnsi="Calibri"/>
          <w:b/>
          <w:color w:val="001E3C"/>
          <w:sz w:val="20"/>
        </w:rPr>
        <w:t>[CHART 4]  Phase-by-phase PoS, AI cohort vs. BIO/Informa baseline, by TA</w:t>
      </w:r>
    </w:p>
    <w:tbl>
      <w:tblPr>
        <w:tblW w:type="auto" w:w="0"/>
        <w:jc w:val="center"/>
        <w:tblLook w:firstColumn="1" w:firstRow="1" w:lastColumn="0" w:lastRow="0" w:noHBand="0" w:noVBand="1" w:val="04A0"/>
      </w:tblPr>
      <w:tblGrid>
        <w:gridCol w:w="9360"/>
      </w:tblGrid>
      <w:tr>
        <w:tc>
          <w:tcPr>
            <w:tcW w:type="dxa" w:w="9360"/>
            <w:shd w:val="clear" w:color="auto" w:fill="F2F2F2"/>
          </w:tcPr>
          <w:p>
            <w:r/>
            <w:r>
              <w:rPr>
                <w:rFonts w:ascii="Georgia" w:hAnsi="Georgia"/>
                <w:i/>
                <w:sz w:val="18"/>
              </w:rPr>
              <w:t>Chart spec — data sourced from matrix; production build to follow.</w:t>
            </w:r>
          </w:p>
          <w:p>
            <w:r>
              <w:rPr>
                <w:rFonts w:ascii="Calibri" w:hAnsi="Calibri"/>
                <w:b/>
                <w:color w:val="001E3C"/>
                <w:sz w:val="18"/>
              </w:rPr>
              <w:t xml:space="preserve">X-axis: </w:t>
            </w:r>
            <w:r>
              <w:rPr>
                <w:rFonts w:ascii="Georgia" w:hAnsi="Georgia"/>
                <w:color w:val="1A1A1A"/>
                <w:sz w:val="18"/>
              </w:rPr>
              <w:t>Therapeutic area: Oncology / Immunology / Neuro-CNS / Rare disease</w:t>
            </w:r>
          </w:p>
          <w:p>
            <w:r>
              <w:rPr>
                <w:rFonts w:ascii="Calibri" w:hAnsi="Calibri"/>
                <w:b/>
                <w:color w:val="001E3C"/>
                <w:sz w:val="18"/>
              </w:rPr>
              <w:t xml:space="preserve">Y-axis: </w:t>
            </w:r>
            <w:r>
              <w:rPr>
                <w:rFonts w:ascii="Georgia" w:hAnsi="Georgia"/>
                <w:color w:val="1A1A1A"/>
                <w:sz w:val="18"/>
              </w:rPr>
              <w:t>PoS percentage (P1→P2; P2→P3; P3→Approval)</w:t>
            </w:r>
          </w:p>
          <w:p>
            <w:r>
              <w:rPr>
                <w:rFonts w:ascii="Calibri" w:hAnsi="Calibri"/>
                <w:b/>
                <w:color w:val="001E3C"/>
                <w:sz w:val="18"/>
              </w:rPr>
              <w:t xml:space="preserve">Series: </w:t>
            </w:r>
            <w:r>
              <w:rPr>
                <w:rFonts w:ascii="Georgia" w:hAnsi="Georgia"/>
                <w:color w:val="1A1A1A"/>
                <w:sz w:val="18"/>
              </w:rPr>
              <w:t>Two-series clustered bar — navy = baseline; Bernstein red = AI cohort. Hashed/faded bars on cells where AI-cohort n&lt;5 with 'insufficient n' callout.</w:t>
            </w:r>
          </w:p>
          <w:p>
            <w:r>
              <w:rPr>
                <w:rFonts w:ascii="Calibri" w:hAnsi="Calibri"/>
                <w:b/>
                <w:color w:val="001E3C"/>
                <w:sz w:val="18"/>
              </w:rPr>
              <w:t xml:space="preserve">Source rows: </w:t>
            </w:r>
            <w:r>
              <w:rPr>
                <w:rFonts w:ascii="Georgia" w:hAnsi="Georgia"/>
                <w:color w:val="1A1A1A"/>
                <w:sz w:val="18"/>
              </w:rPr>
              <w:t>Q2 matrix rows PoS-AGG-TA-ONCO-21, PoS-AGG-TA-IMMU-06, PoS-AGG-TA-NEUR-03, PoS-AGG-TA-RARE-02; B-001 through B-006 baseline anchors</w:t>
            </w:r>
          </w:p>
          <w:p>
            <w:r>
              <w:rPr>
                <w:rFonts w:ascii="Calibri" w:hAnsi="Calibri"/>
                <w:b/>
                <w:color w:val="001E3C"/>
                <w:sz w:val="18"/>
              </w:rPr>
              <w:t xml:space="preserve">Methodology: </w:t>
            </w:r>
            <w:r>
              <w:rPr>
                <w:rFonts w:ascii="Georgia" w:hAnsi="Georgia"/>
                <w:color w:val="1A1A1A"/>
                <w:sz w:val="18"/>
              </w:rPr>
              <w:t>Honest small-n treatment: 7 of 12 cells render as 'INSUFFICIENT EVIDENCE'.</w:t>
            </w:r>
          </w:p>
        </w:tc>
      </w:tr>
    </w:tbl>
    <w:p>
      <w:r>
        <w:rPr>
          <w:rFonts w:ascii="Georgia" w:hAnsi="Georgia"/>
          <w:i/>
          <w:color w:val="6C757D"/>
          <w:sz w:val="16"/>
        </w:rPr>
        <w:t>As of 2026-05-11. Baseline source: BIO/Informa Clinical Development Success Rates report; Wong/Hay et al. PoS dataset. Source: AI Pipeline Tracker; Bernstein analysis.</w:t>
      </w:r>
    </w:p>
    <w:tbl>
      <w:tblPr>
        <w:tblW w:type="auto" w:w="0"/>
        <w:jc w:val="center"/>
        <w:tblLook w:firstColumn="1" w:firstRow="1" w:lastColumn="0" w:lastRow="0" w:noHBand="0" w:noVBand="1" w:val="04A0"/>
      </w:tblPr>
      <w:tblGrid>
        <w:gridCol w:w="4680"/>
        <w:gridCol w:w="4680"/>
      </w:tblGrid>
      <w:tr>
        <w:tc>
          <w:tcPr>
            <w:tcW w:type="dxa" w:w="4680"/>
            <w:shd w:val="clear" w:color="auto" w:fill="001E3C"/>
          </w:tcPr>
          <w:p>
            <w:pPr>
              <w:spacing w:after="40"/>
            </w:pPr>
            <w:r>
              <w:rPr>
                <w:rFonts w:ascii="Calibri" w:hAnsi="Calibri"/>
                <w:b/>
                <w:color w:val="FFFFFF"/>
                <w:sz w:val="20"/>
              </w:rPr>
              <w:t>Supportive evidence</w:t>
            </w:r>
          </w:p>
        </w:tc>
        <w:tc>
          <w:tcPr>
            <w:tcW w:type="dxa" w:w="4680"/>
            <w:shd w:val="clear" w:color="auto" w:fill="001E3C"/>
          </w:tcPr>
          <w:p>
            <w:pPr>
              <w:spacing w:after="40"/>
            </w:pPr>
            <w:r>
              <w:rPr>
                <w:rFonts w:ascii="Calibri" w:hAnsi="Calibri"/>
                <w:b/>
                <w:color w:val="FFFFFF"/>
                <w:sz w:val="20"/>
              </w:rPr>
              <w:t>Conscious of the counter-case</w:t>
            </w:r>
          </w:p>
        </w:tc>
      </w:tr>
      <w:tr>
        <w:tc>
          <w:tcPr>
            <w:tcW w:type="dxa" w:w="4680"/>
            <w:shd w:val="clear" w:color="auto" w:fill="F2F2F2"/>
          </w:tcPr>
          <w:p>
            <w:pPr>
              <w:spacing w:after="60"/>
            </w:pPr>
            <w:r/>
            <w:r>
              <w:rPr>
                <w:rFonts w:ascii="Georgia" w:hAnsi="Georgia"/>
                <w:color w:val="1A1A1A"/>
                <w:sz w:val="20"/>
              </w:rPr>
              <w:t>• Insilico's Rentosertib went from target hypothesis to Phase 1 dosing in ~18 months at ~$2.6M — sharply below industry baseline [RD-001, T-001].</w:t>
            </w:r>
          </w:p>
          <w:p>
            <w:pPr>
              <w:spacing w:after="60"/>
            </w:pPr>
            <w:r>
              <w:rPr>
                <w:rFonts w:ascii="Georgia" w:hAnsi="Georgia"/>
                <w:color w:val="1A1A1A"/>
                <w:sz w:val="20"/>
              </w:rPr>
              <w:t>• Zasocitinib cleared Phase 3 primary endpoint (December 2024), the only AI-assisted molecule to do so [PoS-V01].</w:t>
            </w:r>
          </w:p>
          <w:p>
            <w:pPr>
              <w:spacing w:after="60"/>
            </w:pPr>
            <w:r>
              <w:rPr>
                <w:rFonts w:ascii="Georgia" w:hAnsi="Georgia"/>
                <w:color w:val="1A1A1A"/>
                <w:sz w:val="20"/>
              </w:rPr>
              <w:t>• Schrödinger's MALT1 (SGR-1505) cleared Phase 1 dose escalation cleanly; CDK7 (GTAEXS617, post-Exscientia integration) is in Phase 1 expansion [PoS-V15].</w:t>
            </w:r>
          </w:p>
          <w:p>
            <w:pPr>
              <w:spacing w:after="60"/>
            </w:pPr>
            <w:r>
              <w:rPr>
                <w:rFonts w:ascii="Georgia" w:hAnsi="Georgia"/>
                <w:color w:val="1A1A1A"/>
                <w:sz w:val="20"/>
              </w:rPr>
              <w:t>• Rilvegostomig (Compugen/AstraZeneca) bispecific PD-1/TIGIT delivered 57.5% ORR / 95% DCR in 1L NSCLC and is in Phase 3 [PoS-V13].</w:t>
            </w:r>
          </w:p>
        </w:tc>
        <w:tc>
          <w:tcPr>
            <w:tcW w:type="dxa" w:w="4680"/>
            <w:shd w:val="clear" w:color="auto" w:fill="F2F2F2"/>
          </w:tcPr>
          <w:p>
            <w:pPr>
              <w:spacing w:after="60"/>
            </w:pPr>
            <w:r/>
            <w:r>
              <w:rPr>
                <w:rFonts w:ascii="Georgia" w:hAnsi="Georgia"/>
                <w:color w:val="1A1A1A"/>
                <w:sz w:val="20"/>
              </w:rPr>
              <w:t>• 1 of 82 AI-discovered molecules has cleared Phase 3 — 1.2% vs. industry baseline ~9.6% [PoS-AGG-003].</w:t>
            </w:r>
          </w:p>
          <w:p>
            <w:pPr>
              <w:spacing w:after="60"/>
            </w:pPr>
            <w:r>
              <w:rPr>
                <w:rFonts w:ascii="Georgia" w:hAnsi="Georgia"/>
                <w:color w:val="1A1A1A"/>
                <w:sz w:val="20"/>
              </w:rPr>
              <w:t>• Only 3 of 24 P1-completed AI assets hit novel targets (12.5%); two of those three hit the same target — AI hits known biology [TN-001].</w:t>
            </w:r>
          </w:p>
          <w:p>
            <w:pPr>
              <w:spacing w:after="60"/>
            </w:pPr>
            <w:r>
              <w:rPr>
                <w:rFonts w:ascii="Georgia" w:hAnsi="Georgia"/>
                <w:color w:val="1A1A1A"/>
                <w:sz w:val="20"/>
              </w:rPr>
              <w:t>• Four recent failures since April 2026: VRG-50635 (ALS), REC-3964, SGR-2921 (CDC7, patient deaths), BEN-2293 [PoS-V07, PoS-V08, PoS-V04, PoS-V14].</w:t>
            </w:r>
          </w:p>
          <w:p>
            <w:pPr>
              <w:spacing w:after="60"/>
            </w:pPr>
            <w:r>
              <w:rPr>
                <w:rFonts w:ascii="Georgia" w:hAnsi="Georgia"/>
                <w:color w:val="1A1A1A"/>
                <w:sz w:val="20"/>
              </w:rPr>
              <w:t>• Cohort survivorship bias: failures are under-represented in the published cohort because they are under-disclosed.</w:t>
            </w:r>
          </w:p>
        </w:tc>
      </w:tr>
    </w:tbl>
    <w:p>
      <w:r>
        <w:br w:type="page"/>
      </w:r>
    </w:p>
    <w:p>
      <w:pPr>
        <w:keepNext/>
        <w:spacing w:before="360" w:after="200"/>
      </w:pPr>
      <w:r>
        <w:rPr>
          <w:rFonts w:ascii="Calibri" w:hAnsi="Calibri"/>
          <w:b/>
          <w:color w:val="001E3C"/>
          <w:sz w:val="28"/>
        </w:rPr>
        <w:t>FDA's Posture Is Supportive in Letter, Cautious in Practice</w:t>
      </w:r>
    </w:p>
    <w:p>
      <w:pPr>
        <w:spacing w:after="200"/>
      </w:pPr>
      <w:r>
        <w:rPr>
          <w:rFonts w:ascii="Georgia" w:hAnsi="Georgia"/>
          <w:i/>
          <w:color w:val="6C757D"/>
          <w:sz w:val="22"/>
        </w:rPr>
        <w:t>Substantial institutional scaffolding; zero approval letters cite AI as load-bearing evidence; the January 2025 draft guidance is still draft 13 months on.</w:t>
      </w:r>
    </w:p>
    <w:p>
      <w:pPr>
        <w:spacing w:after="120" w:before="0" w:line="276" w:lineRule="auto"/>
      </w:pPr>
      <w:r>
        <w:rPr>
          <w:rFonts w:ascii="Georgia" w:hAnsi="Georgia"/>
          <w:b w:val="0"/>
          <w:i w:val="0"/>
          <w:sz w:val="20"/>
        </w:rPr>
        <w:t>Across the AI/ML SaMD Action Plan (January 2021), the 2023 discussion paper on AI in drug development, the December 2024 Predetermined Change Control Plan guidance, and the January 2025 draft 'Considerations for the Use of AI to Support Regulatory Decision-Making for Drug and Biological Products,' the FDA has constructed a deep institutional framework signalling openness to AI-derived evidence [FDA-001 through FDA-009]. Stance distribution across named officials skews supportive — by our count of public quotes through April 2026, the balance is seven supportive, one neutral, and five cautious; cautious quotes cluster at Commissioner level and the AI head, while supportive quotes come from CDER policy leadership writing the rulebook.</w:t>
      </w:r>
    </w:p>
    <w:p>
      <w:pPr>
        <w:spacing w:before="120" w:after="40"/>
        <w:jc w:val="center"/>
      </w:pPr>
      <w:r>
        <w:rPr>
          <w:rFonts w:ascii="Calibri" w:hAnsi="Calibri"/>
          <w:b/>
          <w:color w:val="C8102E"/>
          <w:sz w:val="48"/>
        </w:rPr>
        <w:t>Zero</w:t>
      </w:r>
    </w:p>
    <w:p>
      <w:pPr>
        <w:spacing w:after="200"/>
        <w:jc w:val="center"/>
      </w:pPr>
      <w:r>
        <w:rPr>
          <w:rFonts w:ascii="Georgia" w:hAnsi="Georgia"/>
          <w:i/>
          <w:color w:val="6C757D"/>
          <w:sz w:val="18"/>
        </w:rPr>
        <w:t>FDA approval letters in 2019–2026 YTD that explicitly cite AI as load-bearing evidence for product approval.</w:t>
      </w:r>
    </w:p>
    <w:p>
      <w:pPr>
        <w:spacing w:after="120" w:before="0" w:line="276" w:lineRule="auto"/>
      </w:pPr>
      <w:r>
        <w:rPr>
          <w:rFonts w:ascii="Georgia" w:hAnsi="Georgia"/>
          <w:b w:val="0"/>
          <w:i w:val="0"/>
          <w:sz w:val="20"/>
        </w:rPr>
        <w:t>We view this absence as the strongest single disconfirming datapoint on the long-term hypothesis. The agency has built the framework, hired the staff, and held the workshops — but it has not yet relied on AI-derived evidence to approve a product. The January 2025 draft guidance remains a draft 13 months after publication [FDA-004]. In April 2026, the FDA issued its first cGMP warning letter citing 'Inappropriate Use of Artificial Intelligence in Pharmaceutical Manufacturing' [FDA-031] — a step that signals enforcement, not endorsement.</w:t>
      </w:r>
    </w:p>
    <w:p>
      <w:pPr>
        <w:keepNext/>
        <w:spacing w:before="280" w:after="120"/>
      </w:pPr>
      <w:r>
        <w:rPr>
          <w:rFonts w:ascii="Calibri" w:hAnsi="Calibri"/>
          <w:b/>
          <w:color w:val="001E3C"/>
          <w:sz w:val="24"/>
        </w:rPr>
        <w:t>Forward tests</w:t>
      </w:r>
    </w:p>
    <w:p>
      <w:pPr>
        <w:spacing w:after="120" w:before="0" w:line="276" w:lineRule="auto"/>
      </w:pPr>
      <w:r>
        <w:rPr>
          <w:rFonts w:ascii="Georgia" w:hAnsi="Georgia"/>
          <w:b w:val="0"/>
          <w:i w:val="0"/>
          <w:sz w:val="20"/>
        </w:rPr>
        <w:t>Two near-term regulatory events will materially inform the Q3 verdict. Zasocitinib (Nimbus/Takeda, plaque psoriasis) NDA targeted FY2026 — first approval letter for an AI-assisted Phase 3 winner will reveal how the agency frames AI in label language. Rentosertib (Insilico, IPF) Phase 3 initiation H2 2026 — sponsor meeting commentary on AI-derived target-rationale evidence will signal whether the agency requires extensive corroborating non-AI evidence.</w:t>
      </w:r>
    </w:p>
    <w:tbl>
      <w:tblPr>
        <w:tblW w:type="auto" w:w="0"/>
        <w:jc w:val="center"/>
        <w:tblLook w:firstColumn="1" w:firstRow="1" w:lastColumn="0" w:lastRow="0" w:noHBand="0" w:noVBand="1" w:val="04A0"/>
      </w:tblPr>
      <w:tblGrid>
        <w:gridCol w:w="4680"/>
        <w:gridCol w:w="4680"/>
      </w:tblGrid>
      <w:tr>
        <w:tc>
          <w:tcPr>
            <w:tcW w:type="dxa" w:w="4680"/>
            <w:shd w:val="clear" w:color="auto" w:fill="001E3C"/>
          </w:tcPr>
          <w:p>
            <w:pPr>
              <w:spacing w:after="40"/>
            </w:pPr>
            <w:r>
              <w:rPr>
                <w:rFonts w:ascii="Calibri" w:hAnsi="Calibri"/>
                <w:b/>
                <w:color w:val="FFFFFF"/>
                <w:sz w:val="20"/>
              </w:rPr>
              <w:t>Supportive evidence</w:t>
            </w:r>
          </w:p>
        </w:tc>
        <w:tc>
          <w:tcPr>
            <w:tcW w:type="dxa" w:w="4680"/>
            <w:shd w:val="clear" w:color="auto" w:fill="001E3C"/>
          </w:tcPr>
          <w:p>
            <w:pPr>
              <w:spacing w:after="40"/>
            </w:pPr>
            <w:r>
              <w:rPr>
                <w:rFonts w:ascii="Calibri" w:hAnsi="Calibri"/>
                <w:b/>
                <w:color w:val="FFFFFF"/>
                <w:sz w:val="20"/>
              </w:rPr>
              <w:t>Conscious of the counter-case</w:t>
            </w:r>
          </w:p>
        </w:tc>
      </w:tr>
      <w:tr>
        <w:tc>
          <w:tcPr>
            <w:tcW w:type="dxa" w:w="4680"/>
            <w:shd w:val="clear" w:color="auto" w:fill="F2F2F2"/>
          </w:tcPr>
          <w:p>
            <w:pPr>
              <w:spacing w:after="60"/>
            </w:pPr>
            <w:r/>
            <w:r>
              <w:rPr>
                <w:rFonts w:ascii="Georgia" w:hAnsi="Georgia"/>
                <w:color w:val="1A1A1A"/>
                <w:sz w:val="20"/>
              </w:rPr>
              <w:t>• Cumulative institutional infrastructure: 9 named foundational documents 2021–2025 [FDA-001 through FDA-009].</w:t>
            </w:r>
          </w:p>
          <w:p>
            <w:pPr>
              <w:spacing w:after="60"/>
            </w:pPr>
            <w:r>
              <w:rPr>
                <w:rFonts w:ascii="Georgia" w:hAnsi="Georgia"/>
                <w:color w:val="1A1A1A"/>
                <w:sz w:val="20"/>
              </w:rPr>
              <w:t>• Stance balance favors supportive 7:5 across named officials; CDER policy leadership consistently constructive.</w:t>
            </w:r>
          </w:p>
          <w:p>
            <w:pPr>
              <w:spacing w:after="60"/>
            </w:pPr>
            <w:r>
              <w:rPr>
                <w:rFonts w:ascii="Georgia" w:hAnsi="Georgia"/>
                <w:color w:val="1A1A1A"/>
                <w:sz w:val="20"/>
              </w:rPr>
              <w:t>• Joint FDA-EMA Guiding Principles of Good AI Practice (January 2026) [FDA-009/FDA-044] — international harmonization signal.</w:t>
            </w:r>
          </w:p>
          <w:p>
            <w:pPr>
              <w:spacing w:after="60"/>
            </w:pPr>
            <w:r>
              <w:rPr>
                <w:rFonts w:ascii="Georgia" w:hAnsi="Georgia"/>
                <w:color w:val="1A1A1A"/>
                <w:sz w:val="20"/>
              </w:rPr>
              <w:t>• EDSTP program announced June 2024 [FDA-022] enables structured AI-related submission review.</w:t>
            </w:r>
          </w:p>
        </w:tc>
        <w:tc>
          <w:tcPr>
            <w:tcW w:type="dxa" w:w="4680"/>
            <w:shd w:val="clear" w:color="auto" w:fill="F2F2F2"/>
          </w:tcPr>
          <w:p>
            <w:pPr>
              <w:spacing w:after="60"/>
            </w:pPr>
            <w:r/>
            <w:r>
              <w:rPr>
                <w:rFonts w:ascii="Georgia" w:hAnsi="Georgia"/>
                <w:color w:val="1A1A1A"/>
                <w:sz w:val="20"/>
              </w:rPr>
              <w:t>• Zero approval letters across 2019–2026 YTD cite AI-derived evidence as load-bearing.</w:t>
            </w:r>
          </w:p>
          <w:p>
            <w:pPr>
              <w:spacing w:after="60"/>
            </w:pPr>
            <w:r>
              <w:rPr>
                <w:rFonts w:ascii="Georgia" w:hAnsi="Georgia"/>
                <w:color w:val="1A1A1A"/>
                <w:sz w:val="20"/>
              </w:rPr>
              <w:t>• January 2025 draft guidance still draft 13 months later — finalization signal absent [FDA-004].</w:t>
            </w:r>
          </w:p>
          <w:p>
            <w:pPr>
              <w:spacing w:after="60"/>
            </w:pPr>
            <w:r>
              <w:rPr>
                <w:rFonts w:ascii="Georgia" w:hAnsi="Georgia"/>
                <w:color w:val="1A1A1A"/>
                <w:sz w:val="20"/>
              </w:rPr>
              <w:t>• First cGMP warning letter citing AI misuse, April 2026 — enforcement, not endorsement [FDA-031].</w:t>
            </w:r>
          </w:p>
          <w:p>
            <w:pPr>
              <w:spacing w:after="60"/>
            </w:pPr>
            <w:r>
              <w:rPr>
                <w:rFonts w:ascii="Georgia" w:hAnsi="Georgia"/>
                <w:color w:val="1A1A1A"/>
                <w:sz w:val="20"/>
              </w:rPr>
              <w:t>• PDUFA VII performance goals letter has no explicit AI/ML commitment.</w:t>
            </w:r>
          </w:p>
          <w:p>
            <w:pPr>
              <w:spacing w:after="60"/>
            </w:pPr>
            <w:r>
              <w:rPr>
                <w:rFonts w:ascii="Georgia" w:hAnsi="Georgia"/>
                <w:color w:val="1A1A1A"/>
                <w:sz w:val="20"/>
              </w:rPr>
              <w:t>• Reported Makary ouster May 2026 introduces leadership uncertainty.</w:t>
            </w:r>
          </w:p>
        </w:tc>
      </w:tr>
    </w:tbl>
    <w:p>
      <w:r>
        <w:br w:type="page"/>
      </w:r>
    </w:p>
    <w:p>
      <w:pPr>
        <w:keepNext/>
        <w:spacing w:before="360" w:after="200"/>
      </w:pPr>
      <w:r>
        <w:rPr>
          <w:rFonts w:ascii="Calibri" w:hAnsi="Calibri"/>
          <w:b/>
          <w:color w:val="001E3C"/>
          <w:sz w:val="28"/>
        </w:rPr>
        <w:t>Big Pharma Deal Terms Have Shifted Decisively Toward Equity-Heavy, Nine-Figure-Upfront Structures</w:t>
      </w:r>
    </w:p>
    <w:p>
      <w:pPr>
        <w:spacing w:after="200"/>
      </w:pPr>
      <w:r>
        <w:rPr>
          <w:rFonts w:ascii="Georgia" w:hAnsi="Georgia"/>
          <w:i/>
          <w:color w:val="6C757D"/>
          <w:sz w:val="22"/>
        </w:rPr>
        <w:t>The realized AI-pharma signal lives in the deal market, not on the operating line.</w:t>
      </w:r>
    </w:p>
    <w:p>
      <w:pPr>
        <w:spacing w:after="120" w:before="0" w:line="276" w:lineRule="auto"/>
      </w:pPr>
      <w:r>
        <w:rPr>
          <w:rFonts w:ascii="Georgia" w:hAnsi="Georgia"/>
          <w:b w:val="0"/>
          <w:i w:val="0"/>
          <w:sz w:val="20"/>
        </w:rPr>
        <w:t>If the Q1 finding is that pharma operating economics have not yet absorbed the AI productivity narrative, the Q4 finding is the inverse: pharma capital allocation has absorbed the AI narrative completely. Between 2018 and 2026, AI-pharma deal terms shifted from 'low up plus biobucks-heavy optionality' (Pfizer × Atomwise 2018; Lilly × Atomwise 2019, ~$1M per target-discovery milestone) to nine-figure upfronts plus binding biobucks plus standard equity tranches (Roche × Recursion December 2021 $150M up; Lilly + Novartis × Isomorphic January 2024 ~$2.9B combined; Novartis × Schrödinger November 2024 $150M up + $2.27B back-end). Equity components moved from less than 5% of deals pre-2018 to roughly 25% post-2020.</w:t>
      </w:r>
    </w:p>
    <w:p>
      <w:pPr>
        <w:keepNext/>
        <w:spacing w:before="280" w:after="120"/>
      </w:pPr>
      <w:r>
        <w:rPr>
          <w:rFonts w:ascii="Calibri" w:hAnsi="Calibri"/>
          <w:b/>
          <w:color w:val="001E3C"/>
          <w:sz w:val="24"/>
        </w:rPr>
        <w:t>The signature deals</w:t>
      </w:r>
    </w:p>
    <w:p>
      <w:pPr>
        <w:spacing w:after="120" w:before="0" w:line="276" w:lineRule="auto"/>
      </w:pPr>
      <w:r>
        <w:rPr>
          <w:rFonts w:ascii="Georgia" w:hAnsi="Georgia"/>
          <w:b w:val="0"/>
          <w:i w:val="0"/>
          <w:sz w:val="20"/>
        </w:rPr>
        <w:t>Roche × Recursion (December 2021) — $150M upfront, up to 40 programs at $300M+ each [DL-004]. The first nine-figure-up platform deal that wasn't a clinical-asset acquisition. We treat this as the structural inflection point. Lilly and Novartis × Isomorphic Labs (January 2024) — $45M+$1.7B and $37.5M+$1.2B respectively, announced same day [DL-001, DL-002]. ~$2.9B combined biobucks for AlphaFold-derived AI access; the signal is strategic, not asset-specific. Recursion × Exscientia (August → November 2024) — $688M all-stock [DL-040]. First major AI-native consolidation event; tells you the AI-native field is consolidating before clinical-stage outperformance has been proven. Lilly × Insilico (March 2026) — $2.75B for Rentosertib licensing [DL-046]. The first 'show me' deal in our matrix — a covered name paying nine figures for a specific Phase III-bound AI-discovered asset.</w:t>
      </w:r>
    </w:p>
    <w:p>
      <w:pPr>
        <w:keepNext/>
        <w:spacing w:before="280" w:after="120"/>
      </w:pPr>
      <w:r>
        <w:rPr>
          <w:rFonts w:ascii="Calibri" w:hAnsi="Calibri"/>
          <w:b/>
          <w:color w:val="001E3C"/>
          <w:sz w:val="24"/>
        </w:rPr>
        <w:t>The 2024 foundation-model category</w:t>
      </w:r>
    </w:p>
    <w:p>
      <w:pPr>
        <w:spacing w:after="120" w:before="0" w:line="276" w:lineRule="auto"/>
      </w:pPr>
      <w:r>
        <w:rPr>
          <w:rFonts w:ascii="Georgia" w:hAnsi="Georgia"/>
          <w:b w:val="0"/>
          <w:i w:val="0"/>
          <w:sz w:val="20"/>
        </w:rPr>
        <w:t>A structurally distinct category emerged in 2024: foundation-model enterprise deals between covered pharma and OpenAI, Anthropic, IBM, and Google. Sanofi × OpenAI, Moderna × OpenAI, Lilly × OpenAI antimicrobials, Moderna × IBM (2023), Novartis × Microsoft, GSK × Cerebras [DL-006, DL-066, etc.]. These are compute-plus-IP-carve-out arrangements with no per-asset milestones — closer to platform license than therapeutic-asset co-development. Their financial terms are structurally undisclosed (no material 8-K trigger). We treat them as a distinct category in our matrix and recommend the memo not aggregate them with therapeutic-asset deals.</w:t>
      </w:r>
    </w:p>
    <w:p>
      <w:pPr>
        <w:jc w:val="center"/>
      </w:pPr>
      <w:r>
        <w:rPr>
          <w:rFonts w:ascii="Calibri" w:hAnsi="Calibri"/>
          <w:b/>
          <w:color w:val="001E3C"/>
          <w:sz w:val="20"/>
        </w:rPr>
        <w:t>[CHART 5]  Median upfront ($M) by year, 2018–2026 YTD</w:t>
      </w:r>
    </w:p>
    <w:tbl>
      <w:tblPr>
        <w:tblW w:type="auto" w:w="0"/>
        <w:jc w:val="center"/>
        <w:tblLook w:firstColumn="1" w:firstRow="1" w:lastColumn="0" w:lastRow="0" w:noHBand="0" w:noVBand="1" w:val="04A0"/>
      </w:tblPr>
      <w:tblGrid>
        <w:gridCol w:w="9360"/>
      </w:tblGrid>
      <w:tr>
        <w:tc>
          <w:tcPr>
            <w:tcW w:type="dxa" w:w="9360"/>
            <w:shd w:val="clear" w:color="auto" w:fill="F2F2F2"/>
          </w:tcPr>
          <w:p>
            <w:r/>
            <w:r>
              <w:rPr>
                <w:rFonts w:ascii="Georgia" w:hAnsi="Georgia"/>
                <w:i/>
                <w:sz w:val="18"/>
              </w:rPr>
              <w:t>Chart spec — data sourced from matrix; production build to follow.</w:t>
            </w:r>
          </w:p>
          <w:p>
            <w:r>
              <w:rPr>
                <w:rFonts w:ascii="Calibri" w:hAnsi="Calibri"/>
                <w:b/>
                <w:color w:val="001E3C"/>
                <w:sz w:val="18"/>
              </w:rPr>
              <w:t xml:space="preserve">X-axis: </w:t>
            </w:r>
            <w:r>
              <w:rPr>
                <w:rFonts w:ascii="Georgia" w:hAnsi="Georgia"/>
                <w:color w:val="1A1A1A"/>
                <w:sz w:val="18"/>
              </w:rPr>
              <w:t>Year, 2018 — 2026 YTD</w:t>
            </w:r>
          </w:p>
          <w:p>
            <w:r>
              <w:rPr>
                <w:rFonts w:ascii="Calibri" w:hAnsi="Calibri"/>
                <w:b/>
                <w:color w:val="001E3C"/>
                <w:sz w:val="18"/>
              </w:rPr>
              <w:t xml:space="preserve">Y-axis: </w:t>
            </w:r>
            <w:r>
              <w:rPr>
                <w:rFonts w:ascii="Georgia" w:hAnsi="Georgia"/>
                <w:color w:val="1A1A1A"/>
                <w:sz w:val="18"/>
              </w:rPr>
              <w:t>Median upfront in disclosed AI-pharma deals ($M)</w:t>
            </w:r>
          </w:p>
          <w:p>
            <w:r>
              <w:rPr>
                <w:rFonts w:ascii="Calibri" w:hAnsi="Calibri"/>
                <w:b/>
                <w:color w:val="001E3C"/>
                <w:sz w:val="18"/>
              </w:rPr>
              <w:t xml:space="preserve">Series: </w:t>
            </w:r>
            <w:r>
              <w:rPr>
                <w:rFonts w:ascii="Georgia" w:hAnsi="Georgia"/>
                <w:color w:val="1A1A1A"/>
                <w:sz w:val="18"/>
              </w:rPr>
              <w:t>Single-series line, Bernstein navy. Annotate top three outlier deals as labeled points: Lilly × Isomorphic Jan 2024 ($45M), NVS × Isomorphic Jan 2024 ($37.5M), Amgen × Generate Jan 2022 ($50M).</w:t>
            </w:r>
          </w:p>
          <w:p>
            <w:r>
              <w:rPr>
                <w:rFonts w:ascii="Calibri" w:hAnsi="Calibri"/>
                <w:b/>
                <w:color w:val="001E3C"/>
                <w:sz w:val="18"/>
              </w:rPr>
              <w:t xml:space="preserve">Source rows: </w:t>
            </w:r>
            <w:r>
              <w:rPr>
                <w:rFonts w:ascii="Georgia" w:hAnsi="Georgia"/>
                <w:color w:val="1A1A1A"/>
                <w:sz w:val="18"/>
              </w:rPr>
              <w:t>Q4 Deals tab rows DL-001 through DL-070</w:t>
            </w:r>
          </w:p>
          <w:p>
            <w:r>
              <w:rPr>
                <w:rFonts w:ascii="Calibri" w:hAnsi="Calibri"/>
                <w:b/>
                <w:color w:val="001E3C"/>
                <w:sz w:val="18"/>
              </w:rPr>
              <w:t xml:space="preserve">Methodology: </w:t>
            </w:r>
            <w:r>
              <w:rPr>
                <w:rFonts w:ascii="Georgia" w:hAnsi="Georgia"/>
                <w:color w:val="1A1A1A"/>
                <w:sz w:val="18"/>
              </w:rPr>
              <w:t>Year-by-year median computed from disclosed upfronts only; undisclosed-upfront deals excluded from the median. Vertical annotation at AlphaFold-2 release Nov 2020 and JPM-AI wave Jan 2024.</w:t>
            </w:r>
          </w:p>
        </w:tc>
      </w:tr>
    </w:tbl>
    <w:p>
      <w:r>
        <w:rPr>
          <w:rFonts w:ascii="Georgia" w:hAnsi="Georgia"/>
          <w:i/>
          <w:color w:val="6C757D"/>
          <w:sz w:val="16"/>
        </w:rPr>
        <w:t>As of 2026-05-11. Source: SEC 8-K filings, joint pharma+AI press releases; full row-level trace in 01_Matrix_Master.xlsx Deals tab.</w:t>
      </w:r>
    </w:p>
    <w:p>
      <w:pPr>
        <w:jc w:val="center"/>
      </w:pPr>
      <w:r>
        <w:rPr>
          <w:rFonts w:ascii="Calibri" w:hAnsi="Calibri"/>
          <w:b/>
          <w:color w:val="001E3C"/>
          <w:sz w:val="20"/>
        </w:rPr>
        <w:t>[CHART 6]  AI-pharma deals by year, stacked by deal type, 2018–2026 YTD</w:t>
      </w:r>
    </w:p>
    <w:tbl>
      <w:tblPr>
        <w:tblW w:type="auto" w:w="0"/>
        <w:jc w:val="center"/>
        <w:tblLook w:firstColumn="1" w:firstRow="1" w:lastColumn="0" w:lastRow="0" w:noHBand="0" w:noVBand="1" w:val="04A0"/>
      </w:tblPr>
      <w:tblGrid>
        <w:gridCol w:w="9360"/>
      </w:tblGrid>
      <w:tr>
        <w:tc>
          <w:tcPr>
            <w:tcW w:type="dxa" w:w="9360"/>
            <w:shd w:val="clear" w:color="auto" w:fill="F2F2F2"/>
          </w:tcPr>
          <w:p>
            <w:r/>
            <w:r>
              <w:rPr>
                <w:rFonts w:ascii="Georgia" w:hAnsi="Georgia"/>
                <w:i/>
                <w:sz w:val="18"/>
              </w:rPr>
              <w:t>Chart spec — data sourced from matrix; production build to follow.</w:t>
            </w:r>
          </w:p>
          <w:p>
            <w:r>
              <w:rPr>
                <w:rFonts w:ascii="Calibri" w:hAnsi="Calibri"/>
                <w:b/>
                <w:color w:val="001E3C"/>
                <w:sz w:val="18"/>
              </w:rPr>
              <w:t xml:space="preserve">X-axis: </w:t>
            </w:r>
            <w:r>
              <w:rPr>
                <w:rFonts w:ascii="Georgia" w:hAnsi="Georgia"/>
                <w:color w:val="1A1A1A"/>
                <w:sz w:val="18"/>
              </w:rPr>
              <w:t>Year, 2018 — 2026 YTD</w:t>
            </w:r>
          </w:p>
          <w:p>
            <w:r>
              <w:rPr>
                <w:rFonts w:ascii="Calibri" w:hAnsi="Calibri"/>
                <w:b/>
                <w:color w:val="001E3C"/>
                <w:sz w:val="18"/>
              </w:rPr>
              <w:t xml:space="preserve">Y-axis: </w:t>
            </w:r>
            <w:r>
              <w:rPr>
                <w:rFonts w:ascii="Georgia" w:hAnsi="Georgia"/>
                <w:color w:val="1A1A1A"/>
                <w:sz w:val="18"/>
              </w:rPr>
              <w:t>Count of deals</w:t>
            </w:r>
          </w:p>
          <w:p>
            <w:r>
              <w:rPr>
                <w:rFonts w:ascii="Calibri" w:hAnsi="Calibri"/>
                <w:b/>
                <w:color w:val="001E3C"/>
                <w:sz w:val="18"/>
              </w:rPr>
              <w:t xml:space="preserve">Series: </w:t>
            </w:r>
            <w:r>
              <w:rPr>
                <w:rFonts w:ascii="Georgia" w:hAnsi="Georgia"/>
                <w:color w:val="1A1A1A"/>
                <w:sz w:val="18"/>
              </w:rPr>
              <w:t>Stacked bar: navy = license/collab, Bernstein red = M&amp;A, gray = platform partnership, muted teal = equity investment, amber = foundation-model enterprise.</w:t>
            </w:r>
          </w:p>
          <w:p>
            <w:r>
              <w:rPr>
                <w:rFonts w:ascii="Calibri" w:hAnsi="Calibri"/>
                <w:b/>
                <w:color w:val="001E3C"/>
                <w:sz w:val="18"/>
              </w:rPr>
              <w:t xml:space="preserve">Source rows: </w:t>
            </w:r>
            <w:r>
              <w:rPr>
                <w:rFonts w:ascii="Georgia" w:hAnsi="Georgia"/>
                <w:color w:val="1A1A1A"/>
                <w:sz w:val="18"/>
              </w:rPr>
              <w:t>Q4 Deals tab rows DL-001 through DL-070</w:t>
            </w:r>
          </w:p>
          <w:p>
            <w:r>
              <w:rPr>
                <w:rFonts w:ascii="Calibri" w:hAnsi="Calibri"/>
                <w:b/>
                <w:color w:val="001E3C"/>
                <w:sz w:val="18"/>
              </w:rPr>
              <w:t xml:space="preserve">Methodology: </w:t>
            </w:r>
            <w:r>
              <w:rPr>
                <w:rFonts w:ascii="Georgia" w:hAnsi="Georgia"/>
                <w:color w:val="1A1A1A"/>
                <w:sz w:val="18"/>
              </w:rPr>
              <w:t>Deals counted as of announcement date. Annotate Recursion IPO April 2021, AlphaFold-2 release November 2020, JPM-AI wave January 2024.</w:t>
            </w:r>
          </w:p>
        </w:tc>
      </w:tr>
    </w:tbl>
    <w:p>
      <w:r>
        <w:rPr>
          <w:rFonts w:ascii="Georgia" w:hAnsi="Georgia"/>
          <w:i/>
          <w:color w:val="6C757D"/>
          <w:sz w:val="16"/>
        </w:rPr>
        <w:t>As of 2026-05-11. Source: 01_Matrix_Master.xlsx Deals tab; Bernstein analysis.</w:t>
      </w:r>
    </w:p>
    <w:p>
      <w:pPr>
        <w:keepNext/>
        <w:spacing w:before="280" w:after="120"/>
      </w:pPr>
      <w:r>
        <w:rPr>
          <w:rFonts w:ascii="Calibri" w:hAnsi="Calibri"/>
          <w:b/>
          <w:color w:val="001E3C"/>
          <w:sz w:val="24"/>
        </w:rPr>
        <w:t>Deal table — curated for memo (28 deals across four eras)</w:t>
      </w:r>
    </w:p>
    <w:p>
      <w:pPr>
        <w:spacing w:after="120" w:before="0" w:line="276" w:lineRule="auto"/>
      </w:pPr>
      <w:r>
        <w:rPr>
          <w:rFonts w:ascii="Georgia" w:hAnsi="Georgia"/>
          <w:b w:val="0"/>
          <w:i w:val="0"/>
          <w:sz w:val="20"/>
        </w:rPr>
        <w:t>Full 70-deal tracker lives in 01_Matrix_Master.xlsx → Deals_Sorted and Deals_Memo_Table tabs. The 28 deals below are the structurally informative subset organized by era.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val="clear" w:color="auto" w:fill="001E3C"/>
          </w:tcPr>
          <w:p>
            <w:pPr>
              <w:spacing w:after="40"/>
              <w:jc w:val="center"/>
            </w:pPr>
            <w:r>
              <w:rPr>
                <w:rFonts w:ascii="Calibri" w:hAnsi="Calibri"/>
                <w:b/>
                <w:color w:val="FFFFFF"/>
                <w:sz w:val="18"/>
              </w:rPr>
              <w:t>Date</w:t>
            </w:r>
          </w:p>
        </w:tc>
        <w:tc>
          <w:tcPr>
            <w:tcW w:type="dxa" w:w="1008"/>
            <w:shd w:val="clear" w:color="auto" w:fill="001E3C"/>
          </w:tcPr>
          <w:p>
            <w:pPr>
              <w:spacing w:after="40"/>
              <w:jc w:val="center"/>
            </w:pPr>
            <w:r>
              <w:rPr>
                <w:rFonts w:ascii="Calibri" w:hAnsi="Calibri"/>
                <w:b/>
                <w:color w:val="FFFFFF"/>
                <w:sz w:val="18"/>
              </w:rPr>
              <w:t>Pharma</w:t>
            </w:r>
          </w:p>
        </w:tc>
        <w:tc>
          <w:tcPr>
            <w:tcW w:type="dxa" w:w="1584"/>
            <w:shd w:val="clear" w:color="auto" w:fill="001E3C"/>
          </w:tcPr>
          <w:p>
            <w:pPr>
              <w:spacing w:after="40"/>
              <w:jc w:val="center"/>
            </w:pPr>
            <w:r>
              <w:rPr>
                <w:rFonts w:ascii="Calibri" w:hAnsi="Calibri"/>
                <w:b/>
                <w:color w:val="FFFFFF"/>
                <w:sz w:val="18"/>
              </w:rPr>
              <w:t>AI counterparty</w:t>
            </w:r>
          </w:p>
        </w:tc>
        <w:tc>
          <w:tcPr>
            <w:tcW w:type="dxa" w:w="1296"/>
            <w:shd w:val="clear" w:color="auto" w:fill="001E3C"/>
          </w:tcPr>
          <w:p>
            <w:pPr>
              <w:spacing w:after="40"/>
              <w:jc w:val="center"/>
            </w:pPr>
            <w:r>
              <w:rPr>
                <w:rFonts w:ascii="Calibri" w:hAnsi="Calibri"/>
                <w:b/>
                <w:color w:val="FFFFFF"/>
                <w:sz w:val="18"/>
              </w:rPr>
              <w:t>Type</w:t>
            </w:r>
          </w:p>
        </w:tc>
        <w:tc>
          <w:tcPr>
            <w:tcW w:type="dxa" w:w="1152"/>
            <w:shd w:val="clear" w:color="auto" w:fill="001E3C"/>
          </w:tcPr>
          <w:p>
            <w:pPr>
              <w:spacing w:after="40"/>
              <w:jc w:val="center"/>
            </w:pPr>
            <w:r>
              <w:rPr>
                <w:rFonts w:ascii="Calibri" w:hAnsi="Calibri"/>
                <w:b/>
                <w:color w:val="FFFFFF"/>
                <w:sz w:val="18"/>
              </w:rPr>
              <w:t>Upfront</w:t>
            </w:r>
          </w:p>
        </w:tc>
        <w:tc>
          <w:tcPr>
            <w:tcW w:type="dxa" w:w="1296"/>
            <w:shd w:val="clear" w:color="auto" w:fill="001E3C"/>
          </w:tcPr>
          <w:p>
            <w:pPr>
              <w:spacing w:after="40"/>
              <w:jc w:val="center"/>
            </w:pPr>
            <w:r>
              <w:rPr>
                <w:rFonts w:ascii="Calibri" w:hAnsi="Calibri"/>
                <w:b/>
                <w:color w:val="FFFFFF"/>
                <w:sz w:val="18"/>
              </w:rPr>
              <w:t>Biobucks</w:t>
            </w:r>
          </w:p>
        </w:tc>
        <w:tc>
          <w:tcPr>
            <w:tcW w:type="dxa" w:w="3600"/>
            <w:shd w:val="clear" w:color="auto" w:fill="001E3C"/>
          </w:tcPr>
          <w:p>
            <w:pPr>
              <w:spacing w:after="40"/>
              <w:jc w:val="center"/>
            </w:pPr>
            <w:r>
              <w:rPr>
                <w:rFonts w:ascii="Calibri" w:hAnsi="Calibri"/>
                <w:b/>
                <w:color w:val="FFFFFF"/>
                <w:sz w:val="18"/>
              </w:rPr>
              <w:t>Why this deal matters</w:t>
            </w:r>
          </w:p>
        </w:tc>
      </w:tr>
      <w:tr>
        <w:tc>
          <w:tcPr>
            <w:tcW w:type="dxa" w:w="864"/>
          </w:tcPr>
          <w:p>
            <w:pPr>
              <w:spacing w:after="40"/>
            </w:pPr>
            <w:r/>
            <w:r>
              <w:rPr>
                <w:rFonts w:ascii="Georgia" w:hAnsi="Georgia"/>
                <w:color w:val="1A1A1A"/>
                <w:sz w:val="18"/>
              </w:rPr>
              <w:t>—</w:t>
            </w:r>
          </w:p>
        </w:tc>
        <w:tc>
          <w:tcPr>
            <w:tcW w:type="dxa" w:w="1008"/>
          </w:tcPr>
          <w:p>
            <w:pPr>
              <w:spacing w:after="40"/>
            </w:pPr>
            <w:r/>
            <w:r>
              <w:rPr>
                <w:rFonts w:ascii="Georgia" w:hAnsi="Georgia"/>
                <w:color w:val="1A1A1A"/>
                <w:sz w:val="18"/>
              </w:rPr>
              <w:t>2018–2020 — Baseline era</w:t>
            </w:r>
          </w:p>
        </w:tc>
        <w:tc>
          <w:tcPr>
            <w:tcW w:type="dxa" w:w="1584"/>
          </w:tcPr>
          <w:p>
            <w:pPr>
              <w:spacing w:after="40"/>
            </w:pPr>
            <w:r/>
            <w:r>
              <w:rPr>
                <w:rFonts w:ascii="Georgia" w:hAnsi="Georgia"/>
                <w:color w:val="1A1A1A"/>
                <w:sz w:val="18"/>
              </w:rPr>
            </w:r>
          </w:p>
        </w:tc>
        <w:tc>
          <w:tcPr>
            <w:tcW w:type="dxa" w:w="1296"/>
          </w:tcPr>
          <w:p>
            <w:pPr>
              <w:spacing w:after="40"/>
            </w:pPr>
            <w:r/>
            <w:r>
              <w:rPr>
                <w:rFonts w:ascii="Georgia" w:hAnsi="Georgia"/>
                <w:color w:val="1A1A1A"/>
                <w:sz w:val="18"/>
              </w:rPr>
            </w:r>
          </w:p>
        </w:tc>
        <w:tc>
          <w:tcPr>
            <w:tcW w:type="dxa" w:w="1152"/>
          </w:tcPr>
          <w:p>
            <w:pPr>
              <w:spacing w:after="40"/>
            </w:pPr>
            <w:r/>
            <w:r>
              <w:rPr>
                <w:rFonts w:ascii="Georgia" w:hAnsi="Georgia"/>
                <w:color w:val="1A1A1A"/>
                <w:sz w:val="18"/>
              </w:rPr>
            </w:r>
          </w:p>
        </w:tc>
        <w:tc>
          <w:tcPr>
            <w:tcW w:type="dxa" w:w="1296"/>
          </w:tcPr>
          <w:p>
            <w:pPr>
              <w:spacing w:after="40"/>
            </w:pPr>
            <w:r/>
            <w:r>
              <w:rPr>
                <w:rFonts w:ascii="Georgia" w:hAnsi="Georgia"/>
                <w:color w:val="1A1A1A"/>
                <w:sz w:val="18"/>
              </w:rPr>
            </w:r>
          </w:p>
        </w:tc>
        <w:tc>
          <w:tcPr>
            <w:tcW w:type="dxa" w:w="3600"/>
          </w:tcPr>
          <w:p>
            <w:pPr>
              <w:spacing w:after="40"/>
            </w:pPr>
            <w:r/>
            <w:r>
              <w:rPr>
                <w:rFonts w:ascii="Georgia" w:hAnsi="Georgia"/>
                <w:color w:val="1A1A1A"/>
                <w:sz w:val="18"/>
              </w:rPr>
            </w:r>
          </w:p>
        </w:tc>
      </w:tr>
      <w:tr>
        <w:tc>
          <w:tcPr>
            <w:tcW w:type="dxa" w:w="864"/>
            <w:shd w:val="clear" w:color="auto" w:fill="F2F2F2"/>
          </w:tcPr>
          <w:p>
            <w:pPr>
              <w:spacing w:after="40"/>
            </w:pPr>
            <w:r/>
            <w:r>
              <w:rPr>
                <w:rFonts w:ascii="Georgia" w:hAnsi="Georgia"/>
                <w:color w:val="1A1A1A"/>
                <w:sz w:val="18"/>
              </w:rPr>
              <w:t>Apr 2018</w:t>
            </w:r>
          </w:p>
        </w:tc>
        <w:tc>
          <w:tcPr>
            <w:tcW w:type="dxa" w:w="1008"/>
            <w:shd w:val="clear" w:color="auto" w:fill="F2F2F2"/>
          </w:tcPr>
          <w:p>
            <w:pPr>
              <w:spacing w:after="40"/>
            </w:pPr>
            <w:r/>
            <w:r>
              <w:rPr>
                <w:rFonts w:ascii="Georgia" w:hAnsi="Georgia"/>
                <w:color w:val="1A1A1A"/>
                <w:sz w:val="18"/>
              </w:rPr>
              <w:t>PFE</w:t>
            </w:r>
          </w:p>
        </w:tc>
        <w:tc>
          <w:tcPr>
            <w:tcW w:type="dxa" w:w="1584"/>
            <w:shd w:val="clear" w:color="auto" w:fill="F2F2F2"/>
          </w:tcPr>
          <w:p>
            <w:pPr>
              <w:spacing w:after="40"/>
            </w:pPr>
            <w:r/>
            <w:r>
              <w:rPr>
                <w:rFonts w:ascii="Georgia" w:hAnsi="Georgia"/>
                <w:color w:val="1A1A1A"/>
                <w:sz w:val="18"/>
              </w:rPr>
              <w:t>Atomwise</w:t>
            </w:r>
          </w:p>
        </w:tc>
        <w:tc>
          <w:tcPr>
            <w:tcW w:type="dxa" w:w="1296"/>
            <w:shd w:val="clear" w:color="auto" w:fill="F2F2F2"/>
          </w:tcPr>
          <w:p>
            <w:pPr>
              <w:spacing w:after="40"/>
            </w:pPr>
            <w:r/>
            <w:r>
              <w:rPr>
                <w:rFonts w:ascii="Georgia" w:hAnsi="Georgia"/>
                <w:color w:val="1A1A1A"/>
                <w:sz w:val="18"/>
              </w:rPr>
              <w:t>Collab</w:t>
            </w:r>
          </w:p>
        </w:tc>
        <w:tc>
          <w:tcPr>
            <w:tcW w:type="dxa" w:w="1152"/>
            <w:shd w:val="clear" w:color="auto" w:fill="F2F2F2"/>
          </w:tcPr>
          <w:p>
            <w:pPr>
              <w:spacing w:after="40"/>
            </w:pPr>
            <w:r/>
            <w:r>
              <w:rPr>
                <w:rFonts w:ascii="Georgia" w:hAnsi="Georgia"/>
                <w:color w:val="1A1A1A"/>
                <w:sz w:val="18"/>
              </w:rPr>
              <w:t>~$1M/target</w:t>
            </w:r>
          </w:p>
        </w:tc>
        <w:tc>
          <w:tcPr>
            <w:tcW w:type="dxa" w:w="1296"/>
            <w:shd w:val="clear" w:color="auto" w:fill="F2F2F2"/>
          </w:tcPr>
          <w:p>
            <w:pPr>
              <w:spacing w:after="40"/>
            </w:pPr>
            <w:r/>
            <w:r>
              <w:rPr>
                <w:rFonts w:ascii="Georgia" w:hAnsi="Georgia"/>
                <w:color w:val="1A1A1A"/>
                <w:sz w:val="18"/>
              </w:rPr>
              <w:t>n/d</w:t>
            </w:r>
          </w:p>
        </w:tc>
        <w:tc>
          <w:tcPr>
            <w:tcW w:type="dxa" w:w="3600"/>
            <w:shd w:val="clear" w:color="auto" w:fill="F2F2F2"/>
          </w:tcPr>
          <w:p>
            <w:pPr>
              <w:spacing w:after="40"/>
            </w:pPr>
            <w:r/>
            <w:r>
              <w:rPr>
                <w:rFonts w:ascii="Georgia" w:hAnsi="Georgia"/>
                <w:color w:val="1A1A1A"/>
                <w:sz w:val="18"/>
              </w:rPr>
              <w:t>Archetype low-up / per-milestone deal [DL-052]</w:t>
            </w:r>
          </w:p>
        </w:tc>
      </w:tr>
      <w:tr>
        <w:tc>
          <w:tcPr>
            <w:tcW w:type="dxa" w:w="864"/>
          </w:tcPr>
          <w:p>
            <w:pPr>
              <w:spacing w:after="40"/>
            </w:pPr>
            <w:r/>
            <w:r>
              <w:rPr>
                <w:rFonts w:ascii="Georgia" w:hAnsi="Georgia"/>
                <w:color w:val="1A1A1A"/>
                <w:sz w:val="18"/>
              </w:rPr>
              <w:t>May 2019</w:t>
            </w:r>
          </w:p>
        </w:tc>
        <w:tc>
          <w:tcPr>
            <w:tcW w:type="dxa" w:w="1008"/>
          </w:tcPr>
          <w:p>
            <w:pPr>
              <w:spacing w:after="40"/>
            </w:pPr>
            <w:r/>
            <w:r>
              <w:rPr>
                <w:rFonts w:ascii="Georgia" w:hAnsi="Georgia"/>
                <w:color w:val="1A1A1A"/>
                <w:sz w:val="18"/>
              </w:rPr>
              <w:t>LLY</w:t>
            </w:r>
          </w:p>
        </w:tc>
        <w:tc>
          <w:tcPr>
            <w:tcW w:type="dxa" w:w="1584"/>
          </w:tcPr>
          <w:p>
            <w:pPr>
              <w:spacing w:after="40"/>
            </w:pPr>
            <w:r/>
            <w:r>
              <w:rPr>
                <w:rFonts w:ascii="Georgia" w:hAnsi="Georgia"/>
                <w:color w:val="1A1A1A"/>
                <w:sz w:val="18"/>
              </w:rPr>
              <w:t>Atomwise</w:t>
            </w:r>
          </w:p>
        </w:tc>
        <w:tc>
          <w:tcPr>
            <w:tcW w:type="dxa" w:w="1296"/>
          </w:tcPr>
          <w:p>
            <w:pPr>
              <w:spacing w:after="40"/>
            </w:pPr>
            <w:r/>
            <w:r>
              <w:rPr>
                <w:rFonts w:ascii="Georgia" w:hAnsi="Georgia"/>
                <w:color w:val="1A1A1A"/>
                <w:sz w:val="18"/>
              </w:rPr>
              <w:t>Collab</w:t>
            </w:r>
          </w:p>
        </w:tc>
        <w:tc>
          <w:tcPr>
            <w:tcW w:type="dxa" w:w="1152"/>
          </w:tcPr>
          <w:p>
            <w:pPr>
              <w:spacing w:after="40"/>
            </w:pPr>
            <w:r/>
            <w:r>
              <w:rPr>
                <w:rFonts w:ascii="Georgia" w:hAnsi="Georgia"/>
                <w:color w:val="1A1A1A"/>
                <w:sz w:val="18"/>
              </w:rPr>
              <w:t>~$1M/target</w:t>
            </w:r>
          </w:p>
        </w:tc>
        <w:tc>
          <w:tcPr>
            <w:tcW w:type="dxa" w:w="1296"/>
          </w:tcPr>
          <w:p>
            <w:pPr>
              <w:spacing w:after="40"/>
            </w:pPr>
            <w:r/>
            <w:r>
              <w:rPr>
                <w:rFonts w:ascii="Georgia" w:hAnsi="Georgia"/>
                <w:color w:val="1A1A1A"/>
                <w:sz w:val="18"/>
              </w:rPr>
              <w:t>n/d</w:t>
            </w:r>
          </w:p>
        </w:tc>
        <w:tc>
          <w:tcPr>
            <w:tcW w:type="dxa" w:w="3600"/>
          </w:tcPr>
          <w:p>
            <w:pPr>
              <w:spacing w:after="40"/>
            </w:pPr>
            <w:r/>
            <w:r>
              <w:rPr>
                <w:rFonts w:ascii="Georgia" w:hAnsi="Georgia"/>
                <w:color w:val="1A1A1A"/>
                <w:sz w:val="18"/>
              </w:rPr>
              <w:t>Same template, second covered name [DL-053]</w:t>
            </w:r>
          </w:p>
        </w:tc>
      </w:tr>
      <w:tr>
        <w:tc>
          <w:tcPr>
            <w:tcW w:type="dxa" w:w="864"/>
            <w:shd w:val="clear" w:color="auto" w:fill="F2F2F2"/>
          </w:tcPr>
          <w:p>
            <w:pPr>
              <w:spacing w:after="40"/>
            </w:pPr>
            <w:r/>
            <w:r>
              <w:rPr>
                <w:rFonts w:ascii="Georgia" w:hAnsi="Georgia"/>
                <w:color w:val="1A1A1A"/>
                <w:sz w:val="18"/>
              </w:rPr>
              <w:t>Jul 2019</w:t>
            </w:r>
          </w:p>
        </w:tc>
        <w:tc>
          <w:tcPr>
            <w:tcW w:type="dxa" w:w="1008"/>
            <w:shd w:val="clear" w:color="auto" w:fill="F2F2F2"/>
          </w:tcPr>
          <w:p>
            <w:pPr>
              <w:spacing w:after="40"/>
            </w:pPr>
            <w:r/>
            <w:r>
              <w:rPr>
                <w:rFonts w:ascii="Georgia" w:hAnsi="Georgia"/>
                <w:color w:val="1A1A1A"/>
                <w:sz w:val="18"/>
              </w:rPr>
              <w:t>BMY</w:t>
            </w:r>
          </w:p>
        </w:tc>
        <w:tc>
          <w:tcPr>
            <w:tcW w:type="dxa" w:w="1584"/>
            <w:shd w:val="clear" w:color="auto" w:fill="F2F2F2"/>
          </w:tcPr>
          <w:p>
            <w:pPr>
              <w:spacing w:after="40"/>
            </w:pPr>
            <w:r/>
            <w:r>
              <w:rPr>
                <w:rFonts w:ascii="Georgia" w:hAnsi="Georgia"/>
                <w:color w:val="1A1A1A"/>
                <w:sz w:val="18"/>
              </w:rPr>
              <w:t>Exscientia</w:t>
            </w:r>
          </w:p>
        </w:tc>
        <w:tc>
          <w:tcPr>
            <w:tcW w:type="dxa" w:w="1296"/>
            <w:shd w:val="clear" w:color="auto" w:fill="F2F2F2"/>
          </w:tcPr>
          <w:p>
            <w:pPr>
              <w:spacing w:after="40"/>
            </w:pPr>
            <w:r/>
            <w:r>
              <w:rPr>
                <w:rFonts w:ascii="Georgia" w:hAnsi="Georgia"/>
                <w:color w:val="1A1A1A"/>
                <w:sz w:val="18"/>
              </w:rPr>
              <w:t>Multi-target</w:t>
            </w:r>
          </w:p>
        </w:tc>
        <w:tc>
          <w:tcPr>
            <w:tcW w:type="dxa" w:w="1152"/>
            <w:shd w:val="clear" w:color="auto" w:fill="F2F2F2"/>
          </w:tcPr>
          <w:p>
            <w:pPr>
              <w:spacing w:after="40"/>
            </w:pPr>
            <w:r/>
            <w:r>
              <w:rPr>
                <w:rFonts w:ascii="Georgia" w:hAnsi="Georgia"/>
                <w:color w:val="1A1A1A"/>
                <w:sz w:val="18"/>
              </w:rPr>
              <w:t>n/d</w:t>
            </w:r>
          </w:p>
        </w:tc>
        <w:tc>
          <w:tcPr>
            <w:tcW w:type="dxa" w:w="1296"/>
            <w:shd w:val="clear" w:color="auto" w:fill="F2F2F2"/>
          </w:tcPr>
          <w:p>
            <w:pPr>
              <w:spacing w:after="40"/>
            </w:pPr>
            <w:r/>
            <w:r>
              <w:rPr>
                <w:rFonts w:ascii="Georgia" w:hAnsi="Georgia"/>
                <w:color w:val="1A1A1A"/>
                <w:sz w:val="18"/>
              </w:rPr>
              <w:t>n/d</w:t>
            </w:r>
          </w:p>
        </w:tc>
        <w:tc>
          <w:tcPr>
            <w:tcW w:type="dxa" w:w="3600"/>
            <w:shd w:val="clear" w:color="auto" w:fill="F2F2F2"/>
          </w:tcPr>
          <w:p>
            <w:pPr>
              <w:spacing w:after="40"/>
            </w:pPr>
            <w:r/>
            <w:r>
              <w:rPr>
                <w:rFonts w:ascii="Georgia" w:hAnsi="Georgia"/>
                <w:color w:val="1A1A1A"/>
                <w:sz w:val="18"/>
              </w:rPr>
              <w:t>First multi-target collab with UK AI-native; gone quiet [DL-054]</w:t>
            </w:r>
          </w:p>
        </w:tc>
      </w:tr>
      <w:tr>
        <w:tc>
          <w:tcPr>
            <w:tcW w:type="dxa" w:w="864"/>
          </w:tcPr>
          <w:p>
            <w:pPr>
              <w:spacing w:after="40"/>
            </w:pPr>
            <w:r/>
            <w:r>
              <w:rPr>
                <w:rFonts w:ascii="Georgia" w:hAnsi="Georgia"/>
                <w:color w:val="1A1A1A"/>
                <w:sz w:val="18"/>
              </w:rPr>
              <w:t>Jan 2020</w:t>
            </w:r>
          </w:p>
        </w:tc>
        <w:tc>
          <w:tcPr>
            <w:tcW w:type="dxa" w:w="1008"/>
          </w:tcPr>
          <w:p>
            <w:pPr>
              <w:spacing w:after="40"/>
            </w:pPr>
            <w:r/>
            <w:r>
              <w:rPr>
                <w:rFonts w:ascii="Georgia" w:hAnsi="Georgia"/>
                <w:color w:val="1A1A1A"/>
                <w:sz w:val="18"/>
              </w:rPr>
              <w:t>Sumitomo</w:t>
            </w:r>
          </w:p>
        </w:tc>
        <w:tc>
          <w:tcPr>
            <w:tcW w:type="dxa" w:w="1584"/>
          </w:tcPr>
          <w:p>
            <w:pPr>
              <w:spacing w:after="40"/>
            </w:pPr>
            <w:r/>
            <w:r>
              <w:rPr>
                <w:rFonts w:ascii="Georgia" w:hAnsi="Georgia"/>
                <w:color w:val="1A1A1A"/>
                <w:sz w:val="18"/>
              </w:rPr>
              <w:t>Exscientia</w:t>
            </w:r>
          </w:p>
        </w:tc>
        <w:tc>
          <w:tcPr>
            <w:tcW w:type="dxa" w:w="1296"/>
          </w:tcPr>
          <w:p>
            <w:pPr>
              <w:spacing w:after="40"/>
            </w:pPr>
            <w:r/>
            <w:r>
              <w:rPr>
                <w:rFonts w:ascii="Georgia" w:hAnsi="Georgia"/>
                <w:color w:val="1A1A1A"/>
                <w:sz w:val="18"/>
              </w:rPr>
              <w:t>Asset</w:t>
            </w:r>
          </w:p>
        </w:tc>
        <w:tc>
          <w:tcPr>
            <w:tcW w:type="dxa" w:w="1152"/>
          </w:tcPr>
          <w:p>
            <w:pPr>
              <w:spacing w:after="40"/>
            </w:pPr>
            <w:r/>
            <w:r>
              <w:rPr>
                <w:rFonts w:ascii="Georgia" w:hAnsi="Georgia"/>
                <w:color w:val="1A1A1A"/>
                <w:sz w:val="18"/>
              </w:rPr>
              <w:t>n/d</w:t>
            </w:r>
          </w:p>
        </w:tc>
        <w:tc>
          <w:tcPr>
            <w:tcW w:type="dxa" w:w="1296"/>
          </w:tcPr>
          <w:p>
            <w:pPr>
              <w:spacing w:after="40"/>
            </w:pPr>
            <w:r/>
            <w:r>
              <w:rPr>
                <w:rFonts w:ascii="Georgia" w:hAnsi="Georgia"/>
                <w:color w:val="1A1A1A"/>
                <w:sz w:val="18"/>
              </w:rPr>
              <w:t>n/d</w:t>
            </w:r>
          </w:p>
        </w:tc>
        <w:tc>
          <w:tcPr>
            <w:tcW w:type="dxa" w:w="3600"/>
          </w:tcPr>
          <w:p>
            <w:pPr>
              <w:spacing w:after="40"/>
            </w:pPr>
            <w:r/>
            <w:r>
              <w:rPr>
                <w:rFonts w:ascii="Georgia" w:hAnsi="Georgia"/>
                <w:color w:val="1A1A1A"/>
                <w:sz w:val="18"/>
              </w:rPr>
              <w:t>DSP-1181 — first AI-designed Phase 1 drug; DISCONTINUED Jul 2022 [DL-056]</w:t>
            </w:r>
          </w:p>
        </w:tc>
      </w:tr>
      <w:tr>
        <w:tc>
          <w:tcPr>
            <w:tcW w:type="dxa" w:w="864"/>
            <w:shd w:val="clear" w:color="auto" w:fill="F2F2F2"/>
          </w:tcPr>
          <w:p>
            <w:pPr>
              <w:spacing w:after="40"/>
            </w:pPr>
            <w:r/>
            <w:r>
              <w:rPr>
                <w:rFonts w:ascii="Georgia" w:hAnsi="Georgia"/>
                <w:color w:val="1A1A1A"/>
                <w:sz w:val="18"/>
              </w:rPr>
              <w:t>Jan 2020</w:t>
            </w:r>
          </w:p>
        </w:tc>
        <w:tc>
          <w:tcPr>
            <w:tcW w:type="dxa" w:w="1008"/>
            <w:shd w:val="clear" w:color="auto" w:fill="F2F2F2"/>
          </w:tcPr>
          <w:p>
            <w:pPr>
              <w:spacing w:after="40"/>
            </w:pPr>
            <w:r/>
            <w:r>
              <w:rPr>
                <w:rFonts w:ascii="Georgia" w:hAnsi="Georgia"/>
                <w:color w:val="1A1A1A"/>
                <w:sz w:val="18"/>
              </w:rPr>
              <w:t>Bayer</w:t>
            </w:r>
          </w:p>
        </w:tc>
        <w:tc>
          <w:tcPr>
            <w:tcW w:type="dxa" w:w="1584"/>
            <w:shd w:val="clear" w:color="auto" w:fill="F2F2F2"/>
          </w:tcPr>
          <w:p>
            <w:pPr>
              <w:spacing w:after="40"/>
            </w:pPr>
            <w:r/>
            <w:r>
              <w:rPr>
                <w:rFonts w:ascii="Georgia" w:hAnsi="Georgia"/>
                <w:color w:val="1A1A1A"/>
                <w:sz w:val="18"/>
              </w:rPr>
              <w:t>Exscientia</w:t>
            </w:r>
          </w:p>
        </w:tc>
        <w:tc>
          <w:tcPr>
            <w:tcW w:type="dxa" w:w="1296"/>
            <w:shd w:val="clear" w:color="auto" w:fill="F2F2F2"/>
          </w:tcPr>
          <w:p>
            <w:pPr>
              <w:spacing w:after="40"/>
            </w:pPr>
            <w:r/>
            <w:r>
              <w:rPr>
                <w:rFonts w:ascii="Georgia" w:hAnsi="Georgia"/>
                <w:color w:val="1A1A1A"/>
                <w:sz w:val="18"/>
              </w:rPr>
              <w:t>Multi-target</w:t>
            </w:r>
          </w:p>
        </w:tc>
        <w:tc>
          <w:tcPr>
            <w:tcW w:type="dxa" w:w="1152"/>
            <w:shd w:val="clear" w:color="auto" w:fill="F2F2F2"/>
          </w:tcPr>
          <w:p>
            <w:pPr>
              <w:spacing w:after="40"/>
            </w:pPr>
            <w:r/>
            <w:r>
              <w:rPr>
                <w:rFonts w:ascii="Georgia" w:hAnsi="Georgia"/>
                <w:color w:val="1A1A1A"/>
                <w:sz w:val="18"/>
              </w:rPr>
              <w:t>n/d</w:t>
            </w:r>
          </w:p>
        </w:tc>
        <w:tc>
          <w:tcPr>
            <w:tcW w:type="dxa" w:w="1296"/>
            <w:shd w:val="clear" w:color="auto" w:fill="F2F2F2"/>
          </w:tcPr>
          <w:p>
            <w:pPr>
              <w:spacing w:after="40"/>
            </w:pPr>
            <w:r/>
            <w:r>
              <w:rPr>
                <w:rFonts w:ascii="Georgia" w:hAnsi="Georgia"/>
                <w:color w:val="1A1A1A"/>
                <w:sz w:val="18"/>
              </w:rPr>
              <w:t>€240M</w:t>
            </w:r>
          </w:p>
        </w:tc>
        <w:tc>
          <w:tcPr>
            <w:tcW w:type="dxa" w:w="3600"/>
            <w:shd w:val="clear" w:color="auto" w:fill="F2F2F2"/>
          </w:tcPr>
          <w:p>
            <w:pPr>
              <w:spacing w:after="40"/>
            </w:pPr>
            <w:r/>
            <w:r>
              <w:rPr>
                <w:rFonts w:ascii="Georgia" w:hAnsi="Georgia"/>
                <w:color w:val="1A1A1A"/>
                <w:sz w:val="18"/>
              </w:rPr>
              <w:t>TERMINATED — disconfirming [DL-029]</w:t>
            </w:r>
          </w:p>
        </w:tc>
      </w:tr>
      <w:tr>
        <w:tc>
          <w:tcPr>
            <w:tcW w:type="dxa" w:w="864"/>
          </w:tcPr>
          <w:p>
            <w:pPr>
              <w:spacing w:after="40"/>
            </w:pPr>
            <w:r/>
            <w:r>
              <w:rPr>
                <w:rFonts w:ascii="Georgia" w:hAnsi="Georgia"/>
                <w:color w:val="1A1A1A"/>
                <w:sz w:val="18"/>
              </w:rPr>
              <w:t>—</w:t>
            </w:r>
          </w:p>
        </w:tc>
        <w:tc>
          <w:tcPr>
            <w:tcW w:type="dxa" w:w="1008"/>
          </w:tcPr>
          <w:p>
            <w:pPr>
              <w:spacing w:after="40"/>
            </w:pPr>
            <w:r/>
            <w:r>
              <w:rPr>
                <w:rFonts w:ascii="Georgia" w:hAnsi="Georgia"/>
                <w:color w:val="1A1A1A"/>
                <w:sz w:val="18"/>
              </w:rPr>
              <w:t>2021 — Post-AlphaFold-2 inflection</w:t>
            </w:r>
          </w:p>
        </w:tc>
        <w:tc>
          <w:tcPr>
            <w:tcW w:type="dxa" w:w="1584"/>
          </w:tcPr>
          <w:p>
            <w:pPr>
              <w:spacing w:after="40"/>
            </w:pPr>
            <w:r/>
            <w:r>
              <w:rPr>
                <w:rFonts w:ascii="Georgia" w:hAnsi="Georgia"/>
                <w:color w:val="1A1A1A"/>
                <w:sz w:val="18"/>
              </w:rPr>
            </w:r>
          </w:p>
        </w:tc>
        <w:tc>
          <w:tcPr>
            <w:tcW w:type="dxa" w:w="1296"/>
          </w:tcPr>
          <w:p>
            <w:pPr>
              <w:spacing w:after="40"/>
            </w:pPr>
            <w:r/>
            <w:r>
              <w:rPr>
                <w:rFonts w:ascii="Georgia" w:hAnsi="Georgia"/>
                <w:color w:val="1A1A1A"/>
                <w:sz w:val="18"/>
              </w:rPr>
            </w:r>
          </w:p>
        </w:tc>
        <w:tc>
          <w:tcPr>
            <w:tcW w:type="dxa" w:w="1152"/>
          </w:tcPr>
          <w:p>
            <w:pPr>
              <w:spacing w:after="40"/>
            </w:pPr>
            <w:r/>
            <w:r>
              <w:rPr>
                <w:rFonts w:ascii="Georgia" w:hAnsi="Georgia"/>
                <w:color w:val="1A1A1A"/>
                <w:sz w:val="18"/>
              </w:rPr>
            </w:r>
          </w:p>
        </w:tc>
        <w:tc>
          <w:tcPr>
            <w:tcW w:type="dxa" w:w="1296"/>
          </w:tcPr>
          <w:p>
            <w:pPr>
              <w:spacing w:after="40"/>
            </w:pPr>
            <w:r/>
            <w:r>
              <w:rPr>
                <w:rFonts w:ascii="Georgia" w:hAnsi="Georgia"/>
                <w:color w:val="1A1A1A"/>
                <w:sz w:val="18"/>
              </w:rPr>
            </w:r>
          </w:p>
        </w:tc>
        <w:tc>
          <w:tcPr>
            <w:tcW w:type="dxa" w:w="3600"/>
          </w:tcPr>
          <w:p>
            <w:pPr>
              <w:spacing w:after="40"/>
            </w:pPr>
            <w:r/>
            <w:r>
              <w:rPr>
                <w:rFonts w:ascii="Georgia" w:hAnsi="Georgia"/>
                <w:color w:val="1A1A1A"/>
                <w:sz w:val="18"/>
              </w:rPr>
            </w:r>
          </w:p>
        </w:tc>
      </w:tr>
      <w:tr>
        <w:tc>
          <w:tcPr>
            <w:tcW w:type="dxa" w:w="864"/>
            <w:shd w:val="clear" w:color="auto" w:fill="F2F2F2"/>
          </w:tcPr>
          <w:p>
            <w:pPr>
              <w:spacing w:after="40"/>
            </w:pPr>
            <w:r/>
            <w:r>
              <w:rPr>
                <w:rFonts w:ascii="Georgia" w:hAnsi="Georgia"/>
                <w:color w:val="1A1A1A"/>
                <w:sz w:val="18"/>
              </w:rPr>
              <w:t>Dec 2020</w:t>
            </w:r>
          </w:p>
        </w:tc>
        <w:tc>
          <w:tcPr>
            <w:tcW w:type="dxa" w:w="1008"/>
            <w:shd w:val="clear" w:color="auto" w:fill="F2F2F2"/>
          </w:tcPr>
          <w:p>
            <w:pPr>
              <w:spacing w:after="40"/>
            </w:pPr>
            <w:r/>
            <w:r>
              <w:rPr>
                <w:rFonts w:ascii="Georgia" w:hAnsi="Georgia"/>
                <w:color w:val="1A1A1A"/>
                <w:sz w:val="18"/>
              </w:rPr>
              <w:t>Bayer</w:t>
            </w:r>
          </w:p>
        </w:tc>
        <w:tc>
          <w:tcPr>
            <w:tcW w:type="dxa" w:w="1584"/>
            <w:shd w:val="clear" w:color="auto" w:fill="F2F2F2"/>
          </w:tcPr>
          <w:p>
            <w:pPr>
              <w:spacing w:after="40"/>
            </w:pPr>
            <w:r/>
            <w:r>
              <w:rPr>
                <w:rFonts w:ascii="Georgia" w:hAnsi="Georgia"/>
                <w:color w:val="1A1A1A"/>
                <w:sz w:val="18"/>
              </w:rPr>
              <w:t>Recursion</w:t>
            </w:r>
          </w:p>
        </w:tc>
        <w:tc>
          <w:tcPr>
            <w:tcW w:type="dxa" w:w="1296"/>
            <w:shd w:val="clear" w:color="auto" w:fill="F2F2F2"/>
          </w:tcPr>
          <w:p>
            <w:pPr>
              <w:spacing w:after="40"/>
            </w:pPr>
            <w:r/>
            <w:r>
              <w:rPr>
                <w:rFonts w:ascii="Georgia" w:hAnsi="Georgia"/>
                <w:color w:val="1A1A1A"/>
                <w:sz w:val="18"/>
              </w:rPr>
              <w:t>Platform</w:t>
            </w:r>
          </w:p>
        </w:tc>
        <w:tc>
          <w:tcPr>
            <w:tcW w:type="dxa" w:w="1152"/>
            <w:shd w:val="clear" w:color="auto" w:fill="F2F2F2"/>
          </w:tcPr>
          <w:p>
            <w:pPr>
              <w:spacing w:after="40"/>
            </w:pPr>
            <w:r/>
            <w:r>
              <w:rPr>
                <w:rFonts w:ascii="Georgia" w:hAnsi="Georgia"/>
                <w:color w:val="1A1A1A"/>
                <w:sz w:val="18"/>
              </w:rPr>
              <w:t>$30M</w:t>
            </w:r>
          </w:p>
        </w:tc>
        <w:tc>
          <w:tcPr>
            <w:tcW w:type="dxa" w:w="1296"/>
            <w:shd w:val="clear" w:color="auto" w:fill="F2F2F2"/>
          </w:tcPr>
          <w:p>
            <w:pPr>
              <w:spacing w:after="40"/>
            </w:pPr>
            <w:r/>
            <w:r>
              <w:rPr>
                <w:rFonts w:ascii="Georgia" w:hAnsi="Georgia"/>
                <w:color w:val="1A1A1A"/>
                <w:sz w:val="18"/>
              </w:rPr>
              <w:t>$50M+</w:t>
            </w:r>
          </w:p>
        </w:tc>
        <w:tc>
          <w:tcPr>
            <w:tcW w:type="dxa" w:w="3600"/>
            <w:shd w:val="clear" w:color="auto" w:fill="F2F2F2"/>
          </w:tcPr>
          <w:p>
            <w:pPr>
              <w:spacing w:after="40"/>
            </w:pPr>
            <w:r/>
            <w:r>
              <w:rPr>
                <w:rFonts w:ascii="Georgia" w:hAnsi="Georgia"/>
                <w:color w:val="1A1A1A"/>
                <w:sz w:val="18"/>
              </w:rPr>
              <w:t>Multi-stage fibrosis collaboration [DL-014]</w:t>
            </w:r>
          </w:p>
        </w:tc>
      </w:tr>
      <w:tr>
        <w:tc>
          <w:tcPr>
            <w:tcW w:type="dxa" w:w="864"/>
          </w:tcPr>
          <w:p>
            <w:pPr>
              <w:spacing w:after="40"/>
            </w:pPr>
            <w:r/>
            <w:r>
              <w:rPr>
                <w:rFonts w:ascii="Georgia" w:hAnsi="Georgia"/>
                <w:color w:val="1A1A1A"/>
                <w:sz w:val="18"/>
              </w:rPr>
              <w:t>Dec 2021</w:t>
            </w:r>
          </w:p>
        </w:tc>
        <w:tc>
          <w:tcPr>
            <w:tcW w:type="dxa" w:w="1008"/>
          </w:tcPr>
          <w:p>
            <w:pPr>
              <w:spacing w:after="40"/>
            </w:pPr>
            <w:r/>
            <w:r>
              <w:rPr>
                <w:rFonts w:ascii="Georgia" w:hAnsi="Georgia"/>
                <w:color w:val="1A1A1A"/>
                <w:sz w:val="18"/>
              </w:rPr>
              <w:t>Roche/Gen</w:t>
            </w:r>
          </w:p>
        </w:tc>
        <w:tc>
          <w:tcPr>
            <w:tcW w:type="dxa" w:w="1584"/>
          </w:tcPr>
          <w:p>
            <w:pPr>
              <w:spacing w:after="40"/>
            </w:pPr>
            <w:r/>
            <w:r>
              <w:rPr>
                <w:rFonts w:ascii="Georgia" w:hAnsi="Georgia"/>
                <w:color w:val="1A1A1A"/>
                <w:sz w:val="18"/>
              </w:rPr>
              <w:t>Recursion</w:t>
            </w:r>
          </w:p>
        </w:tc>
        <w:tc>
          <w:tcPr>
            <w:tcW w:type="dxa" w:w="1296"/>
          </w:tcPr>
          <w:p>
            <w:pPr>
              <w:spacing w:after="40"/>
            </w:pPr>
            <w:r/>
            <w:r>
              <w:rPr>
                <w:rFonts w:ascii="Georgia" w:hAnsi="Georgia"/>
                <w:color w:val="1A1A1A"/>
                <w:sz w:val="18"/>
              </w:rPr>
              <w:t>Platform</w:t>
            </w:r>
          </w:p>
        </w:tc>
        <w:tc>
          <w:tcPr>
            <w:tcW w:type="dxa" w:w="1152"/>
          </w:tcPr>
          <w:p>
            <w:pPr>
              <w:spacing w:after="40"/>
            </w:pPr>
            <w:r/>
            <w:r>
              <w:rPr>
                <w:rFonts w:ascii="Georgia" w:hAnsi="Georgia"/>
                <w:color w:val="1A1A1A"/>
                <w:sz w:val="18"/>
              </w:rPr>
              <w:t>$150M</w:t>
            </w:r>
          </w:p>
        </w:tc>
        <w:tc>
          <w:tcPr>
            <w:tcW w:type="dxa" w:w="1296"/>
          </w:tcPr>
          <w:p>
            <w:pPr>
              <w:spacing w:after="40"/>
            </w:pPr>
            <w:r/>
            <w:r>
              <w:rPr>
                <w:rFonts w:ascii="Georgia" w:hAnsi="Georgia"/>
                <w:color w:val="1A1A1A"/>
                <w:sz w:val="18"/>
              </w:rPr>
              <w:t>$300M+/program × 40</w:t>
            </w:r>
          </w:p>
        </w:tc>
        <w:tc>
          <w:tcPr>
            <w:tcW w:type="dxa" w:w="3600"/>
          </w:tcPr>
          <w:p>
            <w:pPr>
              <w:spacing w:after="40"/>
            </w:pPr>
            <w:r/>
            <w:r>
              <w:rPr>
                <w:rFonts w:ascii="Georgia" w:hAnsi="Georgia"/>
                <w:color w:val="1A1A1A"/>
                <w:sz w:val="18"/>
              </w:rPr>
              <w:t>Structural inflection — first nine-figure-up platform deal [DL-004]</w:t>
            </w:r>
          </w:p>
        </w:tc>
      </w:tr>
      <w:tr>
        <w:tc>
          <w:tcPr>
            <w:tcW w:type="dxa" w:w="864"/>
            <w:shd w:val="clear" w:color="auto" w:fill="F2F2F2"/>
          </w:tcPr>
          <w:p>
            <w:pPr>
              <w:spacing w:after="40"/>
            </w:pPr>
            <w:r/>
            <w:r>
              <w:rPr>
                <w:rFonts w:ascii="Georgia" w:hAnsi="Georgia"/>
                <w:color w:val="1A1A1A"/>
                <w:sz w:val="18"/>
              </w:rPr>
              <w:t>—</w:t>
            </w:r>
          </w:p>
        </w:tc>
        <w:tc>
          <w:tcPr>
            <w:tcW w:type="dxa" w:w="1008"/>
            <w:shd w:val="clear" w:color="auto" w:fill="F2F2F2"/>
          </w:tcPr>
          <w:p>
            <w:pPr>
              <w:spacing w:after="40"/>
            </w:pPr>
            <w:r/>
            <w:r>
              <w:rPr>
                <w:rFonts w:ascii="Georgia" w:hAnsi="Georgia"/>
                <w:color w:val="1A1A1A"/>
                <w:sz w:val="18"/>
              </w:rPr>
              <w:t>2022–2023 — Expansion</w:t>
            </w:r>
          </w:p>
        </w:tc>
        <w:tc>
          <w:tcPr>
            <w:tcW w:type="dxa" w:w="1584"/>
            <w:shd w:val="clear" w:color="auto" w:fill="F2F2F2"/>
          </w:tcPr>
          <w:p>
            <w:pPr>
              <w:spacing w:after="40"/>
            </w:pPr>
            <w:r/>
            <w:r>
              <w:rPr>
                <w:rFonts w:ascii="Georgia" w:hAnsi="Georgia"/>
                <w:color w:val="1A1A1A"/>
                <w:sz w:val="18"/>
              </w:rPr>
            </w:r>
          </w:p>
        </w:tc>
        <w:tc>
          <w:tcPr>
            <w:tcW w:type="dxa" w:w="1296"/>
            <w:shd w:val="clear" w:color="auto" w:fill="F2F2F2"/>
          </w:tcPr>
          <w:p>
            <w:pPr>
              <w:spacing w:after="40"/>
            </w:pPr>
            <w:r/>
            <w:r>
              <w:rPr>
                <w:rFonts w:ascii="Georgia" w:hAnsi="Georgia"/>
                <w:color w:val="1A1A1A"/>
                <w:sz w:val="18"/>
              </w:rPr>
            </w:r>
          </w:p>
        </w:tc>
        <w:tc>
          <w:tcPr>
            <w:tcW w:type="dxa" w:w="1152"/>
            <w:shd w:val="clear" w:color="auto" w:fill="F2F2F2"/>
          </w:tcPr>
          <w:p>
            <w:pPr>
              <w:spacing w:after="40"/>
            </w:pPr>
            <w:r/>
            <w:r>
              <w:rPr>
                <w:rFonts w:ascii="Georgia" w:hAnsi="Georgia"/>
                <w:color w:val="1A1A1A"/>
                <w:sz w:val="18"/>
              </w:rPr>
            </w:r>
          </w:p>
        </w:tc>
        <w:tc>
          <w:tcPr>
            <w:tcW w:type="dxa" w:w="1296"/>
            <w:shd w:val="clear" w:color="auto" w:fill="F2F2F2"/>
          </w:tcPr>
          <w:p>
            <w:pPr>
              <w:spacing w:after="40"/>
            </w:pPr>
            <w:r/>
            <w:r>
              <w:rPr>
                <w:rFonts w:ascii="Georgia" w:hAnsi="Georgia"/>
                <w:color w:val="1A1A1A"/>
                <w:sz w:val="18"/>
              </w:rPr>
            </w:r>
          </w:p>
        </w:tc>
        <w:tc>
          <w:tcPr>
            <w:tcW w:type="dxa" w:w="3600"/>
            <w:shd w:val="clear" w:color="auto" w:fill="F2F2F2"/>
          </w:tcPr>
          <w:p>
            <w:pPr>
              <w:spacing w:after="40"/>
            </w:pPr>
            <w:r/>
            <w:r>
              <w:rPr>
                <w:rFonts w:ascii="Georgia" w:hAnsi="Georgia"/>
                <w:color w:val="1A1A1A"/>
                <w:sz w:val="18"/>
              </w:rPr>
            </w:r>
          </w:p>
        </w:tc>
      </w:tr>
      <w:tr>
        <w:tc>
          <w:tcPr>
            <w:tcW w:type="dxa" w:w="864"/>
          </w:tcPr>
          <w:p>
            <w:pPr>
              <w:spacing w:after="40"/>
            </w:pPr>
            <w:r/>
            <w:r>
              <w:rPr>
                <w:rFonts w:ascii="Georgia" w:hAnsi="Georgia"/>
                <w:color w:val="1A1A1A"/>
                <w:sz w:val="18"/>
              </w:rPr>
              <w:t>Jan 2022</w:t>
            </w:r>
          </w:p>
        </w:tc>
        <w:tc>
          <w:tcPr>
            <w:tcW w:type="dxa" w:w="1008"/>
          </w:tcPr>
          <w:p>
            <w:pPr>
              <w:spacing w:after="40"/>
            </w:pPr>
            <w:r/>
            <w:r>
              <w:rPr>
                <w:rFonts w:ascii="Georgia" w:hAnsi="Georgia"/>
                <w:color w:val="1A1A1A"/>
                <w:sz w:val="18"/>
              </w:rPr>
              <w:t>AMGN</w:t>
            </w:r>
          </w:p>
        </w:tc>
        <w:tc>
          <w:tcPr>
            <w:tcW w:type="dxa" w:w="1584"/>
          </w:tcPr>
          <w:p>
            <w:pPr>
              <w:spacing w:after="40"/>
            </w:pPr>
            <w:r/>
            <w:r>
              <w:rPr>
                <w:rFonts w:ascii="Georgia" w:hAnsi="Georgia"/>
                <w:color w:val="1A1A1A"/>
                <w:sz w:val="18"/>
              </w:rPr>
              <w:t>Generate Biomedicines</w:t>
            </w:r>
          </w:p>
        </w:tc>
        <w:tc>
          <w:tcPr>
            <w:tcW w:type="dxa" w:w="1296"/>
          </w:tcPr>
          <w:p>
            <w:pPr>
              <w:spacing w:after="40"/>
            </w:pPr>
            <w:r/>
            <w:r>
              <w:rPr>
                <w:rFonts w:ascii="Georgia" w:hAnsi="Georgia"/>
                <w:color w:val="1A1A1A"/>
                <w:sz w:val="18"/>
              </w:rPr>
              <w:t>Platform</w:t>
            </w:r>
          </w:p>
        </w:tc>
        <w:tc>
          <w:tcPr>
            <w:tcW w:type="dxa" w:w="1152"/>
          </w:tcPr>
          <w:p>
            <w:pPr>
              <w:spacing w:after="40"/>
            </w:pPr>
            <w:r/>
            <w:r>
              <w:rPr>
                <w:rFonts w:ascii="Georgia" w:hAnsi="Georgia"/>
                <w:color w:val="1A1A1A"/>
                <w:sz w:val="18"/>
              </w:rPr>
              <w:t>$50M</w:t>
            </w:r>
          </w:p>
        </w:tc>
        <w:tc>
          <w:tcPr>
            <w:tcW w:type="dxa" w:w="1296"/>
          </w:tcPr>
          <w:p>
            <w:pPr>
              <w:spacing w:after="40"/>
            </w:pPr>
            <w:r/>
            <w:r>
              <w:rPr>
                <w:rFonts w:ascii="Georgia" w:hAnsi="Georgia"/>
                <w:color w:val="1A1A1A"/>
                <w:sz w:val="18"/>
              </w:rPr>
              <w:t>$1.9B</w:t>
            </w:r>
          </w:p>
        </w:tc>
        <w:tc>
          <w:tcPr>
            <w:tcW w:type="dxa" w:w="3600"/>
          </w:tcPr>
          <w:p>
            <w:pPr>
              <w:spacing w:after="40"/>
            </w:pPr>
            <w:r/>
            <w:r>
              <w:rPr>
                <w:rFonts w:ascii="Georgia" w:hAnsi="Georgia"/>
                <w:color w:val="1A1A1A"/>
                <w:sz w:val="18"/>
              </w:rPr>
              <w:t>Largest biologics-AI platform deal; no clinical asset yet disclosed [DL-022]</w:t>
            </w:r>
          </w:p>
        </w:tc>
      </w:tr>
      <w:tr>
        <w:tc>
          <w:tcPr>
            <w:tcW w:type="dxa" w:w="864"/>
            <w:shd w:val="clear" w:color="auto" w:fill="F2F2F2"/>
          </w:tcPr>
          <w:p>
            <w:pPr>
              <w:spacing w:after="40"/>
            </w:pPr>
            <w:r/>
            <w:r>
              <w:rPr>
                <w:rFonts w:ascii="Georgia" w:hAnsi="Georgia"/>
                <w:color w:val="1A1A1A"/>
                <w:sz w:val="18"/>
              </w:rPr>
              <w:t>Apr 2022</w:t>
            </w:r>
          </w:p>
        </w:tc>
        <w:tc>
          <w:tcPr>
            <w:tcW w:type="dxa" w:w="1008"/>
            <w:shd w:val="clear" w:color="auto" w:fill="F2F2F2"/>
          </w:tcPr>
          <w:p>
            <w:pPr>
              <w:spacing w:after="40"/>
            </w:pPr>
            <w:r/>
            <w:r>
              <w:rPr>
                <w:rFonts w:ascii="Georgia" w:hAnsi="Georgia"/>
                <w:color w:val="1A1A1A"/>
                <w:sz w:val="18"/>
              </w:rPr>
              <w:t>GSK</w:t>
            </w:r>
          </w:p>
        </w:tc>
        <w:tc>
          <w:tcPr>
            <w:tcW w:type="dxa" w:w="1584"/>
            <w:shd w:val="clear" w:color="auto" w:fill="F2F2F2"/>
          </w:tcPr>
          <w:p>
            <w:pPr>
              <w:spacing w:after="40"/>
            </w:pPr>
            <w:r/>
            <w:r>
              <w:rPr>
                <w:rFonts w:ascii="Georgia" w:hAnsi="Georgia"/>
                <w:color w:val="1A1A1A"/>
                <w:sz w:val="18"/>
              </w:rPr>
              <w:t>Tempus</w:t>
            </w:r>
          </w:p>
        </w:tc>
        <w:tc>
          <w:tcPr>
            <w:tcW w:type="dxa" w:w="1296"/>
            <w:shd w:val="clear" w:color="auto" w:fill="F2F2F2"/>
          </w:tcPr>
          <w:p>
            <w:pPr>
              <w:spacing w:after="40"/>
            </w:pPr>
            <w:r/>
            <w:r>
              <w:rPr>
                <w:rFonts w:ascii="Georgia" w:hAnsi="Georgia"/>
                <w:color w:val="1A1A1A"/>
                <w:sz w:val="18"/>
              </w:rPr>
              <w:t>Data license</w:t>
            </w:r>
          </w:p>
        </w:tc>
        <w:tc>
          <w:tcPr>
            <w:tcW w:type="dxa" w:w="1152"/>
            <w:shd w:val="clear" w:color="auto" w:fill="F2F2F2"/>
          </w:tcPr>
          <w:p>
            <w:pPr>
              <w:spacing w:after="40"/>
            </w:pPr>
            <w:r/>
            <w:r>
              <w:rPr>
                <w:rFonts w:ascii="Georgia" w:hAnsi="Georgia"/>
                <w:color w:val="1A1A1A"/>
                <w:sz w:val="18"/>
              </w:rPr>
              <w:t>$70M</w:t>
            </w:r>
          </w:p>
        </w:tc>
        <w:tc>
          <w:tcPr>
            <w:tcW w:type="dxa" w:w="1296"/>
            <w:shd w:val="clear" w:color="auto" w:fill="F2F2F2"/>
          </w:tcPr>
          <w:p>
            <w:pPr>
              <w:spacing w:after="40"/>
            </w:pPr>
            <w:r/>
            <w:r>
              <w:rPr>
                <w:rFonts w:ascii="Georgia" w:hAnsi="Georgia"/>
                <w:color w:val="1A1A1A"/>
                <w:sz w:val="18"/>
              </w:rPr>
              <w:t>n/d</w:t>
            </w:r>
          </w:p>
        </w:tc>
        <w:tc>
          <w:tcPr>
            <w:tcW w:type="dxa" w:w="3600"/>
            <w:shd w:val="clear" w:color="auto" w:fill="F2F2F2"/>
          </w:tcPr>
          <w:p>
            <w:pPr>
              <w:spacing w:after="40"/>
            </w:pPr>
            <w:r/>
            <w:r>
              <w:rPr>
                <w:rFonts w:ascii="Georgia" w:hAnsi="Georgia"/>
                <w:color w:val="1A1A1A"/>
                <w:sz w:val="18"/>
              </w:rPr>
              <w:t>TEM coverage-ancillary; data-licensing structure [DL-036]</w:t>
            </w:r>
          </w:p>
        </w:tc>
      </w:tr>
      <w:tr>
        <w:tc>
          <w:tcPr>
            <w:tcW w:type="dxa" w:w="864"/>
          </w:tcPr>
          <w:p>
            <w:pPr>
              <w:spacing w:after="40"/>
            </w:pPr>
            <w:r/>
            <w:r>
              <w:rPr>
                <w:rFonts w:ascii="Georgia" w:hAnsi="Georgia"/>
                <w:color w:val="1A1A1A"/>
                <w:sz w:val="18"/>
              </w:rPr>
              <w:t>Nov 2022</w:t>
            </w:r>
          </w:p>
        </w:tc>
        <w:tc>
          <w:tcPr>
            <w:tcW w:type="dxa" w:w="1008"/>
          </w:tcPr>
          <w:p>
            <w:pPr>
              <w:spacing w:after="40"/>
            </w:pPr>
            <w:r/>
            <w:r>
              <w:rPr>
                <w:rFonts w:ascii="Georgia" w:hAnsi="Georgia"/>
                <w:color w:val="1A1A1A"/>
                <w:sz w:val="18"/>
              </w:rPr>
              <w:t>SNY</w:t>
            </w:r>
          </w:p>
        </w:tc>
        <w:tc>
          <w:tcPr>
            <w:tcW w:type="dxa" w:w="1584"/>
          </w:tcPr>
          <w:p>
            <w:pPr>
              <w:spacing w:after="40"/>
            </w:pPr>
            <w:r/>
            <w:r>
              <w:rPr>
                <w:rFonts w:ascii="Georgia" w:hAnsi="Georgia"/>
                <w:color w:val="1A1A1A"/>
                <w:sz w:val="18"/>
              </w:rPr>
              <w:t>Insilico</w:t>
            </w:r>
          </w:p>
        </w:tc>
        <w:tc>
          <w:tcPr>
            <w:tcW w:type="dxa" w:w="1296"/>
          </w:tcPr>
          <w:p>
            <w:pPr>
              <w:spacing w:after="40"/>
            </w:pPr>
            <w:r/>
            <w:r>
              <w:rPr>
                <w:rFonts w:ascii="Georgia" w:hAnsi="Georgia"/>
                <w:color w:val="1A1A1A"/>
                <w:sz w:val="18"/>
              </w:rPr>
              <w:t>Asset+platform</w:t>
            </w:r>
          </w:p>
        </w:tc>
        <w:tc>
          <w:tcPr>
            <w:tcW w:type="dxa" w:w="1152"/>
          </w:tcPr>
          <w:p>
            <w:pPr>
              <w:spacing w:after="40"/>
            </w:pPr>
            <w:r/>
            <w:r>
              <w:rPr>
                <w:rFonts w:ascii="Georgia" w:hAnsi="Georgia"/>
                <w:color w:val="1A1A1A"/>
                <w:sz w:val="18"/>
              </w:rPr>
              <w:t>$21.5M</w:t>
            </w:r>
          </w:p>
        </w:tc>
        <w:tc>
          <w:tcPr>
            <w:tcW w:type="dxa" w:w="1296"/>
          </w:tcPr>
          <w:p>
            <w:pPr>
              <w:spacing w:after="40"/>
            </w:pPr>
            <w:r/>
            <w:r>
              <w:rPr>
                <w:rFonts w:ascii="Georgia" w:hAnsi="Georgia"/>
                <w:color w:val="1A1A1A"/>
                <w:sz w:val="18"/>
              </w:rPr>
              <w:t>$1.2B</w:t>
            </w:r>
          </w:p>
        </w:tc>
        <w:tc>
          <w:tcPr>
            <w:tcW w:type="dxa" w:w="3600"/>
          </w:tcPr>
          <w:p>
            <w:pPr>
              <w:spacing w:after="40"/>
            </w:pPr>
            <w:r/>
            <w:r>
              <w:rPr>
                <w:rFonts w:ascii="Georgia" w:hAnsi="Georgia"/>
                <w:color w:val="1A1A1A"/>
                <w:sz w:val="18"/>
              </w:rPr>
              <w:t>Anchor of Insilico external validation [DL-024]</w:t>
            </w:r>
          </w:p>
        </w:tc>
      </w:tr>
      <w:tr>
        <w:tc>
          <w:tcPr>
            <w:tcW w:type="dxa" w:w="864"/>
            <w:shd w:val="clear" w:color="auto" w:fill="F2F2F2"/>
          </w:tcPr>
          <w:p>
            <w:pPr>
              <w:spacing w:after="40"/>
            </w:pPr>
            <w:r/>
            <w:r>
              <w:rPr>
                <w:rFonts w:ascii="Georgia" w:hAnsi="Georgia"/>
                <w:color w:val="1A1A1A"/>
                <w:sz w:val="18"/>
              </w:rPr>
              <w:t>Dec 2023</w:t>
            </w:r>
          </w:p>
        </w:tc>
        <w:tc>
          <w:tcPr>
            <w:tcW w:type="dxa" w:w="1008"/>
            <w:shd w:val="clear" w:color="auto" w:fill="F2F2F2"/>
          </w:tcPr>
          <w:p>
            <w:pPr>
              <w:spacing w:after="40"/>
            </w:pPr>
            <w:r/>
            <w:r>
              <w:rPr>
                <w:rFonts w:ascii="Georgia" w:hAnsi="Georgia"/>
                <w:color w:val="1A1A1A"/>
                <w:sz w:val="18"/>
              </w:rPr>
              <w:t>ABBV</w:t>
            </w:r>
          </w:p>
        </w:tc>
        <w:tc>
          <w:tcPr>
            <w:tcW w:type="dxa" w:w="1584"/>
            <w:shd w:val="clear" w:color="auto" w:fill="F2F2F2"/>
          </w:tcPr>
          <w:p>
            <w:pPr>
              <w:spacing w:after="40"/>
            </w:pPr>
            <w:r/>
            <w:r>
              <w:rPr>
                <w:rFonts w:ascii="Georgia" w:hAnsi="Georgia"/>
                <w:color w:val="1A1A1A"/>
                <w:sz w:val="18"/>
              </w:rPr>
              <w:t>AbCellera</w:t>
            </w:r>
          </w:p>
        </w:tc>
        <w:tc>
          <w:tcPr>
            <w:tcW w:type="dxa" w:w="1296"/>
            <w:shd w:val="clear" w:color="auto" w:fill="F2F2F2"/>
          </w:tcPr>
          <w:p>
            <w:pPr>
              <w:spacing w:after="40"/>
            </w:pPr>
            <w:r/>
            <w:r>
              <w:rPr>
                <w:rFonts w:ascii="Georgia" w:hAnsi="Georgia"/>
                <w:color w:val="1A1A1A"/>
                <w:sz w:val="18"/>
              </w:rPr>
              <w:t>Antibody</w:t>
            </w:r>
          </w:p>
        </w:tc>
        <w:tc>
          <w:tcPr>
            <w:tcW w:type="dxa" w:w="1152"/>
            <w:shd w:val="clear" w:color="auto" w:fill="F2F2F2"/>
          </w:tcPr>
          <w:p>
            <w:pPr>
              <w:spacing w:after="40"/>
            </w:pPr>
            <w:r/>
            <w:r>
              <w:rPr>
                <w:rFonts w:ascii="Georgia" w:hAnsi="Georgia"/>
                <w:color w:val="1A1A1A"/>
                <w:sz w:val="18"/>
              </w:rPr>
              <w:t>n/d</w:t>
            </w:r>
          </w:p>
        </w:tc>
        <w:tc>
          <w:tcPr>
            <w:tcW w:type="dxa" w:w="1296"/>
            <w:shd w:val="clear" w:color="auto" w:fill="F2F2F2"/>
          </w:tcPr>
          <w:p>
            <w:pPr>
              <w:spacing w:after="40"/>
            </w:pPr>
            <w:r/>
            <w:r>
              <w:rPr>
                <w:rFonts w:ascii="Georgia" w:hAnsi="Georgia"/>
                <w:color w:val="1A1A1A"/>
                <w:sz w:val="18"/>
              </w:rPr>
              <w:t>n/d</w:t>
            </w:r>
          </w:p>
        </w:tc>
        <w:tc>
          <w:tcPr>
            <w:tcW w:type="dxa" w:w="3600"/>
            <w:shd w:val="clear" w:color="auto" w:fill="F2F2F2"/>
          </w:tcPr>
          <w:p>
            <w:pPr>
              <w:spacing w:after="40"/>
            </w:pPr>
            <w:r/>
            <w:r>
              <w:rPr>
                <w:rFonts w:ascii="Georgia" w:hAnsi="Georgia"/>
                <w:color w:val="1A1A1A"/>
                <w:sz w:val="18"/>
              </w:rPr>
              <w:t>Extension; financials undisclosed [DL-049]</w:t>
            </w:r>
          </w:p>
        </w:tc>
      </w:tr>
      <w:tr>
        <w:tc>
          <w:tcPr>
            <w:tcW w:type="dxa" w:w="864"/>
          </w:tcPr>
          <w:p>
            <w:pPr>
              <w:spacing w:after="40"/>
            </w:pPr>
            <w:r/>
            <w:r>
              <w:rPr>
                <w:rFonts w:ascii="Georgia" w:hAnsi="Georgia"/>
                <w:color w:val="1A1A1A"/>
                <w:sz w:val="18"/>
              </w:rPr>
              <w:t>Nov 2023</w:t>
            </w:r>
          </w:p>
        </w:tc>
        <w:tc>
          <w:tcPr>
            <w:tcW w:type="dxa" w:w="1008"/>
          </w:tcPr>
          <w:p>
            <w:pPr>
              <w:spacing w:after="40"/>
            </w:pPr>
            <w:r/>
            <w:r>
              <w:rPr>
                <w:rFonts w:ascii="Georgia" w:hAnsi="Georgia"/>
                <w:color w:val="1A1A1A"/>
                <w:sz w:val="18"/>
              </w:rPr>
              <w:t>AZN</w:t>
            </w:r>
          </w:p>
        </w:tc>
        <w:tc>
          <w:tcPr>
            <w:tcW w:type="dxa" w:w="1584"/>
          </w:tcPr>
          <w:p>
            <w:pPr>
              <w:spacing w:after="40"/>
            </w:pPr>
            <w:r/>
            <w:r>
              <w:rPr>
                <w:rFonts w:ascii="Georgia" w:hAnsi="Georgia"/>
                <w:color w:val="1A1A1A"/>
                <w:sz w:val="18"/>
              </w:rPr>
              <w:t>Absci</w:t>
            </w:r>
          </w:p>
        </w:tc>
        <w:tc>
          <w:tcPr>
            <w:tcW w:type="dxa" w:w="1296"/>
          </w:tcPr>
          <w:p>
            <w:pPr>
              <w:spacing w:after="40"/>
            </w:pPr>
            <w:r/>
            <w:r>
              <w:rPr>
                <w:rFonts w:ascii="Georgia" w:hAnsi="Georgia"/>
                <w:color w:val="1A1A1A"/>
                <w:sz w:val="18"/>
              </w:rPr>
              <w:t>Antibody</w:t>
            </w:r>
          </w:p>
        </w:tc>
        <w:tc>
          <w:tcPr>
            <w:tcW w:type="dxa" w:w="1152"/>
          </w:tcPr>
          <w:p>
            <w:pPr>
              <w:spacing w:after="40"/>
            </w:pPr>
            <w:r/>
            <w:r>
              <w:rPr>
                <w:rFonts w:ascii="Georgia" w:hAnsi="Georgia"/>
                <w:color w:val="1A1A1A"/>
                <w:sz w:val="18"/>
              </w:rPr>
              <w:t>$5M+</w:t>
            </w:r>
          </w:p>
        </w:tc>
        <w:tc>
          <w:tcPr>
            <w:tcW w:type="dxa" w:w="1296"/>
          </w:tcPr>
          <w:p>
            <w:pPr>
              <w:spacing w:after="40"/>
            </w:pPr>
            <w:r/>
            <w:r>
              <w:rPr>
                <w:rFonts w:ascii="Georgia" w:hAnsi="Georgia"/>
                <w:color w:val="1A1A1A"/>
                <w:sz w:val="18"/>
              </w:rPr>
              <w:t>$247M+</w:t>
            </w:r>
          </w:p>
        </w:tc>
        <w:tc>
          <w:tcPr>
            <w:tcW w:type="dxa" w:w="3600"/>
          </w:tcPr>
          <w:p>
            <w:pPr>
              <w:spacing w:after="40"/>
            </w:pPr>
            <w:r/>
            <w:r>
              <w:rPr>
                <w:rFonts w:ascii="Georgia" w:hAnsi="Georgia"/>
                <w:color w:val="1A1A1A"/>
                <w:sz w:val="18"/>
              </w:rPr>
              <w:t>AI antibody discovery [DL-043]</w:t>
            </w:r>
          </w:p>
        </w:tc>
      </w:tr>
      <w:tr>
        <w:tc>
          <w:tcPr>
            <w:tcW w:type="dxa" w:w="864"/>
            <w:shd w:val="clear" w:color="auto" w:fill="F2F2F2"/>
          </w:tcPr>
          <w:p>
            <w:pPr>
              <w:spacing w:after="40"/>
            </w:pPr>
            <w:r/>
            <w:r>
              <w:rPr>
                <w:rFonts w:ascii="Georgia" w:hAnsi="Georgia"/>
                <w:color w:val="1A1A1A"/>
                <w:sz w:val="18"/>
              </w:rPr>
              <w:t>—</w:t>
            </w:r>
          </w:p>
        </w:tc>
        <w:tc>
          <w:tcPr>
            <w:tcW w:type="dxa" w:w="1008"/>
            <w:shd w:val="clear" w:color="auto" w:fill="F2F2F2"/>
          </w:tcPr>
          <w:p>
            <w:pPr>
              <w:spacing w:after="40"/>
            </w:pPr>
            <w:r/>
            <w:r>
              <w:rPr>
                <w:rFonts w:ascii="Georgia" w:hAnsi="Georgia"/>
                <w:color w:val="1A1A1A"/>
                <w:sz w:val="18"/>
              </w:rPr>
              <w:t>2024 — Peak (nine-figure upfronts, equity tranches)</w:t>
            </w:r>
          </w:p>
        </w:tc>
        <w:tc>
          <w:tcPr>
            <w:tcW w:type="dxa" w:w="1584"/>
            <w:shd w:val="clear" w:color="auto" w:fill="F2F2F2"/>
          </w:tcPr>
          <w:p>
            <w:pPr>
              <w:spacing w:after="40"/>
            </w:pPr>
            <w:r/>
            <w:r>
              <w:rPr>
                <w:rFonts w:ascii="Georgia" w:hAnsi="Georgia"/>
                <w:color w:val="1A1A1A"/>
                <w:sz w:val="18"/>
              </w:rPr>
            </w:r>
          </w:p>
        </w:tc>
        <w:tc>
          <w:tcPr>
            <w:tcW w:type="dxa" w:w="1296"/>
            <w:shd w:val="clear" w:color="auto" w:fill="F2F2F2"/>
          </w:tcPr>
          <w:p>
            <w:pPr>
              <w:spacing w:after="40"/>
            </w:pPr>
            <w:r/>
            <w:r>
              <w:rPr>
                <w:rFonts w:ascii="Georgia" w:hAnsi="Georgia"/>
                <w:color w:val="1A1A1A"/>
                <w:sz w:val="18"/>
              </w:rPr>
            </w:r>
          </w:p>
        </w:tc>
        <w:tc>
          <w:tcPr>
            <w:tcW w:type="dxa" w:w="1152"/>
            <w:shd w:val="clear" w:color="auto" w:fill="F2F2F2"/>
          </w:tcPr>
          <w:p>
            <w:pPr>
              <w:spacing w:after="40"/>
            </w:pPr>
            <w:r/>
            <w:r>
              <w:rPr>
                <w:rFonts w:ascii="Georgia" w:hAnsi="Georgia"/>
                <w:color w:val="1A1A1A"/>
                <w:sz w:val="18"/>
              </w:rPr>
            </w:r>
          </w:p>
        </w:tc>
        <w:tc>
          <w:tcPr>
            <w:tcW w:type="dxa" w:w="1296"/>
            <w:shd w:val="clear" w:color="auto" w:fill="F2F2F2"/>
          </w:tcPr>
          <w:p>
            <w:pPr>
              <w:spacing w:after="40"/>
            </w:pPr>
            <w:r/>
            <w:r>
              <w:rPr>
                <w:rFonts w:ascii="Georgia" w:hAnsi="Georgia"/>
                <w:color w:val="1A1A1A"/>
                <w:sz w:val="18"/>
              </w:rPr>
            </w:r>
          </w:p>
        </w:tc>
        <w:tc>
          <w:tcPr>
            <w:tcW w:type="dxa" w:w="3600"/>
            <w:shd w:val="clear" w:color="auto" w:fill="F2F2F2"/>
          </w:tcPr>
          <w:p>
            <w:pPr>
              <w:spacing w:after="40"/>
            </w:pPr>
            <w:r/>
            <w:r>
              <w:rPr>
                <w:rFonts w:ascii="Georgia" w:hAnsi="Georgia"/>
                <w:color w:val="1A1A1A"/>
                <w:sz w:val="18"/>
              </w:rPr>
            </w:r>
          </w:p>
        </w:tc>
      </w:tr>
      <w:tr>
        <w:tc>
          <w:tcPr>
            <w:tcW w:type="dxa" w:w="864"/>
          </w:tcPr>
          <w:p>
            <w:pPr>
              <w:spacing w:after="40"/>
            </w:pPr>
            <w:r/>
            <w:r>
              <w:rPr>
                <w:rFonts w:ascii="Georgia" w:hAnsi="Georgia"/>
                <w:color w:val="1A1A1A"/>
                <w:sz w:val="18"/>
              </w:rPr>
              <w:t>Jan 2024</w:t>
            </w:r>
          </w:p>
        </w:tc>
        <w:tc>
          <w:tcPr>
            <w:tcW w:type="dxa" w:w="1008"/>
          </w:tcPr>
          <w:p>
            <w:pPr>
              <w:spacing w:after="40"/>
            </w:pPr>
            <w:r/>
            <w:r>
              <w:rPr>
                <w:rFonts w:ascii="Georgia" w:hAnsi="Georgia"/>
                <w:color w:val="1A1A1A"/>
                <w:sz w:val="18"/>
              </w:rPr>
              <w:t>LLY</w:t>
            </w:r>
          </w:p>
        </w:tc>
        <w:tc>
          <w:tcPr>
            <w:tcW w:type="dxa" w:w="1584"/>
          </w:tcPr>
          <w:p>
            <w:pPr>
              <w:spacing w:after="40"/>
            </w:pPr>
            <w:r/>
            <w:r>
              <w:rPr>
                <w:rFonts w:ascii="Georgia" w:hAnsi="Georgia"/>
                <w:color w:val="1A1A1A"/>
                <w:sz w:val="18"/>
              </w:rPr>
              <w:t>Isomorphic Labs</w:t>
            </w:r>
          </w:p>
        </w:tc>
        <w:tc>
          <w:tcPr>
            <w:tcW w:type="dxa" w:w="1296"/>
          </w:tcPr>
          <w:p>
            <w:pPr>
              <w:spacing w:after="40"/>
            </w:pPr>
            <w:r/>
            <w:r>
              <w:rPr>
                <w:rFonts w:ascii="Georgia" w:hAnsi="Georgia"/>
                <w:color w:val="1A1A1A"/>
                <w:sz w:val="18"/>
              </w:rPr>
              <w:t>Multi-target</w:t>
            </w:r>
          </w:p>
        </w:tc>
        <w:tc>
          <w:tcPr>
            <w:tcW w:type="dxa" w:w="1152"/>
          </w:tcPr>
          <w:p>
            <w:pPr>
              <w:spacing w:after="40"/>
            </w:pPr>
            <w:r/>
            <w:r>
              <w:rPr>
                <w:rFonts w:ascii="Georgia" w:hAnsi="Georgia"/>
                <w:color w:val="1A1A1A"/>
                <w:sz w:val="18"/>
              </w:rPr>
              <w:t>$45M</w:t>
            </w:r>
          </w:p>
        </w:tc>
        <w:tc>
          <w:tcPr>
            <w:tcW w:type="dxa" w:w="1296"/>
          </w:tcPr>
          <w:p>
            <w:pPr>
              <w:spacing w:after="40"/>
            </w:pPr>
            <w:r/>
            <w:r>
              <w:rPr>
                <w:rFonts w:ascii="Georgia" w:hAnsi="Georgia"/>
                <w:color w:val="1A1A1A"/>
                <w:sz w:val="18"/>
              </w:rPr>
              <w:t>$1.7B</w:t>
            </w:r>
          </w:p>
        </w:tc>
        <w:tc>
          <w:tcPr>
            <w:tcW w:type="dxa" w:w="3600"/>
          </w:tcPr>
          <w:p>
            <w:pPr>
              <w:spacing w:after="40"/>
            </w:pPr>
            <w:r/>
            <w:r>
              <w:rPr>
                <w:rFonts w:ascii="Georgia" w:hAnsi="Georgia"/>
                <w:color w:val="1A1A1A"/>
                <w:sz w:val="18"/>
              </w:rPr>
              <w:t>JPM-2024 headline; AlphaFold-derived [DL-001]</w:t>
            </w:r>
          </w:p>
        </w:tc>
      </w:tr>
      <w:tr>
        <w:tc>
          <w:tcPr>
            <w:tcW w:type="dxa" w:w="864"/>
            <w:shd w:val="clear" w:color="auto" w:fill="F2F2F2"/>
          </w:tcPr>
          <w:p>
            <w:pPr>
              <w:spacing w:after="40"/>
            </w:pPr>
            <w:r/>
            <w:r>
              <w:rPr>
                <w:rFonts w:ascii="Georgia" w:hAnsi="Georgia"/>
                <w:color w:val="1A1A1A"/>
                <w:sz w:val="18"/>
              </w:rPr>
              <w:t>Jan 2024</w:t>
            </w:r>
          </w:p>
        </w:tc>
        <w:tc>
          <w:tcPr>
            <w:tcW w:type="dxa" w:w="1008"/>
            <w:shd w:val="clear" w:color="auto" w:fill="F2F2F2"/>
          </w:tcPr>
          <w:p>
            <w:pPr>
              <w:spacing w:after="40"/>
            </w:pPr>
            <w:r/>
            <w:r>
              <w:rPr>
                <w:rFonts w:ascii="Georgia" w:hAnsi="Georgia"/>
                <w:color w:val="1A1A1A"/>
                <w:sz w:val="18"/>
              </w:rPr>
              <w:t>NVS</w:t>
            </w:r>
          </w:p>
        </w:tc>
        <w:tc>
          <w:tcPr>
            <w:tcW w:type="dxa" w:w="1584"/>
            <w:shd w:val="clear" w:color="auto" w:fill="F2F2F2"/>
          </w:tcPr>
          <w:p>
            <w:pPr>
              <w:spacing w:after="40"/>
            </w:pPr>
            <w:r/>
            <w:r>
              <w:rPr>
                <w:rFonts w:ascii="Georgia" w:hAnsi="Georgia"/>
                <w:color w:val="1A1A1A"/>
                <w:sz w:val="18"/>
              </w:rPr>
              <w:t>Isomorphic Labs</w:t>
            </w:r>
          </w:p>
        </w:tc>
        <w:tc>
          <w:tcPr>
            <w:tcW w:type="dxa" w:w="1296"/>
            <w:shd w:val="clear" w:color="auto" w:fill="F2F2F2"/>
          </w:tcPr>
          <w:p>
            <w:pPr>
              <w:spacing w:after="40"/>
            </w:pPr>
            <w:r/>
            <w:r>
              <w:rPr>
                <w:rFonts w:ascii="Georgia" w:hAnsi="Georgia"/>
                <w:color w:val="1A1A1A"/>
                <w:sz w:val="18"/>
              </w:rPr>
              <w:t>Multi-target</w:t>
            </w:r>
          </w:p>
        </w:tc>
        <w:tc>
          <w:tcPr>
            <w:tcW w:type="dxa" w:w="1152"/>
            <w:shd w:val="clear" w:color="auto" w:fill="F2F2F2"/>
          </w:tcPr>
          <w:p>
            <w:pPr>
              <w:spacing w:after="40"/>
            </w:pPr>
            <w:r/>
            <w:r>
              <w:rPr>
                <w:rFonts w:ascii="Georgia" w:hAnsi="Georgia"/>
                <w:color w:val="1A1A1A"/>
                <w:sz w:val="18"/>
              </w:rPr>
              <w:t>$37.5M</w:t>
            </w:r>
          </w:p>
        </w:tc>
        <w:tc>
          <w:tcPr>
            <w:tcW w:type="dxa" w:w="1296"/>
            <w:shd w:val="clear" w:color="auto" w:fill="F2F2F2"/>
          </w:tcPr>
          <w:p>
            <w:pPr>
              <w:spacing w:after="40"/>
            </w:pPr>
            <w:r/>
            <w:r>
              <w:rPr>
                <w:rFonts w:ascii="Georgia" w:hAnsi="Georgia"/>
                <w:color w:val="1A1A1A"/>
                <w:sz w:val="18"/>
              </w:rPr>
              <w:t>$1.2B</w:t>
            </w:r>
          </w:p>
        </w:tc>
        <w:tc>
          <w:tcPr>
            <w:tcW w:type="dxa" w:w="3600"/>
            <w:shd w:val="clear" w:color="auto" w:fill="F2F2F2"/>
          </w:tcPr>
          <w:p>
            <w:pPr>
              <w:spacing w:after="40"/>
            </w:pPr>
            <w:r/>
            <w:r>
              <w:rPr>
                <w:rFonts w:ascii="Georgia" w:hAnsi="Georgia"/>
                <w:color w:val="1A1A1A"/>
                <w:sz w:val="18"/>
              </w:rPr>
              <w:t>Same-day pair with LLY [DL-002]</w:t>
            </w:r>
          </w:p>
        </w:tc>
      </w:tr>
      <w:tr>
        <w:tc>
          <w:tcPr>
            <w:tcW w:type="dxa" w:w="864"/>
          </w:tcPr>
          <w:p>
            <w:pPr>
              <w:spacing w:after="40"/>
            </w:pPr>
            <w:r/>
            <w:r>
              <w:rPr>
                <w:rFonts w:ascii="Georgia" w:hAnsi="Georgia"/>
                <w:color w:val="1A1A1A"/>
                <w:sz w:val="18"/>
              </w:rPr>
              <w:t>Jun 2024</w:t>
            </w:r>
          </w:p>
        </w:tc>
        <w:tc>
          <w:tcPr>
            <w:tcW w:type="dxa" w:w="1008"/>
          </w:tcPr>
          <w:p>
            <w:pPr>
              <w:spacing w:after="40"/>
            </w:pPr>
            <w:r/>
            <w:r>
              <w:rPr>
                <w:rFonts w:ascii="Georgia" w:hAnsi="Georgia"/>
                <w:color w:val="1A1A1A"/>
                <w:sz w:val="18"/>
              </w:rPr>
              <w:t>LLY</w:t>
            </w:r>
          </w:p>
        </w:tc>
        <w:tc>
          <w:tcPr>
            <w:tcW w:type="dxa" w:w="1584"/>
          </w:tcPr>
          <w:p>
            <w:pPr>
              <w:spacing w:after="40"/>
            </w:pPr>
            <w:r/>
            <w:r>
              <w:rPr>
                <w:rFonts w:ascii="Georgia" w:hAnsi="Georgia"/>
                <w:color w:val="1A1A1A"/>
                <w:sz w:val="18"/>
              </w:rPr>
              <w:t>OpenAI</w:t>
            </w:r>
          </w:p>
        </w:tc>
        <w:tc>
          <w:tcPr>
            <w:tcW w:type="dxa" w:w="1296"/>
          </w:tcPr>
          <w:p>
            <w:pPr>
              <w:spacing w:after="40"/>
            </w:pPr>
            <w:r/>
            <w:r>
              <w:rPr>
                <w:rFonts w:ascii="Georgia" w:hAnsi="Georgia"/>
                <w:color w:val="1A1A1A"/>
                <w:sz w:val="18"/>
              </w:rPr>
              <w:t>Foundation model</w:t>
            </w:r>
          </w:p>
        </w:tc>
        <w:tc>
          <w:tcPr>
            <w:tcW w:type="dxa" w:w="1152"/>
          </w:tcPr>
          <w:p>
            <w:pPr>
              <w:spacing w:after="40"/>
            </w:pPr>
            <w:r/>
            <w:r>
              <w:rPr>
                <w:rFonts w:ascii="Georgia" w:hAnsi="Georgia"/>
                <w:color w:val="1A1A1A"/>
                <w:sz w:val="18"/>
              </w:rPr>
              <w:t>n/d</w:t>
            </w:r>
          </w:p>
        </w:tc>
        <w:tc>
          <w:tcPr>
            <w:tcW w:type="dxa" w:w="1296"/>
          </w:tcPr>
          <w:p>
            <w:pPr>
              <w:spacing w:after="40"/>
            </w:pPr>
            <w:r/>
            <w:r>
              <w:rPr>
                <w:rFonts w:ascii="Georgia" w:hAnsi="Georgia"/>
                <w:color w:val="1A1A1A"/>
                <w:sz w:val="18"/>
              </w:rPr>
              <w:t>n/d</w:t>
            </w:r>
          </w:p>
        </w:tc>
        <w:tc>
          <w:tcPr>
            <w:tcW w:type="dxa" w:w="3600"/>
          </w:tcPr>
          <w:p>
            <w:pPr>
              <w:spacing w:after="40"/>
            </w:pPr>
            <w:r/>
            <w:r>
              <w:rPr>
                <w:rFonts w:ascii="Georgia" w:hAnsi="Georgia"/>
                <w:color w:val="1A1A1A"/>
                <w:sz w:val="18"/>
              </w:rPr>
              <w:t>Antimicrobial collab; foundation-model structure [DL-006]</w:t>
            </w:r>
          </w:p>
        </w:tc>
      </w:tr>
      <w:tr>
        <w:tc>
          <w:tcPr>
            <w:tcW w:type="dxa" w:w="864"/>
            <w:shd w:val="clear" w:color="auto" w:fill="F2F2F2"/>
          </w:tcPr>
          <w:p>
            <w:pPr>
              <w:spacing w:after="40"/>
            </w:pPr>
            <w:r/>
            <w:r>
              <w:rPr>
                <w:rFonts w:ascii="Georgia" w:hAnsi="Georgia"/>
                <w:color w:val="1A1A1A"/>
                <w:sz w:val="18"/>
              </w:rPr>
              <w:t>Sep 2024</w:t>
            </w:r>
          </w:p>
        </w:tc>
        <w:tc>
          <w:tcPr>
            <w:tcW w:type="dxa" w:w="1008"/>
            <w:shd w:val="clear" w:color="auto" w:fill="F2F2F2"/>
          </w:tcPr>
          <w:p>
            <w:pPr>
              <w:spacing w:after="40"/>
            </w:pPr>
            <w:r/>
            <w:r>
              <w:rPr>
                <w:rFonts w:ascii="Georgia" w:hAnsi="Georgia"/>
                <w:color w:val="1A1A1A"/>
                <w:sz w:val="18"/>
              </w:rPr>
              <w:t>LLY</w:t>
            </w:r>
          </w:p>
        </w:tc>
        <w:tc>
          <w:tcPr>
            <w:tcW w:type="dxa" w:w="1584"/>
            <w:shd w:val="clear" w:color="auto" w:fill="F2F2F2"/>
          </w:tcPr>
          <w:p>
            <w:pPr>
              <w:spacing w:after="40"/>
            </w:pPr>
            <w:r/>
            <w:r>
              <w:rPr>
                <w:rFonts w:ascii="Georgia" w:hAnsi="Georgia"/>
                <w:color w:val="1A1A1A"/>
                <w:sz w:val="18"/>
              </w:rPr>
              <w:t>Genetic Leap</w:t>
            </w:r>
          </w:p>
        </w:tc>
        <w:tc>
          <w:tcPr>
            <w:tcW w:type="dxa" w:w="1296"/>
            <w:shd w:val="clear" w:color="auto" w:fill="F2F2F2"/>
          </w:tcPr>
          <w:p>
            <w:pPr>
              <w:spacing w:after="40"/>
            </w:pPr>
            <w:r/>
            <w:r>
              <w:rPr>
                <w:rFonts w:ascii="Georgia" w:hAnsi="Georgia"/>
                <w:color w:val="1A1A1A"/>
                <w:sz w:val="18"/>
              </w:rPr>
              <w:t>RNA targets</w:t>
            </w:r>
          </w:p>
        </w:tc>
        <w:tc>
          <w:tcPr>
            <w:tcW w:type="dxa" w:w="1152"/>
            <w:shd w:val="clear" w:color="auto" w:fill="F2F2F2"/>
          </w:tcPr>
          <w:p>
            <w:pPr>
              <w:spacing w:after="40"/>
            </w:pPr>
            <w:r/>
            <w:r>
              <w:rPr>
                <w:rFonts w:ascii="Georgia" w:hAnsi="Georgia"/>
                <w:color w:val="1A1A1A"/>
                <w:sz w:val="18"/>
              </w:rPr>
              <w:t>n/d</w:t>
            </w:r>
          </w:p>
        </w:tc>
        <w:tc>
          <w:tcPr>
            <w:tcW w:type="dxa" w:w="1296"/>
            <w:shd w:val="clear" w:color="auto" w:fill="F2F2F2"/>
          </w:tcPr>
          <w:p>
            <w:pPr>
              <w:spacing w:after="40"/>
            </w:pPr>
            <w:r/>
            <w:r>
              <w:rPr>
                <w:rFonts w:ascii="Georgia" w:hAnsi="Georgia"/>
                <w:color w:val="1A1A1A"/>
                <w:sz w:val="18"/>
              </w:rPr>
              <w:t>$409M total</w:t>
            </w:r>
          </w:p>
        </w:tc>
        <w:tc>
          <w:tcPr>
            <w:tcW w:type="dxa" w:w="3600"/>
            <w:shd w:val="clear" w:color="auto" w:fill="F2F2F2"/>
          </w:tcPr>
          <w:p>
            <w:pPr>
              <w:spacing w:after="40"/>
            </w:pPr>
            <w:r/>
            <w:r>
              <w:rPr>
                <w:rFonts w:ascii="Georgia" w:hAnsi="Georgia"/>
                <w:color w:val="1A1A1A"/>
                <w:sz w:val="18"/>
              </w:rPr>
              <w:t>Upfront not separately disclosed [DL-009]</w:t>
            </w:r>
          </w:p>
        </w:tc>
      </w:tr>
      <w:tr>
        <w:tc>
          <w:tcPr>
            <w:tcW w:type="dxa" w:w="864"/>
          </w:tcPr>
          <w:p>
            <w:pPr>
              <w:spacing w:after="40"/>
            </w:pPr>
            <w:r/>
            <w:r>
              <w:rPr>
                <w:rFonts w:ascii="Georgia" w:hAnsi="Georgia"/>
                <w:color w:val="1A1A1A"/>
                <w:sz w:val="18"/>
              </w:rPr>
              <w:t>Aug 2024</w:t>
            </w:r>
          </w:p>
        </w:tc>
        <w:tc>
          <w:tcPr>
            <w:tcW w:type="dxa" w:w="1008"/>
          </w:tcPr>
          <w:p>
            <w:pPr>
              <w:spacing w:after="40"/>
            </w:pPr>
            <w:r/>
            <w:r>
              <w:rPr>
                <w:rFonts w:ascii="Georgia" w:hAnsi="Georgia"/>
                <w:color w:val="1A1A1A"/>
                <w:sz w:val="18"/>
              </w:rPr>
              <w:t>Recursion</w:t>
            </w:r>
          </w:p>
        </w:tc>
        <w:tc>
          <w:tcPr>
            <w:tcW w:type="dxa" w:w="1584"/>
          </w:tcPr>
          <w:p>
            <w:pPr>
              <w:spacing w:after="40"/>
            </w:pPr>
            <w:r/>
            <w:r>
              <w:rPr>
                <w:rFonts w:ascii="Georgia" w:hAnsi="Georgia"/>
                <w:color w:val="1A1A1A"/>
                <w:sz w:val="18"/>
              </w:rPr>
              <w:t>Exscientia</w:t>
            </w:r>
          </w:p>
        </w:tc>
        <w:tc>
          <w:tcPr>
            <w:tcW w:type="dxa" w:w="1296"/>
          </w:tcPr>
          <w:p>
            <w:pPr>
              <w:spacing w:after="40"/>
            </w:pPr>
            <w:r/>
            <w:r>
              <w:rPr>
                <w:rFonts w:ascii="Georgia" w:hAnsi="Georgia"/>
                <w:color w:val="1A1A1A"/>
                <w:sz w:val="18"/>
              </w:rPr>
              <w:t>M&amp;A</w:t>
            </w:r>
          </w:p>
        </w:tc>
        <w:tc>
          <w:tcPr>
            <w:tcW w:type="dxa" w:w="1152"/>
          </w:tcPr>
          <w:p>
            <w:pPr>
              <w:spacing w:after="40"/>
            </w:pPr>
            <w:r/>
            <w:r>
              <w:rPr>
                <w:rFonts w:ascii="Georgia" w:hAnsi="Georgia"/>
                <w:color w:val="1A1A1A"/>
                <w:sz w:val="18"/>
              </w:rPr>
              <w:t>$688M (stock)</w:t>
            </w:r>
          </w:p>
        </w:tc>
        <w:tc>
          <w:tcPr>
            <w:tcW w:type="dxa" w:w="1296"/>
          </w:tcPr>
          <w:p>
            <w:pPr>
              <w:spacing w:after="40"/>
            </w:pPr>
            <w:r/>
            <w:r>
              <w:rPr>
                <w:rFonts w:ascii="Georgia" w:hAnsi="Georgia"/>
                <w:color w:val="1A1A1A"/>
                <w:sz w:val="18"/>
              </w:rPr>
              <w:t>—</w:t>
            </w:r>
          </w:p>
        </w:tc>
        <w:tc>
          <w:tcPr>
            <w:tcW w:type="dxa" w:w="3600"/>
          </w:tcPr>
          <w:p>
            <w:pPr>
              <w:spacing w:after="40"/>
            </w:pPr>
            <w:r/>
            <w:r>
              <w:rPr>
                <w:rFonts w:ascii="Georgia" w:hAnsi="Georgia"/>
                <w:color w:val="1A1A1A"/>
                <w:sz w:val="18"/>
              </w:rPr>
              <w:t>First AI-AI consolidation event [DL-040]</w:t>
            </w:r>
          </w:p>
        </w:tc>
      </w:tr>
      <w:tr>
        <w:tc>
          <w:tcPr>
            <w:tcW w:type="dxa" w:w="864"/>
            <w:shd w:val="clear" w:color="auto" w:fill="F2F2F2"/>
          </w:tcPr>
          <w:p>
            <w:pPr>
              <w:spacing w:after="40"/>
            </w:pPr>
            <w:r/>
            <w:r>
              <w:rPr>
                <w:rFonts w:ascii="Georgia" w:hAnsi="Georgia"/>
                <w:color w:val="1A1A1A"/>
                <w:sz w:val="18"/>
              </w:rPr>
              <w:t>Nov 2024</w:t>
            </w:r>
          </w:p>
        </w:tc>
        <w:tc>
          <w:tcPr>
            <w:tcW w:type="dxa" w:w="1008"/>
            <w:shd w:val="clear" w:color="auto" w:fill="F2F2F2"/>
          </w:tcPr>
          <w:p>
            <w:pPr>
              <w:spacing w:after="40"/>
            </w:pPr>
            <w:r/>
            <w:r>
              <w:rPr>
                <w:rFonts w:ascii="Georgia" w:hAnsi="Georgia"/>
                <w:color w:val="1A1A1A"/>
                <w:sz w:val="18"/>
              </w:rPr>
              <w:t>NVS</w:t>
            </w:r>
          </w:p>
        </w:tc>
        <w:tc>
          <w:tcPr>
            <w:tcW w:type="dxa" w:w="1584"/>
            <w:shd w:val="clear" w:color="auto" w:fill="F2F2F2"/>
          </w:tcPr>
          <w:p>
            <w:pPr>
              <w:spacing w:after="40"/>
            </w:pPr>
            <w:r/>
            <w:r>
              <w:rPr>
                <w:rFonts w:ascii="Georgia" w:hAnsi="Georgia"/>
                <w:color w:val="1A1A1A"/>
                <w:sz w:val="18"/>
              </w:rPr>
              <w:t>Schrödinger</w:t>
            </w:r>
          </w:p>
        </w:tc>
        <w:tc>
          <w:tcPr>
            <w:tcW w:type="dxa" w:w="1296"/>
            <w:shd w:val="clear" w:color="auto" w:fill="F2F2F2"/>
          </w:tcPr>
          <w:p>
            <w:pPr>
              <w:spacing w:after="40"/>
            </w:pPr>
            <w:r/>
            <w:r>
              <w:rPr>
                <w:rFonts w:ascii="Georgia" w:hAnsi="Georgia"/>
                <w:color w:val="1A1A1A"/>
                <w:sz w:val="18"/>
              </w:rPr>
              <w:t>Platform</w:t>
            </w:r>
          </w:p>
        </w:tc>
        <w:tc>
          <w:tcPr>
            <w:tcW w:type="dxa" w:w="1152"/>
            <w:shd w:val="clear" w:color="auto" w:fill="F2F2F2"/>
          </w:tcPr>
          <w:p>
            <w:pPr>
              <w:spacing w:after="40"/>
            </w:pPr>
            <w:r/>
            <w:r>
              <w:rPr>
                <w:rFonts w:ascii="Georgia" w:hAnsi="Georgia"/>
                <w:color w:val="1A1A1A"/>
                <w:sz w:val="18"/>
              </w:rPr>
              <w:t>$150M</w:t>
            </w:r>
          </w:p>
        </w:tc>
        <w:tc>
          <w:tcPr>
            <w:tcW w:type="dxa" w:w="1296"/>
            <w:shd w:val="clear" w:color="auto" w:fill="F2F2F2"/>
          </w:tcPr>
          <w:p>
            <w:pPr>
              <w:spacing w:after="40"/>
            </w:pPr>
            <w:r/>
            <w:r>
              <w:rPr>
                <w:rFonts w:ascii="Georgia" w:hAnsi="Georgia"/>
                <w:color w:val="1A1A1A"/>
                <w:sz w:val="18"/>
              </w:rPr>
              <w:t>$2.27B</w:t>
            </w:r>
          </w:p>
        </w:tc>
        <w:tc>
          <w:tcPr>
            <w:tcW w:type="dxa" w:w="3600"/>
            <w:shd w:val="clear" w:color="auto" w:fill="F2F2F2"/>
          </w:tcPr>
          <w:p>
            <w:pPr>
              <w:spacing w:after="40"/>
            </w:pPr>
            <w:r/>
            <w:r>
              <w:rPr>
                <w:rFonts w:ascii="Georgia" w:hAnsi="Georgia"/>
                <w:color w:val="1A1A1A"/>
                <w:sz w:val="18"/>
              </w:rPr>
              <w:t>Confirms structural shift to nine-figure-up + binding biobucks [DL-042]</w:t>
            </w:r>
          </w:p>
        </w:tc>
      </w:tr>
      <w:tr>
        <w:tc>
          <w:tcPr>
            <w:tcW w:type="dxa" w:w="864"/>
          </w:tcPr>
          <w:p>
            <w:pPr>
              <w:spacing w:after="40"/>
            </w:pPr>
            <w:r/>
            <w:r>
              <w:rPr>
                <w:rFonts w:ascii="Georgia" w:hAnsi="Georgia"/>
                <w:color w:val="1A1A1A"/>
                <w:sz w:val="18"/>
              </w:rPr>
              <w:t>Dec 2023</w:t>
            </w:r>
          </w:p>
        </w:tc>
        <w:tc>
          <w:tcPr>
            <w:tcW w:type="dxa" w:w="1008"/>
          </w:tcPr>
          <w:p>
            <w:pPr>
              <w:spacing w:after="40"/>
            </w:pPr>
            <w:r/>
            <w:r>
              <w:rPr>
                <w:rFonts w:ascii="Georgia" w:hAnsi="Georgia"/>
                <w:color w:val="1A1A1A"/>
                <w:sz w:val="18"/>
              </w:rPr>
              <w:t>Roche</w:t>
            </w:r>
          </w:p>
        </w:tc>
        <w:tc>
          <w:tcPr>
            <w:tcW w:type="dxa" w:w="1584"/>
          </w:tcPr>
          <w:p>
            <w:pPr>
              <w:spacing w:after="40"/>
            </w:pPr>
            <w:r/>
            <w:r>
              <w:rPr>
                <w:rFonts w:ascii="Georgia" w:hAnsi="Georgia"/>
                <w:color w:val="1A1A1A"/>
                <w:sz w:val="18"/>
              </w:rPr>
              <w:t>Recursion</w:t>
            </w:r>
          </w:p>
        </w:tc>
        <w:tc>
          <w:tcPr>
            <w:tcW w:type="dxa" w:w="1296"/>
          </w:tcPr>
          <w:p>
            <w:pPr>
              <w:spacing w:after="40"/>
            </w:pPr>
            <w:r/>
            <w:r>
              <w:rPr>
                <w:rFonts w:ascii="Georgia" w:hAnsi="Georgia"/>
                <w:color w:val="1A1A1A"/>
                <w:sz w:val="18"/>
              </w:rPr>
              <w:t>Expansion</w:t>
            </w:r>
          </w:p>
        </w:tc>
        <w:tc>
          <w:tcPr>
            <w:tcW w:type="dxa" w:w="1152"/>
          </w:tcPr>
          <w:p>
            <w:pPr>
              <w:spacing w:after="40"/>
            </w:pPr>
            <w:r/>
            <w:r>
              <w:rPr>
                <w:rFonts w:ascii="Georgia" w:hAnsi="Georgia"/>
                <w:color w:val="1A1A1A"/>
                <w:sz w:val="18"/>
              </w:rPr>
              <w:t>n/d</w:t>
            </w:r>
          </w:p>
        </w:tc>
        <w:tc>
          <w:tcPr>
            <w:tcW w:type="dxa" w:w="1296"/>
          </w:tcPr>
          <w:p>
            <w:pPr>
              <w:spacing w:after="40"/>
            </w:pPr>
            <w:r/>
            <w:r>
              <w:rPr>
                <w:rFonts w:ascii="Georgia" w:hAnsi="Georgia"/>
                <w:color w:val="1A1A1A"/>
                <w:sz w:val="18"/>
              </w:rPr>
              <w:t>n/d</w:t>
            </w:r>
          </w:p>
        </w:tc>
        <w:tc>
          <w:tcPr>
            <w:tcW w:type="dxa" w:w="3600"/>
          </w:tcPr>
          <w:p>
            <w:pPr>
              <w:spacing w:after="40"/>
            </w:pPr>
            <w:r/>
            <w:r>
              <w:rPr>
                <w:rFonts w:ascii="Georgia" w:hAnsi="Georgia"/>
                <w:color w:val="1A1A1A"/>
                <w:sz w:val="18"/>
              </w:rPr>
              <w:t>Added neuro to gastrointestinal collab [DL-005]</w:t>
            </w:r>
          </w:p>
        </w:tc>
      </w:tr>
      <w:tr>
        <w:tc>
          <w:tcPr>
            <w:tcW w:type="dxa" w:w="864"/>
            <w:shd w:val="clear" w:color="auto" w:fill="F2F2F2"/>
          </w:tcPr>
          <w:p>
            <w:pPr>
              <w:spacing w:after="40"/>
            </w:pPr>
            <w:r/>
            <w:r>
              <w:rPr>
                <w:rFonts w:ascii="Georgia" w:hAnsi="Georgia"/>
                <w:color w:val="1A1A1A"/>
                <w:sz w:val="18"/>
              </w:rPr>
              <w:t>—</w:t>
            </w:r>
          </w:p>
        </w:tc>
        <w:tc>
          <w:tcPr>
            <w:tcW w:type="dxa" w:w="1008"/>
            <w:shd w:val="clear" w:color="auto" w:fill="F2F2F2"/>
          </w:tcPr>
          <w:p>
            <w:pPr>
              <w:spacing w:after="40"/>
            </w:pPr>
            <w:r/>
            <w:r>
              <w:rPr>
                <w:rFonts w:ascii="Georgia" w:hAnsi="Georgia"/>
                <w:color w:val="1A1A1A"/>
                <w:sz w:val="18"/>
              </w:rPr>
              <w:t>2025–2026 YTD — Latest</w:t>
            </w:r>
          </w:p>
        </w:tc>
        <w:tc>
          <w:tcPr>
            <w:tcW w:type="dxa" w:w="1584"/>
            <w:shd w:val="clear" w:color="auto" w:fill="F2F2F2"/>
          </w:tcPr>
          <w:p>
            <w:pPr>
              <w:spacing w:after="40"/>
            </w:pPr>
            <w:r/>
            <w:r>
              <w:rPr>
                <w:rFonts w:ascii="Georgia" w:hAnsi="Georgia"/>
                <w:color w:val="1A1A1A"/>
                <w:sz w:val="18"/>
              </w:rPr>
            </w:r>
          </w:p>
        </w:tc>
        <w:tc>
          <w:tcPr>
            <w:tcW w:type="dxa" w:w="1296"/>
            <w:shd w:val="clear" w:color="auto" w:fill="F2F2F2"/>
          </w:tcPr>
          <w:p>
            <w:pPr>
              <w:spacing w:after="40"/>
            </w:pPr>
            <w:r/>
            <w:r>
              <w:rPr>
                <w:rFonts w:ascii="Georgia" w:hAnsi="Georgia"/>
                <w:color w:val="1A1A1A"/>
                <w:sz w:val="18"/>
              </w:rPr>
            </w:r>
          </w:p>
        </w:tc>
        <w:tc>
          <w:tcPr>
            <w:tcW w:type="dxa" w:w="1152"/>
            <w:shd w:val="clear" w:color="auto" w:fill="F2F2F2"/>
          </w:tcPr>
          <w:p>
            <w:pPr>
              <w:spacing w:after="40"/>
            </w:pPr>
            <w:r/>
            <w:r>
              <w:rPr>
                <w:rFonts w:ascii="Georgia" w:hAnsi="Georgia"/>
                <w:color w:val="1A1A1A"/>
                <w:sz w:val="18"/>
              </w:rPr>
            </w:r>
          </w:p>
        </w:tc>
        <w:tc>
          <w:tcPr>
            <w:tcW w:type="dxa" w:w="1296"/>
            <w:shd w:val="clear" w:color="auto" w:fill="F2F2F2"/>
          </w:tcPr>
          <w:p>
            <w:pPr>
              <w:spacing w:after="40"/>
            </w:pPr>
            <w:r/>
            <w:r>
              <w:rPr>
                <w:rFonts w:ascii="Georgia" w:hAnsi="Georgia"/>
                <w:color w:val="1A1A1A"/>
                <w:sz w:val="18"/>
              </w:rPr>
            </w:r>
          </w:p>
        </w:tc>
        <w:tc>
          <w:tcPr>
            <w:tcW w:type="dxa" w:w="3600"/>
            <w:shd w:val="clear" w:color="auto" w:fill="F2F2F2"/>
          </w:tcPr>
          <w:p>
            <w:pPr>
              <w:spacing w:after="40"/>
            </w:pPr>
            <w:r/>
            <w:r>
              <w:rPr>
                <w:rFonts w:ascii="Georgia" w:hAnsi="Georgia"/>
                <w:color w:val="1A1A1A"/>
                <w:sz w:val="18"/>
              </w:rPr>
            </w:r>
          </w:p>
        </w:tc>
      </w:tr>
      <w:tr>
        <w:tc>
          <w:tcPr>
            <w:tcW w:type="dxa" w:w="864"/>
          </w:tcPr>
          <w:p>
            <w:pPr>
              <w:spacing w:after="40"/>
            </w:pPr>
            <w:r/>
            <w:r>
              <w:rPr>
                <w:rFonts w:ascii="Georgia" w:hAnsi="Georgia"/>
                <w:color w:val="1A1A1A"/>
                <w:sz w:val="18"/>
              </w:rPr>
              <w:t>Mar 2026</w:t>
            </w:r>
          </w:p>
        </w:tc>
        <w:tc>
          <w:tcPr>
            <w:tcW w:type="dxa" w:w="1008"/>
          </w:tcPr>
          <w:p>
            <w:pPr>
              <w:spacing w:after="40"/>
            </w:pPr>
            <w:r/>
            <w:r>
              <w:rPr>
                <w:rFonts w:ascii="Georgia" w:hAnsi="Georgia"/>
                <w:color w:val="1A1A1A"/>
                <w:sz w:val="18"/>
              </w:rPr>
              <w:t>LLY</w:t>
            </w:r>
          </w:p>
        </w:tc>
        <w:tc>
          <w:tcPr>
            <w:tcW w:type="dxa" w:w="1584"/>
          </w:tcPr>
          <w:p>
            <w:pPr>
              <w:spacing w:after="40"/>
            </w:pPr>
            <w:r/>
            <w:r>
              <w:rPr>
                <w:rFonts w:ascii="Georgia" w:hAnsi="Georgia"/>
                <w:color w:val="1A1A1A"/>
                <w:sz w:val="18"/>
              </w:rPr>
              <w:t>Insilico</w:t>
            </w:r>
          </w:p>
        </w:tc>
        <w:tc>
          <w:tcPr>
            <w:tcW w:type="dxa" w:w="1296"/>
          </w:tcPr>
          <w:p>
            <w:pPr>
              <w:spacing w:after="40"/>
            </w:pPr>
            <w:r/>
            <w:r>
              <w:rPr>
                <w:rFonts w:ascii="Georgia" w:hAnsi="Georgia"/>
                <w:color w:val="1A1A1A"/>
                <w:sz w:val="18"/>
              </w:rPr>
              <w:t>Asset license</w:t>
            </w:r>
          </w:p>
        </w:tc>
        <w:tc>
          <w:tcPr>
            <w:tcW w:type="dxa" w:w="1152"/>
          </w:tcPr>
          <w:p>
            <w:pPr>
              <w:spacing w:after="40"/>
            </w:pPr>
            <w:r/>
            <w:r>
              <w:rPr>
                <w:rFonts w:ascii="Georgia" w:hAnsi="Georgia"/>
                <w:color w:val="1A1A1A"/>
                <w:sz w:val="18"/>
              </w:rPr>
              <w:t>$2.75B total</w:t>
            </w:r>
          </w:p>
        </w:tc>
        <w:tc>
          <w:tcPr>
            <w:tcW w:type="dxa" w:w="1296"/>
          </w:tcPr>
          <w:p>
            <w:pPr>
              <w:spacing w:after="40"/>
            </w:pPr>
            <w:r/>
            <w:r>
              <w:rPr>
                <w:rFonts w:ascii="Georgia" w:hAnsi="Georgia"/>
                <w:color w:val="1A1A1A"/>
                <w:sz w:val="18"/>
              </w:rPr>
              <w:t>—</w:t>
            </w:r>
          </w:p>
        </w:tc>
        <w:tc>
          <w:tcPr>
            <w:tcW w:type="dxa" w:w="3600"/>
          </w:tcPr>
          <w:p>
            <w:pPr>
              <w:spacing w:after="40"/>
            </w:pPr>
            <w:r/>
            <w:r>
              <w:rPr>
                <w:rFonts w:ascii="Georgia" w:hAnsi="Georgia"/>
                <w:color w:val="1A1A1A"/>
                <w:sz w:val="18"/>
              </w:rPr>
              <w:t>First 'show me' deal — Rentosertib P3 begins [DL-046]</w:t>
            </w:r>
          </w:p>
        </w:tc>
      </w:tr>
      <w:tr>
        <w:tc>
          <w:tcPr>
            <w:tcW w:type="dxa" w:w="864"/>
            <w:shd w:val="clear" w:color="auto" w:fill="F2F2F2"/>
          </w:tcPr>
          <w:p>
            <w:pPr>
              <w:spacing w:after="40"/>
            </w:pPr>
            <w:r/>
            <w:r>
              <w:rPr>
                <w:rFonts w:ascii="Georgia" w:hAnsi="Georgia"/>
                <w:color w:val="1A1A1A"/>
                <w:sz w:val="18"/>
              </w:rPr>
              <w:t>Jan 2026</w:t>
            </w:r>
          </w:p>
        </w:tc>
        <w:tc>
          <w:tcPr>
            <w:tcW w:type="dxa" w:w="1008"/>
            <w:shd w:val="clear" w:color="auto" w:fill="F2F2F2"/>
          </w:tcPr>
          <w:p>
            <w:pPr>
              <w:spacing w:after="40"/>
            </w:pPr>
            <w:r/>
            <w:r>
              <w:rPr>
                <w:rFonts w:ascii="Georgia" w:hAnsi="Georgia"/>
                <w:color w:val="1A1A1A"/>
                <w:sz w:val="18"/>
              </w:rPr>
              <w:t>LLY</w:t>
            </w:r>
          </w:p>
        </w:tc>
        <w:tc>
          <w:tcPr>
            <w:tcW w:type="dxa" w:w="1584"/>
            <w:shd w:val="clear" w:color="auto" w:fill="F2F2F2"/>
          </w:tcPr>
          <w:p>
            <w:pPr>
              <w:spacing w:after="40"/>
            </w:pPr>
            <w:r/>
            <w:r>
              <w:rPr>
                <w:rFonts w:ascii="Georgia" w:hAnsi="Georgia"/>
                <w:color w:val="1A1A1A"/>
                <w:sz w:val="18"/>
              </w:rPr>
              <w:t>Schrödinger</w:t>
            </w:r>
          </w:p>
        </w:tc>
        <w:tc>
          <w:tcPr>
            <w:tcW w:type="dxa" w:w="1296"/>
            <w:shd w:val="clear" w:color="auto" w:fill="F2F2F2"/>
          </w:tcPr>
          <w:p>
            <w:pPr>
              <w:spacing w:after="40"/>
            </w:pPr>
            <w:r/>
            <w:r>
              <w:rPr>
                <w:rFonts w:ascii="Georgia" w:hAnsi="Georgia"/>
                <w:color w:val="1A1A1A"/>
                <w:sz w:val="18"/>
              </w:rPr>
              <w:t>TuneLab</w:t>
            </w:r>
          </w:p>
        </w:tc>
        <w:tc>
          <w:tcPr>
            <w:tcW w:type="dxa" w:w="1152"/>
            <w:shd w:val="clear" w:color="auto" w:fill="F2F2F2"/>
          </w:tcPr>
          <w:p>
            <w:pPr>
              <w:spacing w:after="40"/>
            </w:pPr>
            <w:r/>
            <w:r>
              <w:rPr>
                <w:rFonts w:ascii="Georgia" w:hAnsi="Georgia"/>
                <w:color w:val="1A1A1A"/>
                <w:sz w:val="18"/>
              </w:rPr>
              <w:t>n/d</w:t>
            </w:r>
          </w:p>
        </w:tc>
        <w:tc>
          <w:tcPr>
            <w:tcW w:type="dxa" w:w="1296"/>
            <w:shd w:val="clear" w:color="auto" w:fill="F2F2F2"/>
          </w:tcPr>
          <w:p>
            <w:pPr>
              <w:spacing w:after="40"/>
            </w:pPr>
            <w:r/>
            <w:r>
              <w:rPr>
                <w:rFonts w:ascii="Georgia" w:hAnsi="Georgia"/>
                <w:color w:val="1A1A1A"/>
                <w:sz w:val="18"/>
              </w:rPr>
              <w:t>n/d</w:t>
            </w:r>
          </w:p>
        </w:tc>
        <w:tc>
          <w:tcPr>
            <w:tcW w:type="dxa" w:w="3600"/>
            <w:shd w:val="clear" w:color="auto" w:fill="F2F2F2"/>
          </w:tcPr>
          <w:p>
            <w:pPr>
              <w:spacing w:after="40"/>
            </w:pPr>
            <w:r/>
            <w:r>
              <w:rPr>
                <w:rFonts w:ascii="Georgia" w:hAnsi="Georgia"/>
                <w:color w:val="1A1A1A"/>
                <w:sz w:val="18"/>
              </w:rPr>
              <w:t>Only 2026 YTD deal — itself a finding [DL-065]</w:t>
            </w:r>
          </w:p>
        </w:tc>
      </w:tr>
      <w:tr>
        <w:tc>
          <w:tcPr>
            <w:tcW w:type="dxa" w:w="864"/>
          </w:tcPr>
          <w:p>
            <w:pPr>
              <w:spacing w:after="40"/>
            </w:pPr>
            <w:r/>
            <w:r>
              <w:rPr>
                <w:rFonts w:ascii="Georgia" w:hAnsi="Georgia"/>
                <w:color w:val="1A1A1A"/>
                <w:sz w:val="18"/>
              </w:rPr>
              <w:t>2024</w:t>
            </w:r>
          </w:p>
        </w:tc>
        <w:tc>
          <w:tcPr>
            <w:tcW w:type="dxa" w:w="1008"/>
          </w:tcPr>
          <w:p>
            <w:pPr>
              <w:spacing w:after="40"/>
            </w:pPr>
            <w:r/>
            <w:r>
              <w:rPr>
                <w:rFonts w:ascii="Georgia" w:hAnsi="Georgia"/>
                <w:color w:val="1A1A1A"/>
                <w:sz w:val="18"/>
              </w:rPr>
              <w:t>MRNA</w:t>
            </w:r>
          </w:p>
        </w:tc>
        <w:tc>
          <w:tcPr>
            <w:tcW w:type="dxa" w:w="1584"/>
          </w:tcPr>
          <w:p>
            <w:pPr>
              <w:spacing w:after="40"/>
            </w:pPr>
            <w:r/>
            <w:r>
              <w:rPr>
                <w:rFonts w:ascii="Georgia" w:hAnsi="Georgia"/>
                <w:color w:val="1A1A1A"/>
                <w:sz w:val="18"/>
              </w:rPr>
              <w:t>OpenAI</w:t>
            </w:r>
          </w:p>
        </w:tc>
        <w:tc>
          <w:tcPr>
            <w:tcW w:type="dxa" w:w="1296"/>
          </w:tcPr>
          <w:p>
            <w:pPr>
              <w:spacing w:after="40"/>
            </w:pPr>
            <w:r/>
            <w:r>
              <w:rPr>
                <w:rFonts w:ascii="Georgia" w:hAnsi="Georgia"/>
                <w:color w:val="1A1A1A"/>
                <w:sz w:val="18"/>
              </w:rPr>
              <w:t>Enterprise</w:t>
            </w:r>
          </w:p>
        </w:tc>
        <w:tc>
          <w:tcPr>
            <w:tcW w:type="dxa" w:w="1152"/>
          </w:tcPr>
          <w:p>
            <w:pPr>
              <w:spacing w:after="40"/>
            </w:pPr>
            <w:r/>
            <w:r>
              <w:rPr>
                <w:rFonts w:ascii="Georgia" w:hAnsi="Georgia"/>
                <w:color w:val="1A1A1A"/>
                <w:sz w:val="18"/>
              </w:rPr>
              <w:t>n/d</w:t>
            </w:r>
          </w:p>
        </w:tc>
        <w:tc>
          <w:tcPr>
            <w:tcW w:type="dxa" w:w="1296"/>
          </w:tcPr>
          <w:p>
            <w:pPr>
              <w:spacing w:after="40"/>
            </w:pPr>
            <w:r/>
            <w:r>
              <w:rPr>
                <w:rFonts w:ascii="Georgia" w:hAnsi="Georgia"/>
                <w:color w:val="1A1A1A"/>
                <w:sz w:val="18"/>
              </w:rPr>
              <w:t>n/d</w:t>
            </w:r>
          </w:p>
        </w:tc>
        <w:tc>
          <w:tcPr>
            <w:tcW w:type="dxa" w:w="3600"/>
          </w:tcPr>
          <w:p>
            <w:pPr>
              <w:spacing w:after="40"/>
            </w:pPr>
            <w:r/>
            <w:r>
              <w:rPr>
                <w:rFonts w:ascii="Georgia" w:hAnsi="Georgia"/>
                <w:color w:val="1A1A1A"/>
                <w:sz w:val="18"/>
              </w:rPr>
              <w:t>Foundation-model opex automation [DL-066]</w:t>
            </w:r>
          </w:p>
        </w:tc>
      </w:tr>
      <w:tr>
        <w:tc>
          <w:tcPr>
            <w:tcW w:type="dxa" w:w="864"/>
            <w:shd w:val="clear" w:color="auto" w:fill="F2F2F2"/>
          </w:tcPr>
          <w:p>
            <w:pPr>
              <w:spacing w:after="40"/>
            </w:pPr>
            <w:r/>
            <w:r>
              <w:rPr>
                <w:rFonts w:ascii="Georgia" w:hAnsi="Georgia"/>
                <w:color w:val="1A1A1A"/>
                <w:sz w:val="18"/>
              </w:rPr>
              <w:t>2023</w:t>
            </w:r>
          </w:p>
        </w:tc>
        <w:tc>
          <w:tcPr>
            <w:tcW w:type="dxa" w:w="1008"/>
            <w:shd w:val="clear" w:color="auto" w:fill="F2F2F2"/>
          </w:tcPr>
          <w:p>
            <w:pPr>
              <w:spacing w:after="40"/>
            </w:pPr>
            <w:r/>
            <w:r>
              <w:rPr>
                <w:rFonts w:ascii="Georgia" w:hAnsi="Georgia"/>
                <w:color w:val="1A1A1A"/>
                <w:sz w:val="18"/>
              </w:rPr>
              <w:t>PFE</w:t>
            </w:r>
          </w:p>
        </w:tc>
        <w:tc>
          <w:tcPr>
            <w:tcW w:type="dxa" w:w="1584"/>
            <w:shd w:val="clear" w:color="auto" w:fill="F2F2F2"/>
          </w:tcPr>
          <w:p>
            <w:pPr>
              <w:spacing w:after="40"/>
            </w:pPr>
            <w:r/>
            <w:r>
              <w:rPr>
                <w:rFonts w:ascii="Georgia" w:hAnsi="Georgia"/>
                <w:color w:val="1A1A1A"/>
                <w:sz w:val="18"/>
              </w:rPr>
              <w:t>Causaly</w:t>
            </w:r>
          </w:p>
        </w:tc>
        <w:tc>
          <w:tcPr>
            <w:tcW w:type="dxa" w:w="1296"/>
            <w:shd w:val="clear" w:color="auto" w:fill="F2F2F2"/>
          </w:tcPr>
          <w:p>
            <w:pPr>
              <w:spacing w:after="40"/>
            </w:pPr>
            <w:r/>
            <w:r>
              <w:rPr>
                <w:rFonts w:ascii="Georgia" w:hAnsi="Georgia"/>
                <w:color w:val="1A1A1A"/>
                <w:sz w:val="18"/>
              </w:rPr>
              <w:t>Knowledge graph</w:t>
            </w:r>
          </w:p>
        </w:tc>
        <w:tc>
          <w:tcPr>
            <w:tcW w:type="dxa" w:w="1152"/>
            <w:shd w:val="clear" w:color="auto" w:fill="F2F2F2"/>
          </w:tcPr>
          <w:p>
            <w:pPr>
              <w:spacing w:after="40"/>
            </w:pPr>
            <w:r/>
            <w:r>
              <w:rPr>
                <w:rFonts w:ascii="Georgia" w:hAnsi="Georgia"/>
                <w:color w:val="1A1A1A"/>
                <w:sz w:val="18"/>
              </w:rPr>
              <w:t>n/d</w:t>
            </w:r>
          </w:p>
        </w:tc>
        <w:tc>
          <w:tcPr>
            <w:tcW w:type="dxa" w:w="1296"/>
            <w:shd w:val="clear" w:color="auto" w:fill="F2F2F2"/>
          </w:tcPr>
          <w:p>
            <w:pPr>
              <w:spacing w:after="40"/>
            </w:pPr>
            <w:r/>
            <w:r>
              <w:rPr>
                <w:rFonts w:ascii="Georgia" w:hAnsi="Georgia"/>
                <w:color w:val="1A1A1A"/>
                <w:sz w:val="18"/>
              </w:rPr>
              <w:t>n/d</w:t>
            </w:r>
          </w:p>
        </w:tc>
        <w:tc>
          <w:tcPr>
            <w:tcW w:type="dxa" w:w="3600"/>
            <w:shd w:val="clear" w:color="auto" w:fill="F2F2F2"/>
          </w:tcPr>
          <w:p>
            <w:pPr>
              <w:spacing w:after="40"/>
            </w:pPr>
            <w:r/>
            <w:r>
              <w:rPr>
                <w:rFonts w:ascii="Georgia" w:hAnsi="Georgia"/>
                <w:color w:val="1A1A1A"/>
                <w:sz w:val="18"/>
              </w:rPr>
              <w:t>Small but signals back-office AI direction [DL-070]</w:t>
            </w:r>
          </w:p>
        </w:tc>
      </w:tr>
      <w:tr>
        <w:tc>
          <w:tcPr>
            <w:tcW w:type="dxa" w:w="864"/>
          </w:tcPr>
          <w:p>
            <w:pPr>
              <w:spacing w:after="40"/>
            </w:pPr>
            <w:r/>
            <w:r>
              <w:rPr>
                <w:rFonts w:ascii="Georgia" w:hAnsi="Georgia"/>
                <w:color w:val="1A1A1A"/>
                <w:sz w:val="18"/>
              </w:rPr>
              <w:t>2024</w:t>
            </w:r>
          </w:p>
        </w:tc>
        <w:tc>
          <w:tcPr>
            <w:tcW w:type="dxa" w:w="1008"/>
          </w:tcPr>
          <w:p>
            <w:pPr>
              <w:spacing w:after="40"/>
            </w:pPr>
            <w:r/>
            <w:r>
              <w:rPr>
                <w:rFonts w:ascii="Georgia" w:hAnsi="Georgia"/>
                <w:color w:val="1A1A1A"/>
                <w:sz w:val="18"/>
              </w:rPr>
              <w:t>BMS</w:t>
            </w:r>
          </w:p>
        </w:tc>
        <w:tc>
          <w:tcPr>
            <w:tcW w:type="dxa" w:w="1584"/>
          </w:tcPr>
          <w:p>
            <w:pPr>
              <w:spacing w:after="40"/>
            </w:pPr>
            <w:r/>
            <w:r>
              <w:rPr>
                <w:rFonts w:ascii="Georgia" w:hAnsi="Georgia"/>
                <w:color w:val="1A1A1A"/>
                <w:sz w:val="18"/>
              </w:rPr>
              <w:t>Insitro</w:t>
            </w:r>
          </w:p>
        </w:tc>
        <w:tc>
          <w:tcPr>
            <w:tcW w:type="dxa" w:w="1296"/>
          </w:tcPr>
          <w:p>
            <w:pPr>
              <w:spacing w:after="40"/>
            </w:pPr>
            <w:r/>
            <w:r>
              <w:rPr>
                <w:rFonts w:ascii="Georgia" w:hAnsi="Georgia"/>
                <w:color w:val="1A1A1A"/>
                <w:sz w:val="18"/>
              </w:rPr>
              <w:t>Expansion</w:t>
            </w:r>
          </w:p>
        </w:tc>
        <w:tc>
          <w:tcPr>
            <w:tcW w:type="dxa" w:w="1152"/>
          </w:tcPr>
          <w:p>
            <w:pPr>
              <w:spacing w:after="40"/>
            </w:pPr>
            <w:r/>
            <w:r>
              <w:rPr>
                <w:rFonts w:ascii="Georgia" w:hAnsi="Georgia"/>
                <w:color w:val="1A1A1A"/>
                <w:sz w:val="18"/>
              </w:rPr>
              <w:t>n/d</w:t>
            </w:r>
          </w:p>
        </w:tc>
        <w:tc>
          <w:tcPr>
            <w:tcW w:type="dxa" w:w="1296"/>
          </w:tcPr>
          <w:p>
            <w:pPr>
              <w:spacing w:after="40"/>
            </w:pPr>
            <w:r/>
            <w:r>
              <w:rPr>
                <w:rFonts w:ascii="Georgia" w:hAnsi="Georgia"/>
                <w:color w:val="1A1A1A"/>
                <w:sz w:val="18"/>
              </w:rPr>
              <w:t>n/d</w:t>
            </w:r>
          </w:p>
        </w:tc>
        <w:tc>
          <w:tcPr>
            <w:tcW w:type="dxa" w:w="3600"/>
          </w:tcPr>
          <w:p>
            <w:pPr>
              <w:spacing w:after="40"/>
            </w:pPr>
            <w:r/>
            <w:r>
              <w:rPr>
                <w:rFonts w:ascii="Georgia" w:hAnsi="Georgia"/>
                <w:color w:val="1A1A1A"/>
                <w:sz w:val="18"/>
              </w:rPr>
              <w:t>Added metabolic programs; financials undisclosed [DL-064]</w:t>
            </w:r>
          </w:p>
        </w:tc>
      </w:tr>
    </w:tbl>
    <w:tbl>
      <w:tblPr>
        <w:tblW w:type="auto" w:w="0"/>
        <w:jc w:val="center"/>
        <w:tblLook w:firstColumn="1" w:firstRow="1" w:lastColumn="0" w:lastRow="0" w:noHBand="0" w:noVBand="1" w:val="04A0"/>
      </w:tblPr>
      <w:tblGrid>
        <w:gridCol w:w="4680"/>
        <w:gridCol w:w="4680"/>
      </w:tblGrid>
      <w:tr>
        <w:tc>
          <w:tcPr>
            <w:tcW w:type="dxa" w:w="4680"/>
            <w:shd w:val="clear" w:color="auto" w:fill="001E3C"/>
          </w:tcPr>
          <w:p>
            <w:pPr>
              <w:spacing w:after="40"/>
            </w:pPr>
            <w:r>
              <w:rPr>
                <w:rFonts w:ascii="Calibri" w:hAnsi="Calibri"/>
                <w:b/>
                <w:color w:val="FFFFFF"/>
                <w:sz w:val="20"/>
              </w:rPr>
              <w:t>Bullish deal-terms signals</w:t>
            </w:r>
          </w:p>
        </w:tc>
        <w:tc>
          <w:tcPr>
            <w:tcW w:type="dxa" w:w="4680"/>
            <w:shd w:val="clear" w:color="auto" w:fill="001E3C"/>
          </w:tcPr>
          <w:p>
            <w:pPr>
              <w:spacing w:after="40"/>
            </w:pPr>
            <w:r>
              <w:rPr>
                <w:rFonts w:ascii="Calibri" w:hAnsi="Calibri"/>
                <w:b/>
                <w:color w:val="FFFFFF"/>
                <w:sz w:val="20"/>
              </w:rPr>
              <w:t>Bearish deal-terms signals</w:t>
            </w:r>
          </w:p>
        </w:tc>
      </w:tr>
      <w:tr>
        <w:tc>
          <w:tcPr>
            <w:tcW w:type="dxa" w:w="4680"/>
            <w:shd w:val="clear" w:color="auto" w:fill="F2F2F2"/>
          </w:tcPr>
          <w:p>
            <w:pPr>
              <w:spacing w:after="60"/>
            </w:pPr>
            <w:r/>
            <w:r>
              <w:rPr>
                <w:rFonts w:ascii="Georgia" w:hAnsi="Georgia"/>
                <w:color w:val="1A1A1A"/>
                <w:sz w:val="20"/>
              </w:rPr>
              <w:t>• Median upfront moved from ~$1M per-milestone (2018) to nine-figure ($45M–$150M) by 2024 — capital signalling strategic conviction [DL-001, DL-004, DL-042].</w:t>
            </w:r>
          </w:p>
          <w:p>
            <w:pPr>
              <w:spacing w:after="60"/>
            </w:pPr>
            <w:r>
              <w:rPr>
                <w:rFonts w:ascii="Georgia" w:hAnsi="Georgia"/>
                <w:color w:val="1A1A1A"/>
                <w:sz w:val="20"/>
              </w:rPr>
              <w:t>• Equity-component prevalence moved from &lt;5% to ~25% post-2020 — pharma treating AI counterparties as platform partners not service vendors.</w:t>
            </w:r>
          </w:p>
          <w:p>
            <w:pPr>
              <w:spacing w:after="60"/>
            </w:pPr>
            <w:r>
              <w:rPr>
                <w:rFonts w:ascii="Georgia" w:hAnsi="Georgia"/>
                <w:color w:val="1A1A1A"/>
                <w:sz w:val="20"/>
              </w:rPr>
              <w:t>• Lilly × Insilico March 2026 $2.75B Rentosertib license is the first asset-specific 'show me' deal — early validation that pharma is willing to pay full price for clinical-stage AI assets [DL-046].</w:t>
            </w:r>
          </w:p>
          <w:p>
            <w:pPr>
              <w:spacing w:after="60"/>
            </w:pPr>
            <w:r>
              <w:rPr>
                <w:rFonts w:ascii="Georgia" w:hAnsi="Georgia"/>
                <w:color w:val="1A1A1A"/>
                <w:sz w:val="20"/>
              </w:rPr>
              <w:t>• Recursion × Exscientia $688M all-stock M&amp;A is consolidation rather than capitulation — sector is rationalizing, not collapsing [DL-040].</w:t>
            </w:r>
          </w:p>
        </w:tc>
        <w:tc>
          <w:tcPr>
            <w:tcW w:type="dxa" w:w="4680"/>
            <w:shd w:val="clear" w:color="auto" w:fill="F2F2F2"/>
          </w:tcPr>
          <w:p>
            <w:pPr>
              <w:spacing w:after="60"/>
            </w:pPr>
            <w:r/>
            <w:r>
              <w:rPr>
                <w:rFonts w:ascii="Georgia" w:hAnsi="Georgia"/>
                <w:color w:val="1A1A1A"/>
                <w:sz w:val="20"/>
              </w:rPr>
              <w:t>• Only 1 deal in our dataset is dated 2026 YTD — Q1 2026 deal flow is thinner than 2024 peak. Whether this is digestion or cooldown is unresolved [DL-065].</w:t>
            </w:r>
          </w:p>
          <w:p>
            <w:pPr>
              <w:spacing w:after="60"/>
            </w:pPr>
            <w:r>
              <w:rPr>
                <w:rFonts w:ascii="Georgia" w:hAnsi="Georgia"/>
                <w:color w:val="1A1A1A"/>
                <w:sz w:val="20"/>
              </w:rPr>
              <w:t>• Three signature failures: DSP-1181 (Sumitomo × Exscientia), EXS-21546 (Exscientia A2A), BAY × Exscientia €240M terminated [DL-056, DL-058, DL-029].</w:t>
            </w:r>
          </w:p>
          <w:p>
            <w:pPr>
              <w:spacing w:after="60"/>
            </w:pPr>
            <w:r>
              <w:rPr>
                <w:rFonts w:ascii="Georgia" w:hAnsi="Georgia"/>
                <w:color w:val="1A1A1A"/>
                <w:sz w:val="20"/>
              </w:rPr>
              <w:t>• Foundation-model deals (OpenAI, Anthropic, IBM) are structurally undisclosed — economics are unauditable; cannot be modelled.</w:t>
            </w:r>
          </w:p>
          <w:p>
            <w:pPr>
              <w:spacing w:after="60"/>
            </w:pPr>
            <w:r>
              <w:rPr>
                <w:rFonts w:ascii="Georgia" w:hAnsi="Georgia"/>
                <w:color w:val="1A1A1A"/>
                <w:sz w:val="20"/>
              </w:rPr>
              <w:t>• Cumulative deal value far exceeds the realized clinical output through 2026 — capital is several years ahead of operating reality.</w:t>
            </w:r>
          </w:p>
        </w:tc>
      </w:tr>
    </w:tbl>
    <w:p>
      <w:pPr>
        <w:keepNext/>
        <w:spacing w:before="360" w:after="200"/>
      </w:pPr>
      <w:r>
        <w:rPr>
          <w:rFonts w:ascii="Calibri" w:hAnsi="Calibri"/>
          <w:b/>
          <w:color w:val="001E3C"/>
          <w:sz w:val="28"/>
        </w:rPr>
        <w:t>The Right Analog: Autonomous Driving and Cell &amp; Gene Therapy</w:t>
      </w:r>
    </w:p>
    <w:p>
      <w:pPr>
        <w:spacing w:after="200"/>
      </w:pPr>
      <w:r>
        <w:rPr>
          <w:rFonts w:ascii="Georgia" w:hAnsi="Georgia"/>
          <w:i/>
          <w:color w:val="6C757D"/>
          <w:sz w:val="22"/>
        </w:rPr>
        <w:t>AI drug discovery sits roughly where autonomous driving sat in 2018–2019. The back half of the 2030s is the realistic horizon for measurable P&amp;L impact at covered pharma.</w:t>
      </w:r>
    </w:p>
    <w:p>
      <w:pPr>
        <w:spacing w:after="120" w:before="0" w:line="276" w:lineRule="auto"/>
      </w:pPr>
      <w:r>
        <w:rPr>
          <w:rFonts w:ascii="Georgia" w:hAnsi="Georgia"/>
          <w:b w:val="0"/>
          <w:i w:val="0"/>
          <w:sz w:val="20"/>
        </w:rPr>
        <w:t>We frame AI drug discovery's current technology-maturity position by comparing it to analogous capital cycles in adjacent technologies. The two best comparables are autonomous driving (for the maturity-curve and capital-cycle dimensions) and cell and gene therapy (for the regulator-and-drug-development-cycle dimension). Industrial AI / predictive maintenance and robotic process automation provide secondary reference points for the operating-line-narrative-vs-realized pattern.</w:t>
      </w:r>
    </w:p>
    <w:p>
      <w:pPr>
        <w:keepNext/>
        <w:spacing w:before="280" w:after="120"/>
      </w:pPr>
      <w:r>
        <w:rPr>
          <w:rFonts w:ascii="Calibri" w:hAnsi="Calibri"/>
          <w:b/>
          <w:color w:val="001E3C"/>
          <w:sz w:val="24"/>
        </w:rPr>
        <w:t>Autonomous driving — the maturity curve analog</w:t>
      </w:r>
    </w:p>
    <w:p>
      <w:pPr>
        <w:spacing w:after="120" w:before="0" w:line="276" w:lineRule="auto"/>
      </w:pPr>
      <w:r>
        <w:rPr>
          <w:rFonts w:ascii="Georgia" w:hAnsi="Georgia"/>
          <w:b w:val="0"/>
          <w:i w:val="0"/>
          <w:sz w:val="20"/>
        </w:rPr>
        <w:t>Google self-driving cars launched 2009; DARPA Urban Challenge 2007 set the technical baseline. Roughly $200B+ deployed across OEMs, hyperscalers, and pure-plays through 2024. Sixteen years and counting from inflection event to commercial-scale deployment: as of 2026, robotaxi services exist only in geofenced markets and total annual paid rides remain a rounding error vs. traditional rideshare. Cruise paused service after a 2023 pedestrian incident and wound down robotaxi operations; Argo AI shut down in 2022. ADAS — the de-hyped sibling subset — is now near-universal on new vehicles, but the original 'full autonomy' narrative has slid materially. Translation: technologies with multi-stakeholder gating (regulator + customer + capital) and long output cycles routinely stay pre-commercial for 15+ years from inflection, even with hundreds of billions of capital deployed.</w:t>
      </w:r>
    </w:p>
    <w:p>
      <w:pPr>
        <w:keepNext/>
        <w:spacing w:before="280" w:after="120"/>
      </w:pPr>
      <w:r>
        <w:rPr>
          <w:rFonts w:ascii="Calibri" w:hAnsi="Calibri"/>
          <w:b/>
          <w:color w:val="001E3C"/>
          <w:sz w:val="24"/>
        </w:rPr>
        <w:t>Cell and gene therapy — the regulator cycle analog</w:t>
      </w:r>
    </w:p>
    <w:p>
      <w:pPr>
        <w:spacing w:after="120" w:before="0" w:line="276" w:lineRule="auto"/>
      </w:pPr>
      <w:r>
        <w:rPr>
          <w:rFonts w:ascii="Georgia" w:hAnsi="Georgia"/>
          <w:b w:val="0"/>
          <w:i w:val="0"/>
          <w:sz w:val="20"/>
        </w:rPr>
        <w:t>First gene therapy clinical trial 1990; first FDA-approved CAR-T (Kymriah) 2017. Roughly $100B+ in CGT-focused biotech equity issuance 2017–2024. Twenty-seven years from first clinical trial to first commercial approval; seven additional years from first approval for the category to reach measurable scale (Yescarta + Kymriah combined ~$3B in 2023). Total CGT revenue across all approvals globally ~$8B in 2024 — meaningful but not pharma-margin-moving for any large incumbent. Translation: real categories take seven to ten years from first commercial approval to reach 'measurable on a consolidated pharma P&amp;L' scale.</w:t>
      </w:r>
    </w:p>
    <w:p>
      <w:pPr>
        <w:keepNext/>
        <w:spacing w:before="280" w:after="120"/>
      </w:pPr>
      <w:r>
        <w:rPr>
          <w:rFonts w:ascii="Calibri" w:hAnsi="Calibri"/>
          <w:b/>
          <w:color w:val="001E3C"/>
          <w:sz w:val="24"/>
        </w:rPr>
        <w:t>The analog math</w:t>
      </w:r>
    </w:p>
    <w:p>
      <w:pPr>
        <w:spacing w:after="120" w:before="0" w:line="276" w:lineRule="auto"/>
      </w:pPr>
      <w:r>
        <w:rPr>
          <w:rFonts w:ascii="Georgia" w:hAnsi="Georgia"/>
          <w:b w:val="0"/>
          <w:i w:val="0"/>
          <w:sz w:val="20"/>
        </w:rPr>
        <w:t>AlphaFold-2 inflection: November 2020. Zasocitinib NDA targeted FY2026 with potential launch ~2027 if approved. Applying the CGT trajectory of seven to ten years from first approval to measurable P&amp;L impact yields the back half of the 2030s as the earliest realistic horizon. Applying the autonomous-driving trajectory to the operating-line efficiency narrative — material 10-K disclosure of AI-attributable operating savings across the covered universe — yields the same back-half-of-the-2030s answer, conditional on the deal market not correcting first.</w:t>
      </w:r>
    </w:p>
    <w:p>
      <w:pPr>
        <w:jc w:val="center"/>
      </w:pPr>
      <w:r>
        <w:rPr>
          <w:rFonts w:ascii="Calibri" w:hAnsi="Calibri"/>
          <w:b/>
          <w:color w:val="001E3C"/>
          <w:sz w:val="20"/>
        </w:rPr>
        <w:t>[CHART 7]  Adoption-curve overlay — stylized, three analogs plus AI drug discovery current position</w:t>
      </w:r>
    </w:p>
    <w:tbl>
      <w:tblPr>
        <w:tblW w:type="auto" w:w="0"/>
        <w:jc w:val="center"/>
        <w:tblLook w:firstColumn="1" w:firstRow="1" w:lastColumn="0" w:lastRow="0" w:noHBand="0" w:noVBand="1" w:val="04A0"/>
      </w:tblPr>
      <w:tblGrid>
        <w:gridCol w:w="9360"/>
      </w:tblGrid>
      <w:tr>
        <w:tc>
          <w:tcPr>
            <w:tcW w:type="dxa" w:w="9360"/>
            <w:shd w:val="clear" w:color="auto" w:fill="F2F2F2"/>
          </w:tcPr>
          <w:p>
            <w:r/>
            <w:r>
              <w:rPr>
                <w:rFonts w:ascii="Georgia" w:hAnsi="Georgia"/>
                <w:i/>
                <w:sz w:val="18"/>
              </w:rPr>
              <w:t>Chart spec — data sourced from matrix; production build to follow.</w:t>
            </w:r>
          </w:p>
          <w:p>
            <w:r>
              <w:rPr>
                <w:rFonts w:ascii="Calibri" w:hAnsi="Calibri"/>
                <w:b/>
                <w:color w:val="001E3C"/>
                <w:sz w:val="18"/>
              </w:rPr>
              <w:t xml:space="preserve">X-axis: </w:t>
            </w:r>
            <w:r>
              <w:rPr>
                <w:rFonts w:ascii="Georgia" w:hAnsi="Georgia"/>
                <w:color w:val="1A1A1A"/>
                <w:sz w:val="18"/>
              </w:rPr>
              <w:t>Years from technology inflection event (0–17)</w:t>
            </w:r>
          </w:p>
          <w:p>
            <w:r>
              <w:rPr>
                <w:rFonts w:ascii="Calibri" w:hAnsi="Calibri"/>
                <w:b/>
                <w:color w:val="001E3C"/>
                <w:sz w:val="18"/>
              </w:rPr>
              <w:t xml:space="preserve">Y-axis: </w:t>
            </w:r>
            <w:r>
              <w:rPr>
                <w:rFonts w:ascii="Georgia" w:hAnsi="Georgia"/>
                <w:color w:val="1A1A1A"/>
                <w:sz w:val="18"/>
              </w:rPr>
              <w:t>Adoption as % of addressable market</w:t>
            </w:r>
          </w:p>
          <w:p>
            <w:r>
              <w:rPr>
                <w:rFonts w:ascii="Calibri" w:hAnsi="Calibri"/>
                <w:b/>
                <w:color w:val="001E3C"/>
                <w:sz w:val="18"/>
              </w:rPr>
              <w:t xml:space="preserve">Series: </w:t>
            </w:r>
            <w:r>
              <w:rPr>
                <w:rFonts w:ascii="Georgia" w:hAnsi="Georgia"/>
                <w:color w:val="1A1A1A"/>
                <w:sz w:val="18"/>
              </w:rPr>
              <w:t>Four series: navy = autonomous driving, muted teal = cell &amp; gene therapy, cool gray = industrial AI, Bernstein red = AI drug discovery (current position only — Year 5)</w:t>
            </w:r>
          </w:p>
          <w:p>
            <w:r>
              <w:rPr>
                <w:rFonts w:ascii="Calibri" w:hAnsi="Calibri"/>
                <w:b/>
                <w:color w:val="001E3C"/>
                <w:sz w:val="18"/>
              </w:rPr>
              <w:t xml:space="preserve">Source rows: </w:t>
            </w:r>
            <w:r>
              <w:rPr>
                <w:rFonts w:ascii="Georgia" w:hAnsi="Georgia"/>
                <w:color w:val="1A1A1A"/>
                <w:sz w:val="18"/>
              </w:rPr>
              <w:t>Q5_Analogs.xlsx Adoption_Curve_Chart tab</w:t>
            </w:r>
          </w:p>
          <w:p>
            <w:r>
              <w:rPr>
                <w:rFonts w:ascii="Calibri" w:hAnsi="Calibri"/>
                <w:b/>
                <w:color w:val="001E3C"/>
                <w:sz w:val="18"/>
              </w:rPr>
              <w:t xml:space="preserve">Methodology: </w:t>
            </w:r>
            <w:r>
              <w:rPr>
                <w:rFonts w:ascii="Georgia" w:hAnsi="Georgia"/>
                <w:color w:val="1A1A1A"/>
                <w:sz w:val="18"/>
              </w:rPr>
              <w:t>Adoption curves are stylized — anchored on disclosed adoption metrics (NHTSA VMT %, CGT revenue / pharma revenue, GE Predix/Siemens MindSphere disclosed revenue) but smoothed for visualization. Honest about extrapolation.</w:t>
            </w:r>
          </w:p>
        </w:tc>
      </w:tr>
    </w:tbl>
    <w:p>
      <w:r>
        <w:rPr>
          <w:rFonts w:ascii="Georgia" w:hAnsi="Georgia"/>
          <w:i/>
          <w:color w:val="6C757D"/>
          <w:sz w:val="16"/>
        </w:rPr>
        <w:t>As of 2026-05-11. Source: Waymo/Alphabet 10-Ks; FDA CGT approvals + Evaluate Pharma; GE/Siemens 10-Ks 2015–2022; Bernstein synthesis.</w:t>
      </w:r>
    </w:p>
    <w:tbl>
      <w:tblPr>
        <w:tblW w:type="auto" w:w="0"/>
        <w:jc w:val="center"/>
        <w:tblLook w:firstColumn="1" w:firstRow="1" w:lastColumn="0" w:lastRow="0" w:noHBand="0" w:noVBand="1" w:val="04A0"/>
      </w:tblPr>
      <w:tblGrid>
        <w:gridCol w:w="4680"/>
        <w:gridCol w:w="4680"/>
      </w:tblGrid>
      <w:tr>
        <w:tc>
          <w:tcPr>
            <w:tcW w:type="dxa" w:w="4680"/>
            <w:shd w:val="clear" w:color="auto" w:fill="001E3C"/>
          </w:tcPr>
          <w:p>
            <w:pPr>
              <w:spacing w:after="40"/>
            </w:pPr>
            <w:r>
              <w:rPr>
                <w:rFonts w:ascii="Calibri" w:hAnsi="Calibri"/>
                <w:b/>
                <w:color w:val="FFFFFF"/>
                <w:sz w:val="20"/>
              </w:rPr>
              <w:t>Where the analog holds</w:t>
            </w:r>
          </w:p>
        </w:tc>
        <w:tc>
          <w:tcPr>
            <w:tcW w:type="dxa" w:w="4680"/>
            <w:shd w:val="clear" w:color="auto" w:fill="001E3C"/>
          </w:tcPr>
          <w:p>
            <w:pPr>
              <w:spacing w:after="40"/>
            </w:pPr>
            <w:r>
              <w:rPr>
                <w:rFonts w:ascii="Calibri" w:hAnsi="Calibri"/>
                <w:b/>
                <w:color w:val="FFFFFF"/>
                <w:sz w:val="20"/>
              </w:rPr>
              <w:t>Where the analog breaks (the upside case)</w:t>
            </w:r>
          </w:p>
        </w:tc>
      </w:tr>
      <w:tr>
        <w:tc>
          <w:tcPr>
            <w:tcW w:type="dxa" w:w="4680"/>
            <w:shd w:val="clear" w:color="auto" w:fill="F2F2F2"/>
          </w:tcPr>
          <w:p>
            <w:pPr>
              <w:spacing w:after="60"/>
            </w:pPr>
            <w:r/>
            <w:r>
              <w:rPr>
                <w:rFonts w:ascii="Georgia" w:hAnsi="Georgia"/>
                <w:color w:val="1A1A1A"/>
                <w:sz w:val="20"/>
              </w:rPr>
              <w:t>• Multi-stakeholder gating (regulator + customer + capital) and long output cycles → 15+ year pre-commercial phase.</w:t>
            </w:r>
          </w:p>
          <w:p>
            <w:pPr>
              <w:spacing w:after="60"/>
            </w:pPr>
            <w:r>
              <w:rPr>
                <w:rFonts w:ascii="Georgia" w:hAnsi="Georgia"/>
                <w:color w:val="1A1A1A"/>
                <w:sz w:val="20"/>
              </w:rPr>
              <w:t>• Capital cycle leads commercial reality by ~5–7 years in both autonomous driving and CGT.</w:t>
            </w:r>
          </w:p>
          <w:p>
            <w:pPr>
              <w:spacing w:after="60"/>
            </w:pPr>
            <w:r>
              <w:rPr>
                <w:rFonts w:ascii="Georgia" w:hAnsi="Georgia"/>
                <w:color w:val="1A1A1A"/>
                <w:sz w:val="20"/>
              </w:rPr>
              <w:t>• Consolidation events (Argo AI 2022, Cruise 2023, Recursion × Exscientia 2024) cluster at the trough phase.</w:t>
            </w:r>
          </w:p>
          <w:p>
            <w:pPr>
              <w:spacing w:after="60"/>
            </w:pPr>
            <w:r>
              <w:rPr>
                <w:rFonts w:ascii="Georgia" w:hAnsi="Georgia"/>
                <w:color w:val="1A1A1A"/>
                <w:sz w:val="20"/>
              </w:rPr>
              <w:t>• Even after first commercial approval, category-level revenue takes 7–10 years to be measurable on incumbent P&amp;Ls.</w:t>
            </w:r>
          </w:p>
        </w:tc>
        <w:tc>
          <w:tcPr>
            <w:tcW w:type="dxa" w:w="4680"/>
            <w:shd w:val="clear" w:color="auto" w:fill="F2F2F2"/>
          </w:tcPr>
          <w:p>
            <w:pPr>
              <w:spacing w:after="60"/>
            </w:pPr>
            <w:r/>
            <w:r>
              <w:rPr>
                <w:rFonts w:ascii="Georgia" w:hAnsi="Georgia"/>
                <w:color w:val="1A1A1A"/>
                <w:sz w:val="20"/>
              </w:rPr>
              <w:t>• AlphaFold's adoption (2.5M unique researchers in 4 years) is the rare AI-in-pharma success that has not yet translated to therapeutic-asset success.</w:t>
            </w:r>
          </w:p>
          <w:p>
            <w:pPr>
              <w:spacing w:after="60"/>
            </w:pPr>
            <w:r>
              <w:rPr>
                <w:rFonts w:ascii="Georgia" w:hAnsi="Georgia"/>
                <w:color w:val="1A1A1A"/>
                <w:sz w:val="20"/>
              </w:rPr>
              <w:t>• The buyer of AI drug discovery (concentrated big pharma) is structurally different from autonomous-driving (consumers + fleet operators); concentration could accelerate adoption if 1–2 buyers commit.</w:t>
            </w:r>
          </w:p>
          <w:p>
            <w:pPr>
              <w:spacing w:after="60"/>
            </w:pPr>
            <w:r>
              <w:rPr>
                <w:rFonts w:ascii="Georgia" w:hAnsi="Georgia"/>
                <w:color w:val="1A1A1A"/>
                <w:sz w:val="20"/>
              </w:rPr>
              <w:t>• Foundation-model AI may follow AlphaFold's faster curve rather than GE Predix's slower one.</w:t>
            </w:r>
          </w:p>
          <w:p>
            <w:pPr>
              <w:spacing w:after="60"/>
            </w:pPr>
            <w:r>
              <w:rPr>
                <w:rFonts w:ascii="Georgia" w:hAnsi="Georgia"/>
                <w:color w:val="1A1A1A"/>
                <w:sz w:val="20"/>
              </w:rPr>
              <w:t>• Drug discovery's output cycle is longer than autonomous driving's — wins or losses are observable in years, not months. This makes the lag worse, not better.</w:t>
            </w:r>
          </w:p>
        </w:tc>
      </w:tr>
    </w:tbl>
    <w:p>
      <w:r>
        <w:br w:type="page"/>
      </w:r>
    </w:p>
    <w:p>
      <w:pPr>
        <w:spacing w:before="3600" w:after="400"/>
        <w:jc w:val="center"/>
      </w:pPr>
      <w:r>
        <w:rPr>
          <w:rFonts w:ascii="Calibri" w:hAnsi="Calibri"/>
          <w:b/>
          <w:color w:val="001E3C"/>
          <w:sz w:val="56"/>
        </w:rPr>
        <w:t>MODEL INPUTS</w:t>
      </w:r>
    </w:p>
    <w:p>
      <w:pPr>
        <w:jc w:val="center"/>
      </w:pPr>
      <w:r>
        <w:rPr>
          <w:color w:val="C8102E"/>
          <w:sz w:val="28"/>
        </w:rPr>
        <w:t>— — —</w:t>
      </w:r>
    </w:p>
    <w:p>
      <w:pPr>
        <w:keepNext/>
        <w:spacing w:before="360" w:after="200"/>
      </w:pPr>
      <w:r>
        <w:rPr>
          <w:rFonts w:ascii="Calibri" w:hAnsi="Calibri"/>
          <w:b/>
          <w:color w:val="001E3C"/>
          <w:sz w:val="28"/>
        </w:rPr>
        <w:t>Claim, Proof, Verdict — Not Ranges</w:t>
      </w:r>
    </w:p>
    <w:p>
      <w:pPr>
        <w:spacing w:after="200"/>
      </w:pPr>
      <w:r>
        <w:rPr>
          <w:rFonts w:ascii="Georgia" w:hAnsi="Georgia"/>
          <w:i/>
          <w:color w:val="6C757D"/>
          <w:sz w:val="22"/>
        </w:rPr>
        <w:t>On the operating-line categories, the evidence is too thin to publish defensible low/base/high. We publish what companies have claimed and whether proof exists.</w:t>
      </w:r>
    </w:p>
    <w:p>
      <w:pPr>
        <w:spacing w:after="120" w:before="0" w:line="276" w:lineRule="auto"/>
      </w:pPr>
      <w:r>
        <w:rPr>
          <w:rFonts w:ascii="Georgia" w:hAnsi="Georgia"/>
          <w:b w:val="0"/>
          <w:i w:val="0"/>
          <w:sz w:val="20"/>
        </w:rPr>
        <w:t>Per the audit findings, three of four model-input categories (GM/COGS, SG&amp;A, R&amp;D opex) carry only anchor-n=1 quantified evidence and one (PoS by phase by TA) has seven of twelve cells marked INSUFFICIENT EVIDENCE. Rather than publish synthetic ranges that overstate the evidence base, we present the company-by-company claim profile, whether filing-grade proof exists, and a verdict band. The full workbook is available at 07_Model_Inputs.xlsx.</w:t>
      </w:r>
    </w:p>
    <w:p>
      <w:pPr>
        <w:keepNext/>
        <w:spacing w:before="280" w:after="120"/>
      </w:pPr>
      <w:r>
        <w:rPr>
          <w:rFonts w:ascii="Calibri" w:hAnsi="Calibri"/>
          <w:b/>
          <w:color w:val="001E3C"/>
          <w:sz w:val="24"/>
        </w:rPr>
        <w:t>Tab A — Gross Margin / COGS</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001E3C"/>
          </w:tcPr>
          <w:p>
            <w:pPr>
              <w:spacing w:after="40"/>
              <w:jc w:val="center"/>
            </w:pPr>
            <w:r>
              <w:rPr>
                <w:rFonts w:ascii="Calibri" w:hAnsi="Calibri"/>
                <w:b/>
                <w:color w:val="FFFFFF"/>
                <w:sz w:val="18"/>
              </w:rPr>
              <w:t>Estimate</w:t>
            </w:r>
          </w:p>
        </w:tc>
        <w:tc>
          <w:tcPr>
            <w:tcW w:type="dxa" w:w="3600"/>
            <w:shd w:val="clear" w:color="auto" w:fill="001E3C"/>
          </w:tcPr>
          <w:p>
            <w:pPr>
              <w:spacing w:after="40"/>
              <w:jc w:val="center"/>
            </w:pPr>
            <w:r>
              <w:rPr>
                <w:rFonts w:ascii="Calibri" w:hAnsi="Calibri"/>
                <w:b/>
                <w:color w:val="FFFFFF"/>
                <w:sz w:val="18"/>
              </w:rPr>
              <w:t>Company claim</w:t>
            </w:r>
          </w:p>
        </w:tc>
        <w:tc>
          <w:tcPr>
            <w:tcW w:type="dxa" w:w="1440"/>
            <w:shd w:val="clear" w:color="auto" w:fill="001E3C"/>
          </w:tcPr>
          <w:p>
            <w:pPr>
              <w:spacing w:after="40"/>
              <w:jc w:val="center"/>
            </w:pPr>
            <w:r>
              <w:rPr>
                <w:rFonts w:ascii="Calibri" w:hAnsi="Calibri"/>
                <w:b/>
                <w:color w:val="FFFFFF"/>
                <w:sz w:val="18"/>
              </w:rPr>
              <w:t>Filing-grade proof?</w:t>
            </w:r>
          </w:p>
        </w:tc>
        <w:tc>
          <w:tcPr>
            <w:tcW w:type="dxa" w:w="2016"/>
            <w:shd w:val="clear" w:color="auto" w:fill="001E3C"/>
          </w:tcPr>
          <w:p>
            <w:pPr>
              <w:spacing w:after="40"/>
              <w:jc w:val="center"/>
            </w:pPr>
            <w:r>
              <w:rPr>
                <w:rFonts w:ascii="Calibri" w:hAnsi="Calibri"/>
                <w:b/>
                <w:color w:val="FFFFFF"/>
                <w:sz w:val="18"/>
              </w:rPr>
              <w:t>Verdict</w:t>
            </w:r>
          </w:p>
        </w:tc>
      </w:tr>
      <w:tr>
        <w:tc>
          <w:tcPr>
            <w:tcW w:type="dxa" w:w="2304"/>
          </w:tcPr>
          <w:p>
            <w:pPr>
              <w:spacing w:after="40"/>
            </w:pPr>
            <w:r/>
            <w:r>
              <w:rPr>
                <w:rFonts w:ascii="Georgia" w:hAnsi="Georgia"/>
                <w:color w:val="1A1A1A"/>
                <w:sz w:val="18"/>
              </w:rPr>
              <w:t>Small-mol manufacturing yield</w:t>
            </w:r>
          </w:p>
        </w:tc>
        <w:tc>
          <w:tcPr>
            <w:tcW w:type="dxa" w:w="3600"/>
          </w:tcPr>
          <w:p>
            <w:pPr>
              <w:spacing w:after="40"/>
            </w:pPr>
            <w:r/>
            <w:r>
              <w:rPr>
                <w:rFonts w:ascii="Georgia" w:hAnsi="Georgia"/>
                <w:color w:val="1A1A1A"/>
                <w:sz w:val="18"/>
              </w:rPr>
              <w:t>PFE +10% yield, -25% cycle time on a Type-3 line (GM-001, MGMT)</w:t>
            </w:r>
          </w:p>
        </w:tc>
        <w:tc>
          <w:tcPr>
            <w:tcW w:type="dxa" w:w="1440"/>
          </w:tcPr>
          <w:p>
            <w:pPr>
              <w:spacing w:after="40"/>
            </w:pPr>
            <w:r/>
            <w:r>
              <w:rPr>
                <w:rFonts w:ascii="Georgia" w:hAnsi="Georgia"/>
                <w:color w:val="1A1A1A"/>
                <w:sz w:val="18"/>
              </w:rPr>
              <w:t>NO — not in 10-K</w:t>
            </w:r>
          </w:p>
        </w:tc>
        <w:tc>
          <w:tcPr>
            <w:tcW w:type="dxa" w:w="2016"/>
          </w:tcPr>
          <w:p>
            <w:pPr>
              <w:spacing w:after="40"/>
            </w:pPr>
            <w:r/>
            <w:r>
              <w:rPr>
                <w:rFonts w:ascii="Georgia" w:hAnsi="Georgia"/>
                <w:color w:val="1A1A1A"/>
                <w:sz w:val="18"/>
              </w:rPr>
              <w:t>INSUFFICIENT — only n=1 management commentary; GM-009 disconfirms</w:t>
            </w:r>
          </w:p>
        </w:tc>
      </w:tr>
      <w:tr>
        <w:tc>
          <w:tcPr>
            <w:tcW w:type="dxa" w:w="2304"/>
            <w:shd w:val="clear" w:color="auto" w:fill="F2F2F2"/>
          </w:tcPr>
          <w:p>
            <w:pPr>
              <w:spacing w:after="40"/>
            </w:pPr>
            <w:r/>
            <w:r>
              <w:rPr>
                <w:rFonts w:ascii="Georgia" w:hAnsi="Georgia"/>
                <w:color w:val="1A1A1A"/>
                <w:sz w:val="18"/>
              </w:rPr>
              <w:t>Biologics manufacturing yield</w:t>
            </w:r>
          </w:p>
        </w:tc>
        <w:tc>
          <w:tcPr>
            <w:tcW w:type="dxa" w:w="3600"/>
            <w:shd w:val="clear" w:color="auto" w:fill="F2F2F2"/>
          </w:tcPr>
          <w:p>
            <w:pPr>
              <w:spacing w:after="40"/>
            </w:pPr>
            <w:r/>
            <w:r>
              <w:rPr>
                <w:rFonts w:ascii="Georgia" w:hAnsi="Georgia"/>
                <w:color w:val="1A1A1A"/>
                <w:sz w:val="18"/>
              </w:rPr>
              <w:t>Roche +5–10% (LIMITED); Amgen 3× protein engineering (MGMT); MRNA -50% LNP screening (LIMITED)</w:t>
            </w:r>
          </w:p>
        </w:tc>
        <w:tc>
          <w:tcPr>
            <w:tcW w:type="dxa" w:w="1440"/>
            <w:shd w:val="clear" w:color="auto" w:fill="F2F2F2"/>
          </w:tcPr>
          <w:p>
            <w:pPr>
              <w:spacing w:after="40"/>
            </w:pPr>
            <w:r/>
            <w:r>
              <w:rPr>
                <w:rFonts w:ascii="Georgia" w:hAnsi="Georgia"/>
                <w:color w:val="1A1A1A"/>
                <w:sz w:val="18"/>
              </w:rPr>
              <w:t>NO across all three</w:t>
            </w:r>
          </w:p>
        </w:tc>
        <w:tc>
          <w:tcPr>
            <w:tcW w:type="dxa" w:w="2016"/>
            <w:shd w:val="clear" w:color="auto" w:fill="F2F2F2"/>
          </w:tcPr>
          <w:p>
            <w:pPr>
              <w:spacing w:after="40"/>
            </w:pPr>
            <w:r/>
            <w:r>
              <w:rPr>
                <w:rFonts w:ascii="Georgia" w:hAnsi="Georgia"/>
                <w:color w:val="1A1A1A"/>
                <w:sz w:val="18"/>
              </w:rPr>
              <w:t>INSUFFICIENT — multiple management claims, none independently corroborated</w:t>
            </w:r>
          </w:p>
        </w:tc>
      </w:tr>
      <w:tr>
        <w:tc>
          <w:tcPr>
            <w:tcW w:type="dxa" w:w="2304"/>
          </w:tcPr>
          <w:p>
            <w:pPr>
              <w:spacing w:after="40"/>
            </w:pPr>
            <w:r/>
            <w:r>
              <w:rPr>
                <w:rFonts w:ascii="Georgia" w:hAnsi="Georgia"/>
                <w:color w:val="1A1A1A"/>
                <w:sz w:val="18"/>
              </w:rPr>
              <w:t>Process development timeline compression</w:t>
            </w:r>
          </w:p>
        </w:tc>
        <w:tc>
          <w:tcPr>
            <w:tcW w:type="dxa" w:w="3600"/>
          </w:tcPr>
          <w:p>
            <w:pPr>
              <w:spacing w:after="40"/>
            </w:pPr>
            <w:r/>
            <w:r>
              <w:rPr>
                <w:rFonts w:ascii="Georgia" w:hAnsi="Georgia"/>
                <w:color w:val="1A1A1A"/>
                <w:sz w:val="18"/>
              </w:rPr>
              <w:t>MRNA 42 days sequence-to-batch (LIMITED); AZN target -50% CMC (MGMT)</w:t>
            </w:r>
          </w:p>
        </w:tc>
        <w:tc>
          <w:tcPr>
            <w:tcW w:type="dxa" w:w="1440"/>
          </w:tcPr>
          <w:p>
            <w:pPr>
              <w:spacing w:after="40"/>
            </w:pPr>
            <w:r/>
            <w:r>
              <w:rPr>
                <w:rFonts w:ascii="Georgia" w:hAnsi="Georgia"/>
                <w:color w:val="1A1A1A"/>
                <w:sz w:val="18"/>
              </w:rPr>
              <w:t>NO — vendor case study + R&amp;D Day</w:t>
            </w:r>
          </w:p>
        </w:tc>
        <w:tc>
          <w:tcPr>
            <w:tcW w:type="dxa" w:w="2016"/>
          </w:tcPr>
          <w:p>
            <w:pPr>
              <w:spacing w:after="40"/>
            </w:pPr>
            <w:r/>
            <w:r>
              <w:rPr>
                <w:rFonts w:ascii="Georgia" w:hAnsi="Georgia"/>
                <w:color w:val="1A1A1A"/>
                <w:sz w:val="18"/>
              </w:rPr>
              <w:t>INSUFFICIENT — directional only, no filing-grade anchor</w:t>
            </w:r>
          </w:p>
        </w:tc>
      </w:tr>
      <w:tr>
        <w:tc>
          <w:tcPr>
            <w:tcW w:type="dxa" w:w="2304"/>
            <w:shd w:val="clear" w:color="auto" w:fill="F2F2F2"/>
          </w:tcPr>
          <w:p>
            <w:pPr>
              <w:spacing w:after="40"/>
            </w:pPr>
            <w:r/>
            <w:r>
              <w:rPr>
                <w:rFonts w:ascii="Georgia" w:hAnsi="Georgia"/>
                <w:color w:val="1A1A1A"/>
                <w:sz w:val="18"/>
              </w:rPr>
              <w:t>Implied COGS reduction (% revenue)</w:t>
            </w:r>
          </w:p>
        </w:tc>
        <w:tc>
          <w:tcPr>
            <w:tcW w:type="dxa" w:w="3600"/>
            <w:shd w:val="clear" w:color="auto" w:fill="F2F2F2"/>
          </w:tcPr>
          <w:p>
            <w:pPr>
              <w:spacing w:after="40"/>
            </w:pPr>
            <w:r/>
            <w:r>
              <w:rPr>
                <w:rFonts w:ascii="Georgia" w:hAnsi="Georgia"/>
                <w:color w:val="1A1A1A"/>
                <w:sz w:val="18"/>
              </w:rPr>
              <w:t>Sanofi $300M COGS/G&amp;A savings (MGMT)</w:t>
            </w:r>
          </w:p>
        </w:tc>
        <w:tc>
          <w:tcPr>
            <w:tcW w:type="dxa" w:w="1440"/>
            <w:shd w:val="clear" w:color="auto" w:fill="F2F2F2"/>
          </w:tcPr>
          <w:p>
            <w:pPr>
              <w:spacing w:after="40"/>
            </w:pPr>
            <w:r/>
            <w:r>
              <w:rPr>
                <w:rFonts w:ascii="Georgia" w:hAnsi="Georgia"/>
                <w:color w:val="1A1A1A"/>
                <w:sz w:val="18"/>
              </w:rPr>
              <w:t>NO across covered names</w:t>
            </w:r>
          </w:p>
        </w:tc>
        <w:tc>
          <w:tcPr>
            <w:tcW w:type="dxa" w:w="2016"/>
            <w:shd w:val="clear" w:color="auto" w:fill="F2F2F2"/>
          </w:tcPr>
          <w:p>
            <w:pPr>
              <w:spacing w:after="40"/>
            </w:pPr>
            <w:r/>
            <w:r>
              <w:rPr>
                <w:rFonts w:ascii="Georgia" w:hAnsi="Georgia"/>
                <w:color w:val="1A1A1A"/>
                <w:sz w:val="18"/>
              </w:rPr>
              <w:t>INSUFFICIENT — even upper bounds do not move consolidated GM by 1pp</w:t>
            </w:r>
          </w:p>
        </w:tc>
      </w:tr>
    </w:tbl>
    <w:p>
      <w:pPr>
        <w:keepNext/>
        <w:spacing w:before="280" w:after="120"/>
      </w:pPr>
      <w:r>
        <w:rPr>
          <w:rFonts w:ascii="Calibri" w:hAnsi="Calibri"/>
          <w:b/>
          <w:color w:val="001E3C"/>
          <w:sz w:val="24"/>
        </w:rPr>
        <w:t>Tab B — SG&amp;A</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001E3C"/>
          </w:tcPr>
          <w:p>
            <w:pPr>
              <w:spacing w:after="40"/>
              <w:jc w:val="center"/>
            </w:pPr>
            <w:r>
              <w:rPr>
                <w:rFonts w:ascii="Calibri" w:hAnsi="Calibri"/>
                <w:b/>
                <w:color w:val="FFFFFF"/>
                <w:sz w:val="18"/>
              </w:rPr>
              <w:t>Estimate</w:t>
            </w:r>
          </w:p>
        </w:tc>
        <w:tc>
          <w:tcPr>
            <w:tcW w:type="dxa" w:w="3600"/>
            <w:shd w:val="clear" w:color="auto" w:fill="001E3C"/>
          </w:tcPr>
          <w:p>
            <w:pPr>
              <w:spacing w:after="40"/>
              <w:jc w:val="center"/>
            </w:pPr>
            <w:r>
              <w:rPr>
                <w:rFonts w:ascii="Calibri" w:hAnsi="Calibri"/>
                <w:b/>
                <w:color w:val="FFFFFF"/>
                <w:sz w:val="18"/>
              </w:rPr>
              <w:t>Company claim</w:t>
            </w:r>
          </w:p>
        </w:tc>
        <w:tc>
          <w:tcPr>
            <w:tcW w:type="dxa" w:w="1440"/>
            <w:shd w:val="clear" w:color="auto" w:fill="001E3C"/>
          </w:tcPr>
          <w:p>
            <w:pPr>
              <w:spacing w:after="40"/>
              <w:jc w:val="center"/>
            </w:pPr>
            <w:r>
              <w:rPr>
                <w:rFonts w:ascii="Calibri" w:hAnsi="Calibri"/>
                <w:b/>
                <w:color w:val="FFFFFF"/>
                <w:sz w:val="18"/>
              </w:rPr>
              <w:t>Filing-grade proof?</w:t>
            </w:r>
          </w:p>
        </w:tc>
        <w:tc>
          <w:tcPr>
            <w:tcW w:type="dxa" w:w="2016"/>
            <w:shd w:val="clear" w:color="auto" w:fill="001E3C"/>
          </w:tcPr>
          <w:p>
            <w:pPr>
              <w:spacing w:after="40"/>
              <w:jc w:val="center"/>
            </w:pPr>
            <w:r>
              <w:rPr>
                <w:rFonts w:ascii="Calibri" w:hAnsi="Calibri"/>
                <w:b/>
                <w:color w:val="FFFFFF"/>
                <w:sz w:val="18"/>
              </w:rPr>
              <w:t>Verdict</w:t>
            </w:r>
          </w:p>
        </w:tc>
      </w:tr>
      <w:tr>
        <w:tc>
          <w:tcPr>
            <w:tcW w:type="dxa" w:w="2304"/>
          </w:tcPr>
          <w:p>
            <w:pPr>
              <w:spacing w:after="40"/>
            </w:pPr>
            <w:r/>
            <w:r>
              <w:rPr>
                <w:rFonts w:ascii="Georgia" w:hAnsi="Georgia"/>
                <w:color w:val="1A1A1A"/>
                <w:sz w:val="18"/>
              </w:rPr>
              <w:t>Sales force FTE reduction</w:t>
            </w:r>
          </w:p>
        </w:tc>
        <w:tc>
          <w:tcPr>
            <w:tcW w:type="dxa" w:w="3600"/>
          </w:tcPr>
          <w:p>
            <w:pPr>
              <w:spacing w:after="40"/>
            </w:pPr>
            <w:r/>
            <w:r>
              <w:rPr>
                <w:rFonts w:ascii="Georgia" w:hAnsi="Georgia"/>
                <w:color w:val="1A1A1A"/>
                <w:sz w:val="18"/>
              </w:rPr>
              <w:t>PFE 70% target specialties #1/#2 (MGMT); PFE deployment scale (MGMT)</w:t>
            </w:r>
          </w:p>
        </w:tc>
        <w:tc>
          <w:tcPr>
            <w:tcW w:type="dxa" w:w="1440"/>
          </w:tcPr>
          <w:p>
            <w:pPr>
              <w:spacing w:after="40"/>
            </w:pPr>
            <w:r/>
            <w:r>
              <w:rPr>
                <w:rFonts w:ascii="Georgia" w:hAnsi="Georgia"/>
                <w:color w:val="1A1A1A"/>
                <w:sz w:val="18"/>
              </w:rPr>
              <w:t>NO — no covered name has disclosed FTE-count reduction attributed to AI</w:t>
            </w:r>
          </w:p>
        </w:tc>
        <w:tc>
          <w:tcPr>
            <w:tcW w:type="dxa" w:w="2016"/>
          </w:tcPr>
          <w:p>
            <w:pPr>
              <w:spacing w:after="40"/>
            </w:pPr>
            <w:r/>
            <w:r>
              <w:rPr>
                <w:rFonts w:ascii="Georgia" w:hAnsi="Georgia"/>
                <w:color w:val="1A1A1A"/>
                <w:sz w:val="18"/>
              </w:rPr>
              <w:t>INSUFFICIENT — productivity may exist; FTE-count reduction not in 10-Ks</w:t>
            </w:r>
          </w:p>
        </w:tc>
      </w:tr>
      <w:tr>
        <w:tc>
          <w:tcPr>
            <w:tcW w:type="dxa" w:w="2304"/>
            <w:shd w:val="clear" w:color="auto" w:fill="F2F2F2"/>
          </w:tcPr>
          <w:p>
            <w:pPr>
              <w:spacing w:after="40"/>
            </w:pPr>
            <w:r/>
            <w:r>
              <w:rPr>
                <w:rFonts w:ascii="Georgia" w:hAnsi="Georgia"/>
                <w:color w:val="1A1A1A"/>
                <w:sz w:val="18"/>
              </w:rPr>
              <w:t>Medical affairs / MSL productivity</w:t>
            </w:r>
          </w:p>
        </w:tc>
        <w:tc>
          <w:tcPr>
            <w:tcW w:type="dxa" w:w="3600"/>
            <w:shd w:val="clear" w:color="auto" w:fill="F2F2F2"/>
          </w:tcPr>
          <w:p>
            <w:pPr>
              <w:spacing w:after="40"/>
            </w:pPr>
            <w:r/>
            <w:r>
              <w:rPr>
                <w:rFonts w:ascii="Georgia" w:hAnsi="Georgia"/>
                <w:color w:val="1A1A1A"/>
                <w:sz w:val="18"/>
              </w:rPr>
              <w:t>MRK CSR draft 180h→80h (-55%) (SG-005, T1); PFE 16k hours saved (LIMITED); Sanofi -70% drafting (MGMT)</w:t>
            </w:r>
          </w:p>
        </w:tc>
        <w:tc>
          <w:tcPr>
            <w:tcW w:type="dxa" w:w="1440"/>
            <w:shd w:val="clear" w:color="auto" w:fill="F2F2F2"/>
          </w:tcPr>
          <w:p>
            <w:pPr>
              <w:spacing w:after="40"/>
            </w:pPr>
            <w:r/>
            <w:r>
              <w:rPr>
                <w:rFonts w:ascii="Georgia" w:hAnsi="Georgia"/>
                <w:color w:val="1A1A1A"/>
                <w:sz w:val="18"/>
              </w:rPr>
              <w:t>YES (narrow) — MRK SG-005 is filing-grade</w:t>
            </w:r>
          </w:p>
        </w:tc>
        <w:tc>
          <w:tcPr>
            <w:tcW w:type="dxa" w:w="2016"/>
            <w:shd w:val="clear" w:color="auto" w:fill="F2F2F2"/>
          </w:tcPr>
          <w:p>
            <w:pPr>
              <w:spacing w:after="40"/>
            </w:pPr>
            <w:r/>
            <w:r>
              <w:rPr>
                <w:rFonts w:ascii="Georgia" w:hAnsi="Georgia"/>
                <w:color w:val="1A1A1A"/>
                <w:sz w:val="18"/>
              </w:rPr>
              <w:t>REAL BUT NARROW — measurable medical-writing productivity; not a P&amp;L line</w:t>
            </w:r>
          </w:p>
        </w:tc>
      </w:tr>
      <w:tr>
        <w:tc>
          <w:tcPr>
            <w:tcW w:type="dxa" w:w="2304"/>
          </w:tcPr>
          <w:p>
            <w:pPr>
              <w:spacing w:after="40"/>
            </w:pPr>
            <w:r/>
            <w:r>
              <w:rPr>
                <w:rFonts w:ascii="Georgia" w:hAnsi="Georgia"/>
                <w:color w:val="1A1A1A"/>
                <w:sz w:val="18"/>
              </w:rPr>
              <w:t>G&amp;A back-office automation savings</w:t>
            </w:r>
          </w:p>
        </w:tc>
        <w:tc>
          <w:tcPr>
            <w:tcW w:type="dxa" w:w="3600"/>
          </w:tcPr>
          <w:p>
            <w:pPr>
              <w:spacing w:after="40"/>
            </w:pPr>
            <w:r/>
            <w:r>
              <w:rPr>
                <w:rFonts w:ascii="Georgia" w:hAnsi="Georgia"/>
                <w:color w:val="1A1A1A"/>
                <w:sz w:val="18"/>
              </w:rPr>
              <w:t>PFE $1.2B SG&amp;A inc. AI/automation (SG-001, T1, no flag); PFE $4.0B envelope (T1); Sanofi $300M G&amp;A (MGMT)</w:t>
            </w:r>
          </w:p>
        </w:tc>
        <w:tc>
          <w:tcPr>
            <w:tcW w:type="dxa" w:w="1440"/>
          </w:tcPr>
          <w:p>
            <w:pPr>
              <w:spacing w:after="40"/>
            </w:pPr>
            <w:r/>
            <w:r>
              <w:rPr>
                <w:rFonts w:ascii="Georgia" w:hAnsi="Georgia"/>
                <w:color w:val="1A1A1A"/>
                <w:sz w:val="18"/>
              </w:rPr>
              <w:t>YES — PFE SG-001 is the single Tier 1 material disclosure</w:t>
            </w:r>
          </w:p>
        </w:tc>
        <w:tc>
          <w:tcPr>
            <w:tcW w:type="dxa" w:w="2016"/>
          </w:tcPr>
          <w:p>
            <w:pPr>
              <w:spacing w:after="40"/>
            </w:pPr>
            <w:r/>
            <w:r>
              <w:rPr>
                <w:rFonts w:ascii="Georgia" w:hAnsi="Georgia"/>
                <w:color w:val="1A1A1A"/>
                <w:sz w:val="18"/>
              </w:rPr>
              <w:t>REAL BUT n=1 — anchored on a single PFE call disclosure not yet in FY24 10-K</w:t>
            </w:r>
          </w:p>
        </w:tc>
      </w:tr>
      <w:tr>
        <w:tc>
          <w:tcPr>
            <w:tcW w:type="dxa" w:w="2304"/>
            <w:shd w:val="clear" w:color="auto" w:fill="F2F2F2"/>
          </w:tcPr>
          <w:p>
            <w:pPr>
              <w:spacing w:after="40"/>
            </w:pPr>
            <w:r/>
            <w:r>
              <w:rPr>
                <w:rFonts w:ascii="Georgia" w:hAnsi="Georgia"/>
                <w:color w:val="1A1A1A"/>
                <w:sz w:val="18"/>
              </w:rPr>
              <w:t>Implied SG&amp;A % revenue delta, 5-yr forward</w:t>
            </w:r>
          </w:p>
        </w:tc>
        <w:tc>
          <w:tcPr>
            <w:tcW w:type="dxa" w:w="3600"/>
            <w:shd w:val="clear" w:color="auto" w:fill="F2F2F2"/>
          </w:tcPr>
          <w:p>
            <w:pPr>
              <w:spacing w:after="40"/>
            </w:pPr>
            <w:r/>
            <w:r>
              <w:rPr>
                <w:rFonts w:ascii="Georgia" w:hAnsi="Georgia"/>
                <w:color w:val="1A1A1A"/>
                <w:sz w:val="18"/>
              </w:rPr>
              <w:t>PFE $1.2B ≈ ~1.9% of FY24 rev; MRK CSR proxy; LLY operating leverage (Mounjaro/Zepbound-driven)</w:t>
            </w:r>
          </w:p>
        </w:tc>
        <w:tc>
          <w:tcPr>
            <w:tcW w:type="dxa" w:w="1440"/>
            <w:shd w:val="clear" w:color="auto" w:fill="F2F2F2"/>
          </w:tcPr>
          <w:p>
            <w:pPr>
              <w:spacing w:after="40"/>
            </w:pPr>
            <w:r/>
            <w:r>
              <w:rPr>
                <w:rFonts w:ascii="Georgia" w:hAnsi="Georgia"/>
                <w:color w:val="1A1A1A"/>
                <w:sz w:val="18"/>
              </w:rPr>
              <w:t>PARTIAL — LLY leverage REAL but AI-attribution unprovable; PFE absolute on transcript</w:t>
            </w:r>
          </w:p>
        </w:tc>
        <w:tc>
          <w:tcPr>
            <w:tcW w:type="dxa" w:w="2016"/>
            <w:shd w:val="clear" w:color="auto" w:fill="F2F2F2"/>
          </w:tcPr>
          <w:p>
            <w:pPr>
              <w:spacing w:after="40"/>
            </w:pPr>
            <w:r/>
            <w:r>
              <w:rPr>
                <w:rFonts w:ascii="Georgia" w:hAnsi="Georgia"/>
                <w:color w:val="1A1A1A"/>
                <w:sz w:val="18"/>
              </w:rPr>
              <w:t>TOO EARLY — decline to publish 5-yr forward delta</w:t>
            </w:r>
          </w:p>
        </w:tc>
      </w:tr>
    </w:tbl>
    <w:p>
      <w:pPr>
        <w:keepNext/>
        <w:spacing w:before="280" w:after="120"/>
      </w:pPr>
      <w:r>
        <w:rPr>
          <w:rFonts w:ascii="Calibri" w:hAnsi="Calibri"/>
          <w:b/>
          <w:color w:val="001E3C"/>
          <w:sz w:val="24"/>
        </w:rPr>
        <w:t>Tab C — R&amp;D Opex per Experiment / Program</w:t>
      </w:r>
    </w:p>
    <w:tbl>
      <w:tblPr>
        <w:tblW w:type="auto" w:w="0"/>
        <w:jc w:val="center"/>
        <w:tblLook w:firstColumn="1" w:firstRow="1" w:lastColumn="0" w:lastRow="0" w:noHBand="0" w:noVBand="1" w:val="04A0"/>
      </w:tblPr>
      <w:tblGrid>
        <w:gridCol w:w="2340"/>
        <w:gridCol w:w="2340"/>
        <w:gridCol w:w="2340"/>
        <w:gridCol w:w="2340"/>
      </w:tblGrid>
      <w:tr>
        <w:tc>
          <w:tcPr>
            <w:tcW w:type="dxa" w:w="2304"/>
            <w:shd w:val="clear" w:color="auto" w:fill="001E3C"/>
          </w:tcPr>
          <w:p>
            <w:pPr>
              <w:spacing w:after="40"/>
              <w:jc w:val="center"/>
            </w:pPr>
            <w:r>
              <w:rPr>
                <w:rFonts w:ascii="Calibri" w:hAnsi="Calibri"/>
                <w:b/>
                <w:color w:val="FFFFFF"/>
                <w:sz w:val="18"/>
              </w:rPr>
              <w:t>Estimate</w:t>
            </w:r>
          </w:p>
        </w:tc>
        <w:tc>
          <w:tcPr>
            <w:tcW w:type="dxa" w:w="3600"/>
            <w:shd w:val="clear" w:color="auto" w:fill="001E3C"/>
          </w:tcPr>
          <w:p>
            <w:pPr>
              <w:spacing w:after="40"/>
              <w:jc w:val="center"/>
            </w:pPr>
            <w:r>
              <w:rPr>
                <w:rFonts w:ascii="Calibri" w:hAnsi="Calibri"/>
                <w:b/>
                <w:color w:val="FFFFFF"/>
                <w:sz w:val="18"/>
              </w:rPr>
              <w:t>Company claim</w:t>
            </w:r>
          </w:p>
        </w:tc>
        <w:tc>
          <w:tcPr>
            <w:tcW w:type="dxa" w:w="1440"/>
            <w:shd w:val="clear" w:color="auto" w:fill="001E3C"/>
          </w:tcPr>
          <w:p>
            <w:pPr>
              <w:spacing w:after="40"/>
              <w:jc w:val="center"/>
            </w:pPr>
            <w:r>
              <w:rPr>
                <w:rFonts w:ascii="Calibri" w:hAnsi="Calibri"/>
                <w:b/>
                <w:color w:val="FFFFFF"/>
                <w:sz w:val="18"/>
              </w:rPr>
              <w:t>Filing-grade proof?</w:t>
            </w:r>
          </w:p>
        </w:tc>
        <w:tc>
          <w:tcPr>
            <w:tcW w:type="dxa" w:w="2016"/>
            <w:shd w:val="clear" w:color="auto" w:fill="001E3C"/>
          </w:tcPr>
          <w:p>
            <w:pPr>
              <w:spacing w:after="40"/>
              <w:jc w:val="center"/>
            </w:pPr>
            <w:r>
              <w:rPr>
                <w:rFonts w:ascii="Calibri" w:hAnsi="Calibri"/>
                <w:b/>
                <w:color w:val="FFFFFF"/>
                <w:sz w:val="18"/>
              </w:rPr>
              <w:t>Verdict</w:t>
            </w:r>
          </w:p>
        </w:tc>
      </w:tr>
      <w:tr>
        <w:tc>
          <w:tcPr>
            <w:tcW w:type="dxa" w:w="2304"/>
          </w:tcPr>
          <w:p>
            <w:pPr>
              <w:spacing w:after="40"/>
            </w:pPr>
            <w:r/>
            <w:r>
              <w:rPr>
                <w:rFonts w:ascii="Georgia" w:hAnsi="Georgia"/>
                <w:color w:val="1A1A1A"/>
                <w:sz w:val="18"/>
              </w:rPr>
              <w:t>$ per IND — AI vs. traditional</w:t>
            </w:r>
          </w:p>
        </w:tc>
        <w:tc>
          <w:tcPr>
            <w:tcW w:type="dxa" w:w="3600"/>
          </w:tcPr>
          <w:p>
            <w:pPr>
              <w:spacing w:after="40"/>
            </w:pPr>
            <w:r/>
            <w:r>
              <w:rPr>
                <w:rFonts w:ascii="Georgia" w:hAnsi="Georgia"/>
                <w:color w:val="1A1A1A"/>
                <w:sz w:val="18"/>
              </w:rPr>
              <w:t>Insilico Rentosertib $2.6M target-to-PCC vs. $50–100M industry (RD-001, T1, LIMITED)</w:t>
            </w:r>
          </w:p>
        </w:tc>
        <w:tc>
          <w:tcPr>
            <w:tcW w:type="dxa" w:w="1440"/>
          </w:tcPr>
          <w:p>
            <w:pPr>
              <w:spacing w:after="40"/>
            </w:pPr>
            <w:r/>
            <w:r>
              <w:rPr>
                <w:rFonts w:ascii="Georgia" w:hAnsi="Georgia"/>
                <w:color w:val="1A1A1A"/>
                <w:sz w:val="18"/>
              </w:rPr>
              <w:t>YES — peer-reviewed + Lilly $2.75B deal externally validates</w:t>
            </w:r>
          </w:p>
        </w:tc>
        <w:tc>
          <w:tcPr>
            <w:tcW w:type="dxa" w:w="2016"/>
          </w:tcPr>
          <w:p>
            <w:pPr>
              <w:spacing w:after="40"/>
            </w:pPr>
            <w:r/>
            <w:r>
              <w:rPr>
                <w:rFonts w:ascii="Georgia" w:hAnsi="Georgia"/>
                <w:color w:val="1A1A1A"/>
                <w:sz w:val="18"/>
              </w:rPr>
              <w:t>REAL BUT n=1 — single program, rare disease, survivorship-biased</w:t>
            </w:r>
          </w:p>
        </w:tc>
      </w:tr>
      <w:tr>
        <w:tc>
          <w:tcPr>
            <w:tcW w:type="dxa" w:w="2304"/>
            <w:shd w:val="clear" w:color="auto" w:fill="F2F2F2"/>
          </w:tcPr>
          <w:p>
            <w:pPr>
              <w:spacing w:after="40"/>
            </w:pPr>
            <w:r/>
            <w:r>
              <w:rPr>
                <w:rFonts w:ascii="Georgia" w:hAnsi="Georgia"/>
                <w:color w:val="1A1A1A"/>
                <w:sz w:val="18"/>
              </w:rPr>
              <w:t>$ per molecule synthesized</w:t>
            </w:r>
          </w:p>
        </w:tc>
        <w:tc>
          <w:tcPr>
            <w:tcW w:type="dxa" w:w="3600"/>
            <w:shd w:val="clear" w:color="auto" w:fill="F2F2F2"/>
          </w:tcPr>
          <w:p>
            <w:pPr>
              <w:spacing w:after="40"/>
            </w:pPr>
            <w:r/>
            <w:r>
              <w:rPr>
                <w:rFonts w:ascii="Georgia" w:hAnsi="Georgia"/>
                <w:color w:val="1A1A1A"/>
                <w:sz w:val="18"/>
              </w:rPr>
              <w:t>Insilico 60–200 molecules per PCC vs. ~5000 traditional (RDQ2-002); BMY/Exscientia ~80% fewer (MGMT)</w:t>
            </w:r>
          </w:p>
        </w:tc>
        <w:tc>
          <w:tcPr>
            <w:tcW w:type="dxa" w:w="1440"/>
            <w:shd w:val="clear" w:color="auto" w:fill="F2F2F2"/>
          </w:tcPr>
          <w:p>
            <w:pPr>
              <w:spacing w:after="40"/>
            </w:pPr>
            <w:r/>
            <w:r>
              <w:rPr>
                <w:rFonts w:ascii="Georgia" w:hAnsi="Georgia"/>
                <w:color w:val="1A1A1A"/>
                <w:sz w:val="18"/>
              </w:rPr>
              <w:t>PARTIAL — Insilico peer-reviewed; BMY/Exscientia MGMT-only</w:t>
            </w:r>
          </w:p>
        </w:tc>
        <w:tc>
          <w:tcPr>
            <w:tcW w:type="dxa" w:w="2016"/>
            <w:shd w:val="clear" w:color="auto" w:fill="F2F2F2"/>
          </w:tcPr>
          <w:p>
            <w:pPr>
              <w:spacing w:after="40"/>
            </w:pPr>
            <w:r/>
            <w:r>
              <w:rPr>
                <w:rFonts w:ascii="Georgia" w:hAnsi="Georgia"/>
                <w:color w:val="1A1A1A"/>
                <w:sz w:val="18"/>
              </w:rPr>
              <w:t>DIRECTIONAL — both rows point to ~2 orders of magnitude reduction</w:t>
            </w:r>
          </w:p>
        </w:tc>
      </w:tr>
      <w:tr>
        <w:tc>
          <w:tcPr>
            <w:tcW w:type="dxa" w:w="2304"/>
          </w:tcPr>
          <w:p>
            <w:pPr>
              <w:spacing w:after="40"/>
            </w:pPr>
            <w:r/>
            <w:r>
              <w:rPr>
                <w:rFonts w:ascii="Georgia" w:hAnsi="Georgia"/>
                <w:color w:val="1A1A1A"/>
                <w:sz w:val="18"/>
              </w:rPr>
              <w:t>$ per validated target</w:t>
            </w:r>
          </w:p>
        </w:tc>
        <w:tc>
          <w:tcPr>
            <w:tcW w:type="dxa" w:w="3600"/>
          </w:tcPr>
          <w:p>
            <w:pPr>
              <w:spacing w:after="40"/>
            </w:pPr>
            <w:r/>
            <w:r>
              <w:rPr>
                <w:rFonts w:ascii="Georgia" w:hAnsi="Georgia"/>
                <w:color w:val="1A1A1A"/>
                <w:sz w:val="18"/>
              </w:rPr>
              <w:t>GSK 2× portfolio targets, 70% genetic (MGMT); Bayer/Recursion 25 multi-modal packages (MGMT)</w:t>
            </w:r>
          </w:p>
        </w:tc>
        <w:tc>
          <w:tcPr>
            <w:tcW w:type="dxa" w:w="1440"/>
          </w:tcPr>
          <w:p>
            <w:pPr>
              <w:spacing w:after="40"/>
            </w:pPr>
            <w:r/>
            <w:r>
              <w:rPr>
                <w:rFonts w:ascii="Georgia" w:hAnsi="Georgia"/>
                <w:color w:val="1A1A1A"/>
                <w:sz w:val="18"/>
              </w:rPr>
              <w:t>NO — no filing-grade $ per target disclosure</w:t>
            </w:r>
          </w:p>
        </w:tc>
        <w:tc>
          <w:tcPr>
            <w:tcW w:type="dxa" w:w="2016"/>
          </w:tcPr>
          <w:p>
            <w:pPr>
              <w:spacing w:after="40"/>
            </w:pPr>
            <w:r/>
            <w:r>
              <w:rPr>
                <w:rFonts w:ascii="Georgia" w:hAnsi="Georgia"/>
                <w:color w:val="1A1A1A"/>
                <w:sz w:val="18"/>
              </w:rPr>
              <w:t>INSUFFICIENT — SOURCE NEEDED follow-up recommended</w:t>
            </w:r>
          </w:p>
        </w:tc>
      </w:tr>
      <w:tr>
        <w:tc>
          <w:tcPr>
            <w:tcW w:type="dxa" w:w="2304"/>
            <w:shd w:val="clear" w:color="auto" w:fill="F2F2F2"/>
          </w:tcPr>
          <w:p>
            <w:pPr>
              <w:spacing w:after="40"/>
            </w:pPr>
            <w:r/>
            <w:r>
              <w:rPr>
                <w:rFonts w:ascii="Georgia" w:hAnsi="Georgia"/>
                <w:color w:val="1A1A1A"/>
                <w:sz w:val="18"/>
              </w:rPr>
              <w:t>Implied R&amp;D % revenue delta, 5-yr forward</w:t>
            </w:r>
          </w:p>
        </w:tc>
        <w:tc>
          <w:tcPr>
            <w:tcW w:type="dxa" w:w="3600"/>
            <w:shd w:val="clear" w:color="auto" w:fill="F2F2F2"/>
          </w:tcPr>
          <w:p>
            <w:pPr>
              <w:spacing w:after="40"/>
            </w:pPr>
            <w:r/>
            <w:r>
              <w:rPr>
                <w:rFonts w:ascii="Georgia" w:hAnsi="Georgia"/>
                <w:color w:val="1A1A1A"/>
                <w:sz w:val="18"/>
              </w:rPr>
              <w:t>ABBV R&amp;D 15.4%/sales baseline; LLY qualitative; RXRX -32% YoY R&amp;D; LLY $1B/5yr capex commitment</w:t>
            </w:r>
          </w:p>
        </w:tc>
        <w:tc>
          <w:tcPr>
            <w:tcW w:type="dxa" w:w="1440"/>
            <w:shd w:val="clear" w:color="auto" w:fill="F2F2F2"/>
          </w:tcPr>
          <w:p>
            <w:pPr>
              <w:spacing w:after="40"/>
            </w:pPr>
            <w:r/>
            <w:r>
              <w:rPr>
                <w:rFonts w:ascii="Georgia" w:hAnsi="Georgia"/>
                <w:color w:val="1A1A1A"/>
                <w:sz w:val="18"/>
              </w:rPr>
              <w:t>PARTIAL — RXRX is real but AI-native compression, NOT pharma R&amp;D-line</w:t>
            </w:r>
          </w:p>
        </w:tc>
        <w:tc>
          <w:tcPr>
            <w:tcW w:type="dxa" w:w="2016"/>
            <w:shd w:val="clear" w:color="auto" w:fill="F2F2F2"/>
          </w:tcPr>
          <w:p>
            <w:pPr>
              <w:spacing w:after="40"/>
            </w:pPr>
            <w:r/>
            <w:r>
              <w:rPr>
                <w:rFonts w:ascii="Georgia" w:hAnsi="Georgia"/>
                <w:color w:val="1A1A1A"/>
                <w:sz w:val="18"/>
              </w:rPr>
              <w:t>TOO EARLY — covered-pharma R&amp;D line not yet compressed by AI</w:t>
            </w:r>
          </w:p>
        </w:tc>
      </w:tr>
      <w:tr>
        <w:tc>
          <w:tcPr>
            <w:tcW w:type="dxa" w:w="2304"/>
          </w:tcPr>
          <w:p>
            <w:pPr>
              <w:spacing w:after="40"/>
            </w:pPr>
            <w:r/>
            <w:r>
              <w:rPr>
                <w:rFonts w:ascii="Georgia" w:hAnsi="Georgia"/>
                <w:color w:val="1A1A1A"/>
                <w:sz w:val="18"/>
              </w:rPr>
              <w:t>Discovery-to-IND timeline compression</w:t>
            </w:r>
          </w:p>
        </w:tc>
        <w:tc>
          <w:tcPr>
            <w:tcW w:type="dxa" w:w="3600"/>
          </w:tcPr>
          <w:p>
            <w:pPr>
              <w:spacing w:after="40"/>
            </w:pPr>
            <w:r/>
            <w:r>
              <w:rPr>
                <w:rFonts w:ascii="Georgia" w:hAnsi="Georgia"/>
                <w:color w:val="1A1A1A"/>
                <w:sz w:val="18"/>
              </w:rPr>
              <w:t>Insilico ~18 months target-to-PCC vs. ~54 months baseline (LIMITED); Exscientia ~12 months claim DISCONFIRMED by DSP-1181 failure</w:t>
            </w:r>
          </w:p>
        </w:tc>
        <w:tc>
          <w:tcPr>
            <w:tcW w:type="dxa" w:w="1440"/>
          </w:tcPr>
          <w:p>
            <w:pPr>
              <w:spacing w:after="40"/>
            </w:pPr>
            <w:r/>
            <w:r>
              <w:rPr>
                <w:rFonts w:ascii="Georgia" w:hAnsi="Georgia"/>
                <w:color w:val="1A1A1A"/>
                <w:sz w:val="18"/>
              </w:rPr>
              <w:t>YES (narrow) — Insilico timeline peer-reviewed; DSP-1181 failure documented</w:t>
            </w:r>
          </w:p>
        </w:tc>
        <w:tc>
          <w:tcPr>
            <w:tcW w:type="dxa" w:w="2016"/>
          </w:tcPr>
          <w:p>
            <w:pPr>
              <w:spacing w:after="40"/>
            </w:pPr>
            <w:r/>
            <w:r>
              <w:rPr>
                <w:rFonts w:ascii="Georgia" w:hAnsi="Georgia"/>
                <w:color w:val="1A1A1A"/>
                <w:sz w:val="18"/>
              </w:rPr>
              <w:t>REAL BUT MUST BE PAIRED WITH PoS — timeline win does not survive into clinical-stage success</w:t>
            </w:r>
          </w:p>
        </w:tc>
      </w:tr>
    </w:tbl>
    <w:p>
      <w:pPr>
        <w:keepNext/>
        <w:spacing w:before="280" w:after="120"/>
      </w:pPr>
      <w:r>
        <w:rPr>
          <w:rFonts w:ascii="Calibri" w:hAnsi="Calibri"/>
          <w:b/>
          <w:color w:val="001E3C"/>
          <w:sz w:val="24"/>
        </w:rPr>
        <w:t>Tab D — R&amp;D PoS by Phase by TA</w:t>
      </w:r>
    </w:p>
    <w:p>
      <w:pPr>
        <w:spacing w:after="120" w:before="0" w:line="276" w:lineRule="auto"/>
      </w:pPr>
      <w:r>
        <w:rPr>
          <w:rFonts w:ascii="Georgia" w:hAnsi="Georgia"/>
          <w:b w:val="0"/>
          <w:i w:val="0"/>
          <w:sz w:val="20"/>
        </w:rPr>
        <w:t>Of twelve cells in the 4 × 3 grid (Oncology / Immunology / Neuro-CNS / Rare disease × P1→P2 / P2→P3 / P3→Approval), seven are marked INSUFFICIENT EVIDENCE. Where data exists, the AI-cohort does not demonstrate a defensible PoS premium over the BIO/Informa baseline.</w:t>
      </w:r>
    </w:p>
    <w:tbl>
      <w:tblPr>
        <w:tblW w:type="auto" w:w="0"/>
        <w:jc w:val="center"/>
        <w:tblLook w:firstColumn="1" w:firstRow="1" w:lastColumn="0" w:lastRow="0" w:noHBand="0" w:noVBand="1" w:val="04A0"/>
      </w:tblPr>
      <w:tblGrid>
        <w:gridCol w:w="2340"/>
        <w:gridCol w:w="2340"/>
        <w:gridCol w:w="2340"/>
        <w:gridCol w:w="2340"/>
      </w:tblGrid>
      <w:tr>
        <w:tc>
          <w:tcPr>
            <w:tcW w:type="dxa" w:w="2016"/>
            <w:shd w:val="clear" w:color="auto" w:fill="001E3C"/>
          </w:tcPr>
          <w:p>
            <w:pPr>
              <w:spacing w:after="40"/>
              <w:jc w:val="center"/>
            </w:pPr>
            <w:r>
              <w:rPr>
                <w:rFonts w:ascii="Calibri" w:hAnsi="Calibri"/>
                <w:b/>
                <w:color w:val="FFFFFF"/>
                <w:sz w:val="18"/>
              </w:rPr>
              <w:t>TA × Phase</w:t>
            </w:r>
          </w:p>
        </w:tc>
        <w:tc>
          <w:tcPr>
            <w:tcW w:type="dxa" w:w="2160"/>
            <w:shd w:val="clear" w:color="auto" w:fill="001E3C"/>
          </w:tcPr>
          <w:p>
            <w:pPr>
              <w:spacing w:after="40"/>
              <w:jc w:val="center"/>
            </w:pPr>
            <w:r>
              <w:rPr>
                <w:rFonts w:ascii="Calibri" w:hAnsi="Calibri"/>
                <w:b/>
                <w:color w:val="FFFFFF"/>
                <w:sz w:val="18"/>
              </w:rPr>
              <w:t>AI cohort</w:t>
            </w:r>
          </w:p>
        </w:tc>
        <w:tc>
          <w:tcPr>
            <w:tcW w:type="dxa" w:w="2304"/>
            <w:shd w:val="clear" w:color="auto" w:fill="001E3C"/>
          </w:tcPr>
          <w:p>
            <w:pPr>
              <w:spacing w:after="40"/>
              <w:jc w:val="center"/>
            </w:pPr>
            <w:r>
              <w:rPr>
                <w:rFonts w:ascii="Calibri" w:hAnsi="Calibri"/>
                <w:b/>
                <w:color w:val="FFFFFF"/>
                <w:sz w:val="18"/>
              </w:rPr>
              <w:t>Baseline</w:t>
            </w:r>
          </w:p>
        </w:tc>
        <w:tc>
          <w:tcPr>
            <w:tcW w:type="dxa" w:w="2880"/>
            <w:shd w:val="clear" w:color="auto" w:fill="001E3C"/>
          </w:tcPr>
          <w:p>
            <w:pPr>
              <w:spacing w:after="40"/>
              <w:jc w:val="center"/>
            </w:pPr>
            <w:r>
              <w:rPr>
                <w:rFonts w:ascii="Calibri" w:hAnsi="Calibri"/>
                <w:b/>
                <w:color w:val="FFFFFF"/>
                <w:sz w:val="18"/>
              </w:rPr>
              <w:t>Verdict</w:t>
            </w:r>
          </w:p>
        </w:tc>
      </w:tr>
      <w:tr>
        <w:tc>
          <w:tcPr>
            <w:tcW w:type="dxa" w:w="2016"/>
          </w:tcPr>
          <w:p>
            <w:pPr>
              <w:spacing w:after="40"/>
            </w:pPr>
            <w:r/>
            <w:r>
              <w:rPr>
                <w:rFonts w:ascii="Georgia" w:hAnsi="Georgia"/>
                <w:color w:val="1A1A1A"/>
                <w:sz w:val="18"/>
              </w:rPr>
              <w:t>Oncology × P1→P2</w:t>
            </w:r>
          </w:p>
        </w:tc>
        <w:tc>
          <w:tcPr>
            <w:tcW w:type="dxa" w:w="2160"/>
          </w:tcPr>
          <w:p>
            <w:pPr>
              <w:spacing w:after="40"/>
            </w:pPr>
            <w:r/>
            <w:r>
              <w:rPr>
                <w:rFonts w:ascii="Georgia" w:hAnsi="Georgia"/>
                <w:color w:val="1A1A1A"/>
                <w:sz w:val="18"/>
              </w:rPr>
              <w:t>~19% (4 of 21)</w:t>
            </w:r>
          </w:p>
        </w:tc>
        <w:tc>
          <w:tcPr>
            <w:tcW w:type="dxa" w:w="2304"/>
          </w:tcPr>
          <w:p>
            <w:pPr>
              <w:spacing w:after="40"/>
            </w:pPr>
            <w:r/>
            <w:r>
              <w:rPr>
                <w:rFonts w:ascii="Georgia" w:hAnsi="Georgia"/>
                <w:color w:val="1A1A1A"/>
                <w:sz w:val="18"/>
              </w:rPr>
              <w:t>5.1% (overall P1→approval baseline)</w:t>
            </w:r>
          </w:p>
        </w:tc>
        <w:tc>
          <w:tcPr>
            <w:tcW w:type="dxa" w:w="2880"/>
          </w:tcPr>
          <w:p>
            <w:pPr>
              <w:spacing w:after="40"/>
            </w:pPr>
            <w:r/>
            <w:r>
              <w:rPr>
                <w:rFonts w:ascii="Georgia" w:hAnsi="Georgia"/>
                <w:color w:val="1A1A1A"/>
                <w:sz w:val="18"/>
              </w:rPr>
              <w:t>Above baseline but n=21 is small</w:t>
            </w:r>
          </w:p>
        </w:tc>
      </w:tr>
      <w:tr>
        <w:tc>
          <w:tcPr>
            <w:tcW w:type="dxa" w:w="2016"/>
            <w:shd w:val="clear" w:color="auto" w:fill="F2F2F2"/>
          </w:tcPr>
          <w:p>
            <w:pPr>
              <w:spacing w:after="40"/>
            </w:pPr>
            <w:r/>
            <w:r>
              <w:rPr>
                <w:rFonts w:ascii="Georgia" w:hAnsi="Georgia"/>
                <w:color w:val="1A1A1A"/>
                <w:sz w:val="18"/>
              </w:rPr>
              <w:t>Oncology × P2→P3</w:t>
            </w:r>
          </w:p>
        </w:tc>
        <w:tc>
          <w:tcPr>
            <w:tcW w:type="dxa" w:w="2160"/>
            <w:shd w:val="clear" w:color="auto" w:fill="F2F2F2"/>
          </w:tcPr>
          <w:p>
            <w:pPr>
              <w:spacing w:after="40"/>
            </w:pPr>
            <w:r/>
            <w:r>
              <w:rPr>
                <w:rFonts w:ascii="Georgia" w:hAnsi="Georgia"/>
                <w:color w:val="1A1A1A"/>
                <w:sz w:val="18"/>
              </w:rPr>
              <w:t>~28% (n=2)</w:t>
            </w:r>
          </w:p>
        </w:tc>
        <w:tc>
          <w:tcPr>
            <w:tcW w:type="dxa" w:w="2304"/>
            <w:shd w:val="clear" w:color="auto" w:fill="F2F2F2"/>
          </w:tcPr>
          <w:p>
            <w:pPr>
              <w:spacing w:after="40"/>
            </w:pPr>
            <w:r/>
            <w:r>
              <w:rPr>
                <w:rFonts w:ascii="Georgia" w:hAnsi="Georgia"/>
                <w:color w:val="1A1A1A"/>
                <w:sz w:val="18"/>
              </w:rPr>
              <w:t>~28%</w:t>
            </w:r>
          </w:p>
        </w:tc>
        <w:tc>
          <w:tcPr>
            <w:tcW w:type="dxa" w:w="2880"/>
            <w:shd w:val="clear" w:color="auto" w:fill="F2F2F2"/>
          </w:tcPr>
          <w:p>
            <w:pPr>
              <w:spacing w:after="40"/>
            </w:pPr>
            <w:r/>
            <w:r>
              <w:rPr>
                <w:rFonts w:ascii="Georgia" w:hAnsi="Georgia"/>
                <w:color w:val="1A1A1A"/>
                <w:sz w:val="18"/>
              </w:rPr>
              <w:t>INSUFFICIENT — n=2</w:t>
            </w:r>
          </w:p>
        </w:tc>
      </w:tr>
      <w:tr>
        <w:tc>
          <w:tcPr>
            <w:tcW w:type="dxa" w:w="2016"/>
          </w:tcPr>
          <w:p>
            <w:pPr>
              <w:spacing w:after="40"/>
            </w:pPr>
            <w:r/>
            <w:r>
              <w:rPr>
                <w:rFonts w:ascii="Georgia" w:hAnsi="Georgia"/>
                <w:color w:val="1A1A1A"/>
                <w:sz w:val="18"/>
              </w:rPr>
              <w:t>Oncology × P3→Approval</w:t>
            </w:r>
          </w:p>
        </w:tc>
        <w:tc>
          <w:tcPr>
            <w:tcW w:type="dxa" w:w="2160"/>
          </w:tcPr>
          <w:p>
            <w:pPr>
              <w:spacing w:after="40"/>
            </w:pPr>
            <w:r/>
            <w:r>
              <w:rPr>
                <w:rFonts w:ascii="Georgia" w:hAnsi="Georgia"/>
                <w:color w:val="1A1A1A"/>
                <w:sz w:val="18"/>
              </w:rPr>
              <w:t>0 of 0</w:t>
            </w:r>
          </w:p>
        </w:tc>
        <w:tc>
          <w:tcPr>
            <w:tcW w:type="dxa" w:w="2304"/>
          </w:tcPr>
          <w:p>
            <w:pPr>
              <w:spacing w:after="40"/>
            </w:pPr>
            <w:r/>
            <w:r>
              <w:rPr>
                <w:rFonts w:ascii="Georgia" w:hAnsi="Georgia"/>
                <w:color w:val="1A1A1A"/>
                <w:sz w:val="18"/>
              </w:rPr>
              <w:t>~58%</w:t>
            </w:r>
          </w:p>
        </w:tc>
        <w:tc>
          <w:tcPr>
            <w:tcW w:type="dxa" w:w="2880"/>
          </w:tcPr>
          <w:p>
            <w:pPr>
              <w:spacing w:after="40"/>
            </w:pPr>
            <w:r/>
            <w:r>
              <w:rPr>
                <w:rFonts w:ascii="Georgia" w:hAnsi="Georgia"/>
                <w:color w:val="1A1A1A"/>
                <w:sz w:val="18"/>
              </w:rPr>
              <w:t>INSUFFICIENT — zero P3 readouts</w:t>
            </w:r>
          </w:p>
        </w:tc>
      </w:tr>
      <w:tr>
        <w:tc>
          <w:tcPr>
            <w:tcW w:type="dxa" w:w="2016"/>
            <w:shd w:val="clear" w:color="auto" w:fill="F2F2F2"/>
          </w:tcPr>
          <w:p>
            <w:pPr>
              <w:spacing w:after="40"/>
            </w:pPr>
            <w:r/>
            <w:r>
              <w:rPr>
                <w:rFonts w:ascii="Georgia" w:hAnsi="Georgia"/>
                <w:color w:val="1A1A1A"/>
                <w:sz w:val="18"/>
              </w:rPr>
              <w:t>Immunology × P1→P2</w:t>
            </w:r>
          </w:p>
        </w:tc>
        <w:tc>
          <w:tcPr>
            <w:tcW w:type="dxa" w:w="2160"/>
            <w:shd w:val="clear" w:color="auto" w:fill="F2F2F2"/>
          </w:tcPr>
          <w:p>
            <w:pPr>
              <w:spacing w:after="40"/>
            </w:pPr>
            <w:r/>
            <w:r>
              <w:rPr>
                <w:rFonts w:ascii="Georgia" w:hAnsi="Georgia"/>
                <w:color w:val="1A1A1A"/>
                <w:sz w:val="18"/>
              </w:rPr>
              <w:t>~33% (n=6 LIMITED)</w:t>
            </w:r>
          </w:p>
        </w:tc>
        <w:tc>
          <w:tcPr>
            <w:tcW w:type="dxa" w:w="2304"/>
            <w:shd w:val="clear" w:color="auto" w:fill="F2F2F2"/>
          </w:tcPr>
          <w:p>
            <w:pPr>
              <w:spacing w:after="40"/>
            </w:pPr>
            <w:r/>
            <w:r>
              <w:rPr>
                <w:rFonts w:ascii="Georgia" w:hAnsi="Georgia"/>
                <w:color w:val="1A1A1A"/>
                <w:sz w:val="18"/>
              </w:rPr>
              <w:t>~46%</w:t>
            </w:r>
          </w:p>
        </w:tc>
        <w:tc>
          <w:tcPr>
            <w:tcW w:type="dxa" w:w="2880"/>
            <w:shd w:val="clear" w:color="auto" w:fill="F2F2F2"/>
          </w:tcPr>
          <w:p>
            <w:pPr>
              <w:spacing w:after="40"/>
            </w:pPr>
            <w:r/>
            <w:r>
              <w:rPr>
                <w:rFonts w:ascii="Georgia" w:hAnsi="Georgia"/>
                <w:color w:val="1A1A1A"/>
                <w:sz w:val="18"/>
              </w:rPr>
              <w:t>Below baseline; n=6 too small</w:t>
            </w:r>
          </w:p>
        </w:tc>
      </w:tr>
      <w:tr>
        <w:tc>
          <w:tcPr>
            <w:tcW w:type="dxa" w:w="2016"/>
          </w:tcPr>
          <w:p>
            <w:pPr>
              <w:spacing w:after="40"/>
            </w:pPr>
            <w:r/>
            <w:r>
              <w:rPr>
                <w:rFonts w:ascii="Georgia" w:hAnsi="Georgia"/>
                <w:color w:val="1A1A1A"/>
                <w:sz w:val="18"/>
              </w:rPr>
              <w:t>Immunology × P2→P3</w:t>
            </w:r>
          </w:p>
        </w:tc>
        <w:tc>
          <w:tcPr>
            <w:tcW w:type="dxa" w:w="2160"/>
          </w:tcPr>
          <w:p>
            <w:pPr>
              <w:spacing w:after="40"/>
            </w:pPr>
            <w:r/>
            <w:r>
              <w:rPr>
                <w:rFonts w:ascii="Georgia" w:hAnsi="Georgia"/>
                <w:color w:val="1A1A1A"/>
                <w:sz w:val="18"/>
              </w:rPr>
              <w:t>0 valid datapoints</w:t>
            </w:r>
          </w:p>
        </w:tc>
        <w:tc>
          <w:tcPr>
            <w:tcW w:type="dxa" w:w="2304"/>
          </w:tcPr>
          <w:p>
            <w:pPr>
              <w:spacing w:after="40"/>
            </w:pPr>
            <w:r/>
            <w:r>
              <w:rPr>
                <w:rFonts w:ascii="Georgia" w:hAnsi="Georgia"/>
                <w:color w:val="1A1A1A"/>
                <w:sz w:val="18"/>
              </w:rPr>
              <w:t>~28%</w:t>
            </w:r>
          </w:p>
        </w:tc>
        <w:tc>
          <w:tcPr>
            <w:tcW w:type="dxa" w:w="2880"/>
          </w:tcPr>
          <w:p>
            <w:pPr>
              <w:spacing w:after="40"/>
            </w:pPr>
            <w:r/>
            <w:r>
              <w:rPr>
                <w:rFonts w:ascii="Georgia" w:hAnsi="Georgia"/>
                <w:color w:val="1A1A1A"/>
                <w:sz w:val="18"/>
              </w:rPr>
              <w:t>INSUFFICIENT</w:t>
            </w:r>
          </w:p>
        </w:tc>
      </w:tr>
      <w:tr>
        <w:tc>
          <w:tcPr>
            <w:tcW w:type="dxa" w:w="2016"/>
            <w:shd w:val="clear" w:color="auto" w:fill="F2F2F2"/>
          </w:tcPr>
          <w:p>
            <w:pPr>
              <w:spacing w:after="40"/>
            </w:pPr>
            <w:r/>
            <w:r>
              <w:rPr>
                <w:rFonts w:ascii="Georgia" w:hAnsi="Georgia"/>
                <w:color w:val="1A1A1A"/>
                <w:sz w:val="18"/>
              </w:rPr>
              <w:t>Immunology × P3→Approval</w:t>
            </w:r>
          </w:p>
        </w:tc>
        <w:tc>
          <w:tcPr>
            <w:tcW w:type="dxa" w:w="2160"/>
            <w:shd w:val="clear" w:color="auto" w:fill="F2F2F2"/>
          </w:tcPr>
          <w:p>
            <w:pPr>
              <w:spacing w:after="40"/>
            </w:pPr>
            <w:r/>
            <w:r>
              <w:rPr>
                <w:rFonts w:ascii="Georgia" w:hAnsi="Georgia"/>
                <w:color w:val="1A1A1A"/>
                <w:sz w:val="18"/>
              </w:rPr>
              <w:t>1 winner (Zasocitinib)</w:t>
            </w:r>
          </w:p>
        </w:tc>
        <w:tc>
          <w:tcPr>
            <w:tcW w:type="dxa" w:w="2304"/>
            <w:shd w:val="clear" w:color="auto" w:fill="F2F2F2"/>
          </w:tcPr>
          <w:p>
            <w:pPr>
              <w:spacing w:after="40"/>
            </w:pPr>
            <w:r/>
            <w:r>
              <w:rPr>
                <w:rFonts w:ascii="Georgia" w:hAnsi="Georgia"/>
                <w:color w:val="1A1A1A"/>
                <w:sz w:val="18"/>
              </w:rPr>
              <w:t>~28%</w:t>
            </w:r>
          </w:p>
        </w:tc>
        <w:tc>
          <w:tcPr>
            <w:tcW w:type="dxa" w:w="2880"/>
            <w:shd w:val="clear" w:color="auto" w:fill="F2F2F2"/>
          </w:tcPr>
          <w:p>
            <w:pPr>
              <w:spacing w:after="40"/>
            </w:pPr>
            <w:r/>
            <w:r>
              <w:rPr>
                <w:rFonts w:ascii="Georgia" w:hAnsi="Georgia"/>
                <w:color w:val="1A1A1A"/>
                <w:sz w:val="18"/>
              </w:rPr>
              <w:t>Single data point</w:t>
            </w:r>
          </w:p>
        </w:tc>
      </w:tr>
      <w:tr>
        <w:tc>
          <w:tcPr>
            <w:tcW w:type="dxa" w:w="2016"/>
          </w:tcPr>
          <w:p>
            <w:pPr>
              <w:spacing w:after="40"/>
            </w:pPr>
            <w:r/>
            <w:r>
              <w:rPr>
                <w:rFonts w:ascii="Georgia" w:hAnsi="Georgia"/>
                <w:color w:val="1A1A1A"/>
                <w:sz w:val="18"/>
              </w:rPr>
              <w:t>Neuro/CNS × P1→P2</w:t>
            </w:r>
          </w:p>
        </w:tc>
        <w:tc>
          <w:tcPr>
            <w:tcW w:type="dxa" w:w="2160"/>
          </w:tcPr>
          <w:p>
            <w:pPr>
              <w:spacing w:after="40"/>
            </w:pPr>
            <w:r/>
            <w:r>
              <w:rPr>
                <w:rFonts w:ascii="Georgia" w:hAnsi="Georgia"/>
                <w:color w:val="1A1A1A"/>
                <w:sz w:val="18"/>
              </w:rPr>
              <w:t>0 of 3 winners; 2 failed</w:t>
            </w:r>
          </w:p>
        </w:tc>
        <w:tc>
          <w:tcPr>
            <w:tcW w:type="dxa" w:w="2304"/>
          </w:tcPr>
          <w:p>
            <w:pPr>
              <w:spacing w:after="40"/>
            </w:pPr>
            <w:r/>
            <w:r>
              <w:rPr>
                <w:rFonts w:ascii="Georgia" w:hAnsi="Georgia"/>
                <w:color w:val="1A1A1A"/>
                <w:sz w:val="18"/>
              </w:rPr>
              <w:t>~10%</w:t>
            </w:r>
          </w:p>
        </w:tc>
        <w:tc>
          <w:tcPr>
            <w:tcW w:type="dxa" w:w="2880"/>
          </w:tcPr>
          <w:p>
            <w:pPr>
              <w:spacing w:after="40"/>
            </w:pPr>
            <w:r/>
            <w:r>
              <w:rPr>
                <w:rFonts w:ascii="Georgia" w:hAnsi="Georgia"/>
                <w:color w:val="1A1A1A"/>
                <w:sz w:val="18"/>
              </w:rPr>
              <w:t>Disconfirming — below baseline</w:t>
            </w:r>
          </w:p>
        </w:tc>
      </w:tr>
      <w:tr>
        <w:tc>
          <w:tcPr>
            <w:tcW w:type="dxa" w:w="2016"/>
            <w:shd w:val="clear" w:color="auto" w:fill="F2F2F2"/>
          </w:tcPr>
          <w:p>
            <w:pPr>
              <w:spacing w:after="40"/>
            </w:pPr>
            <w:r/>
            <w:r>
              <w:rPr>
                <w:rFonts w:ascii="Georgia" w:hAnsi="Georgia"/>
                <w:color w:val="1A1A1A"/>
                <w:sz w:val="18"/>
              </w:rPr>
              <w:t>Neuro/CNS × P2→P3</w:t>
            </w:r>
          </w:p>
        </w:tc>
        <w:tc>
          <w:tcPr>
            <w:tcW w:type="dxa" w:w="2160"/>
            <w:shd w:val="clear" w:color="auto" w:fill="F2F2F2"/>
          </w:tcPr>
          <w:p>
            <w:pPr>
              <w:spacing w:after="40"/>
            </w:pPr>
            <w:r/>
            <w:r>
              <w:rPr>
                <w:rFonts w:ascii="Georgia" w:hAnsi="Georgia"/>
                <w:color w:val="1A1A1A"/>
                <w:sz w:val="18"/>
              </w:rPr>
              <w:t>—</w:t>
            </w:r>
          </w:p>
        </w:tc>
        <w:tc>
          <w:tcPr>
            <w:tcW w:type="dxa" w:w="2304"/>
            <w:shd w:val="clear" w:color="auto" w:fill="F2F2F2"/>
          </w:tcPr>
          <w:p>
            <w:pPr>
              <w:spacing w:after="40"/>
            </w:pPr>
            <w:r/>
            <w:r>
              <w:rPr>
                <w:rFonts w:ascii="Georgia" w:hAnsi="Georgia"/>
                <w:color w:val="1A1A1A"/>
                <w:sz w:val="18"/>
              </w:rPr>
            </w:r>
          </w:p>
        </w:tc>
        <w:tc>
          <w:tcPr>
            <w:tcW w:type="dxa" w:w="2880"/>
            <w:shd w:val="clear" w:color="auto" w:fill="F2F2F2"/>
          </w:tcPr>
          <w:p>
            <w:pPr>
              <w:spacing w:after="40"/>
            </w:pPr>
            <w:r/>
            <w:r>
              <w:rPr>
                <w:rFonts w:ascii="Georgia" w:hAnsi="Georgia"/>
                <w:color w:val="1A1A1A"/>
                <w:sz w:val="18"/>
              </w:rPr>
              <w:t>INSUFFICIENT</w:t>
            </w:r>
          </w:p>
        </w:tc>
      </w:tr>
      <w:tr>
        <w:tc>
          <w:tcPr>
            <w:tcW w:type="dxa" w:w="2016"/>
          </w:tcPr>
          <w:p>
            <w:pPr>
              <w:spacing w:after="40"/>
            </w:pPr>
            <w:r/>
            <w:r>
              <w:rPr>
                <w:rFonts w:ascii="Georgia" w:hAnsi="Georgia"/>
                <w:color w:val="1A1A1A"/>
                <w:sz w:val="18"/>
              </w:rPr>
              <w:t>Neuro/CNS × P3→Approval</w:t>
            </w:r>
          </w:p>
        </w:tc>
        <w:tc>
          <w:tcPr>
            <w:tcW w:type="dxa" w:w="2160"/>
          </w:tcPr>
          <w:p>
            <w:pPr>
              <w:spacing w:after="40"/>
            </w:pPr>
            <w:r/>
            <w:r>
              <w:rPr>
                <w:rFonts w:ascii="Georgia" w:hAnsi="Georgia"/>
                <w:color w:val="1A1A1A"/>
                <w:sz w:val="18"/>
              </w:rPr>
              <w:t>—</w:t>
            </w:r>
          </w:p>
        </w:tc>
        <w:tc>
          <w:tcPr>
            <w:tcW w:type="dxa" w:w="2304"/>
          </w:tcPr>
          <w:p>
            <w:pPr>
              <w:spacing w:after="40"/>
            </w:pPr>
            <w:r/>
            <w:r>
              <w:rPr>
                <w:rFonts w:ascii="Georgia" w:hAnsi="Georgia"/>
                <w:color w:val="1A1A1A"/>
                <w:sz w:val="18"/>
              </w:rPr>
            </w:r>
          </w:p>
        </w:tc>
        <w:tc>
          <w:tcPr>
            <w:tcW w:type="dxa" w:w="2880"/>
          </w:tcPr>
          <w:p>
            <w:pPr>
              <w:spacing w:after="40"/>
            </w:pPr>
            <w:r/>
            <w:r>
              <w:rPr>
                <w:rFonts w:ascii="Georgia" w:hAnsi="Georgia"/>
                <w:color w:val="1A1A1A"/>
                <w:sz w:val="18"/>
              </w:rPr>
              <w:t>INSUFFICIENT</w:t>
            </w:r>
          </w:p>
        </w:tc>
      </w:tr>
      <w:tr>
        <w:tc>
          <w:tcPr>
            <w:tcW w:type="dxa" w:w="2016"/>
            <w:shd w:val="clear" w:color="auto" w:fill="F2F2F2"/>
          </w:tcPr>
          <w:p>
            <w:pPr>
              <w:spacing w:after="40"/>
            </w:pPr>
            <w:r/>
            <w:r>
              <w:rPr>
                <w:rFonts w:ascii="Georgia" w:hAnsi="Georgia"/>
                <w:color w:val="1A1A1A"/>
                <w:sz w:val="18"/>
              </w:rPr>
              <w:t>Rare × P1→P2</w:t>
            </w:r>
          </w:p>
        </w:tc>
        <w:tc>
          <w:tcPr>
            <w:tcW w:type="dxa" w:w="2160"/>
            <w:shd w:val="clear" w:color="auto" w:fill="F2F2F2"/>
          </w:tcPr>
          <w:p>
            <w:pPr>
              <w:spacing w:after="40"/>
            </w:pPr>
            <w:r/>
            <w:r>
              <w:rPr>
                <w:rFonts w:ascii="Georgia" w:hAnsi="Georgia"/>
                <w:color w:val="1A1A1A"/>
                <w:sz w:val="18"/>
              </w:rPr>
              <w:t>~50% (n=2 LIMITED)</w:t>
            </w:r>
          </w:p>
        </w:tc>
        <w:tc>
          <w:tcPr>
            <w:tcW w:type="dxa" w:w="2304"/>
            <w:shd w:val="clear" w:color="auto" w:fill="F2F2F2"/>
          </w:tcPr>
          <w:p>
            <w:pPr>
              <w:spacing w:after="40"/>
            </w:pPr>
            <w:r/>
            <w:r>
              <w:rPr>
                <w:rFonts w:ascii="Georgia" w:hAnsi="Georgia"/>
                <w:color w:val="1A1A1A"/>
                <w:sz w:val="18"/>
              </w:rPr>
              <w:t>~17%</w:t>
            </w:r>
          </w:p>
        </w:tc>
        <w:tc>
          <w:tcPr>
            <w:tcW w:type="dxa" w:w="2880"/>
            <w:shd w:val="clear" w:color="auto" w:fill="F2F2F2"/>
          </w:tcPr>
          <w:p>
            <w:pPr>
              <w:spacing w:after="40"/>
            </w:pPr>
            <w:r/>
            <w:r>
              <w:rPr>
                <w:rFonts w:ascii="Georgia" w:hAnsi="Georgia"/>
                <w:color w:val="1A1A1A"/>
                <w:sz w:val="18"/>
              </w:rPr>
              <w:t>INSUFFICIENT — n=2</w:t>
            </w:r>
          </w:p>
        </w:tc>
      </w:tr>
      <w:tr>
        <w:tc>
          <w:tcPr>
            <w:tcW w:type="dxa" w:w="2016"/>
          </w:tcPr>
          <w:p>
            <w:pPr>
              <w:spacing w:after="40"/>
            </w:pPr>
            <w:r/>
            <w:r>
              <w:rPr>
                <w:rFonts w:ascii="Georgia" w:hAnsi="Georgia"/>
                <w:color w:val="1A1A1A"/>
                <w:sz w:val="18"/>
              </w:rPr>
              <w:t>Rare × P2→P3</w:t>
            </w:r>
          </w:p>
        </w:tc>
        <w:tc>
          <w:tcPr>
            <w:tcW w:type="dxa" w:w="2160"/>
          </w:tcPr>
          <w:p>
            <w:pPr>
              <w:spacing w:after="40"/>
            </w:pPr>
            <w:r/>
            <w:r>
              <w:rPr>
                <w:rFonts w:ascii="Georgia" w:hAnsi="Georgia"/>
                <w:color w:val="1A1A1A"/>
                <w:sz w:val="18"/>
              </w:rPr>
              <w:t>1 of 2 in progress</w:t>
            </w:r>
          </w:p>
        </w:tc>
        <w:tc>
          <w:tcPr>
            <w:tcW w:type="dxa" w:w="2304"/>
          </w:tcPr>
          <w:p>
            <w:pPr>
              <w:spacing w:after="40"/>
            </w:pPr>
            <w:r/>
            <w:r>
              <w:rPr>
                <w:rFonts w:ascii="Georgia" w:hAnsi="Georgia"/>
                <w:color w:val="1A1A1A"/>
                <w:sz w:val="18"/>
              </w:rPr>
            </w:r>
          </w:p>
        </w:tc>
        <w:tc>
          <w:tcPr>
            <w:tcW w:type="dxa" w:w="2880"/>
          </w:tcPr>
          <w:p>
            <w:pPr>
              <w:spacing w:after="40"/>
            </w:pPr>
            <w:r/>
            <w:r>
              <w:rPr>
                <w:rFonts w:ascii="Georgia" w:hAnsi="Georgia"/>
                <w:color w:val="1A1A1A"/>
                <w:sz w:val="18"/>
              </w:rPr>
              <w:t>INSUFFICIENT</w:t>
            </w:r>
          </w:p>
        </w:tc>
      </w:tr>
      <w:tr>
        <w:tc>
          <w:tcPr>
            <w:tcW w:type="dxa" w:w="2016"/>
            <w:shd w:val="clear" w:color="auto" w:fill="F2F2F2"/>
          </w:tcPr>
          <w:p>
            <w:pPr>
              <w:spacing w:after="40"/>
            </w:pPr>
            <w:r/>
            <w:r>
              <w:rPr>
                <w:rFonts w:ascii="Georgia" w:hAnsi="Georgia"/>
                <w:color w:val="1A1A1A"/>
                <w:sz w:val="18"/>
              </w:rPr>
              <w:t>Rare × P3→Approval</w:t>
            </w:r>
          </w:p>
        </w:tc>
        <w:tc>
          <w:tcPr>
            <w:tcW w:type="dxa" w:w="2160"/>
            <w:shd w:val="clear" w:color="auto" w:fill="F2F2F2"/>
          </w:tcPr>
          <w:p>
            <w:pPr>
              <w:spacing w:after="40"/>
            </w:pPr>
            <w:r/>
            <w:r>
              <w:rPr>
                <w:rFonts w:ascii="Georgia" w:hAnsi="Georgia"/>
                <w:color w:val="1A1A1A"/>
                <w:sz w:val="18"/>
              </w:rPr>
              <w:t>Rentosertib P3 pending</w:t>
            </w:r>
          </w:p>
        </w:tc>
        <w:tc>
          <w:tcPr>
            <w:tcW w:type="dxa" w:w="2304"/>
            <w:shd w:val="clear" w:color="auto" w:fill="F2F2F2"/>
          </w:tcPr>
          <w:p>
            <w:pPr>
              <w:spacing w:after="40"/>
            </w:pPr>
            <w:r/>
            <w:r>
              <w:rPr>
                <w:rFonts w:ascii="Georgia" w:hAnsi="Georgia"/>
                <w:color w:val="1A1A1A"/>
                <w:sz w:val="18"/>
              </w:rPr>
            </w:r>
          </w:p>
        </w:tc>
        <w:tc>
          <w:tcPr>
            <w:tcW w:type="dxa" w:w="2880"/>
            <w:shd w:val="clear" w:color="auto" w:fill="F2F2F2"/>
          </w:tcPr>
          <w:p>
            <w:pPr>
              <w:spacing w:after="40"/>
            </w:pPr>
            <w:r/>
            <w:r>
              <w:rPr>
                <w:rFonts w:ascii="Georgia" w:hAnsi="Georgia"/>
                <w:color w:val="1A1A1A"/>
                <w:sz w:val="18"/>
              </w:rPr>
              <w:t>Forward test — H2 2026</w:t>
            </w:r>
          </w:p>
        </w:tc>
      </w:tr>
    </w:tbl>
    <w:p>
      <w:r>
        <w:br w:type="page"/>
      </w:r>
    </w:p>
    <w:p>
      <w:pPr>
        <w:spacing w:before="3600" w:after="400"/>
        <w:jc w:val="center"/>
      </w:pPr>
      <w:r>
        <w:rPr>
          <w:rFonts w:ascii="Calibri" w:hAnsi="Calibri"/>
          <w:b/>
          <w:color w:val="001E3C"/>
          <w:sz w:val="56"/>
        </w:rPr>
        <w:t>RISKS</w:t>
      </w:r>
    </w:p>
    <w:p>
      <w:pPr>
        <w:jc w:val="center"/>
      </w:pPr>
      <w:r>
        <w:rPr>
          <w:color w:val="C8102E"/>
          <w:sz w:val="28"/>
        </w:rPr>
        <w:t>— — —</w:t>
      </w:r>
    </w:p>
    <w:p>
      <w:pPr>
        <w:keepNext/>
        <w:spacing w:before="360" w:after="200"/>
      </w:pPr>
      <w:r>
        <w:rPr>
          <w:rFonts w:ascii="Calibri" w:hAnsi="Calibri"/>
          <w:b/>
          <w:color w:val="001E3C"/>
          <w:sz w:val="28"/>
        </w:rPr>
        <w:t>What Could Break Our View</w:t>
      </w:r>
    </w:p>
    <w:p>
      <w:pPr>
        <w:spacing w:after="200"/>
      </w:pPr>
      <w:r>
        <w:rPr>
          <w:rFonts w:ascii="Georgia" w:hAnsi="Georgia"/>
          <w:i/>
          <w:color w:val="6C757D"/>
          <w:sz w:val="22"/>
        </w:rPr>
        <w:t>The strongest disconfirming evidence in our matrix, surfaced honestly.</w:t>
      </w:r>
    </w:p>
    <w:p>
      <w:pPr>
        <w:spacing w:after="120" w:before="0" w:line="276" w:lineRule="auto"/>
      </w:pPr>
      <w:r>
        <w:rPr>
          <w:rFonts w:ascii="Georgia" w:hAnsi="Georgia"/>
          <w:b w:val="0"/>
          <w:i w:val="0"/>
          <w:sz w:val="20"/>
        </w:rPr>
        <w:t>Our verdict is hypothesis MODIFIED with a near-term bearish tilt and a long-term INSUFFICIENT EVIDENCE call. The risks we acknowledge:</w:t>
      </w:r>
    </w:p>
    <w:p>
      <w:pPr>
        <w:keepNext/>
        <w:spacing w:before="280" w:after="120"/>
      </w:pPr>
      <w:r>
        <w:rPr>
          <w:rFonts w:ascii="Calibri" w:hAnsi="Calibri"/>
          <w:b/>
          <w:color w:val="001E3C"/>
          <w:sz w:val="24"/>
        </w:rPr>
        <w:t>1. The PFE $1.2B SG&amp;A disclosure repeats and diffuses</w:t>
      </w:r>
    </w:p>
    <w:p>
      <w:pPr>
        <w:spacing w:after="120" w:before="0" w:line="276" w:lineRule="auto"/>
      </w:pPr>
      <w:r>
        <w:rPr>
          <w:rFonts w:ascii="Georgia" w:hAnsi="Georgia"/>
          <w:b w:val="0"/>
          <w:i w:val="0"/>
          <w:sz w:val="20"/>
        </w:rPr>
        <w:t>If Pfizer's $1.2B SG&amp;A AI/automation figure appears as a standalone line in the FY25 10-K, AND a second covered name discloses a comparable figure, the spec hypothesis on near-term SG&amp;A productivity transitions from 'anchor n=1' to 'measurable across the covered universe' — and our 'MODIFIED' verdict shifts toward 'SUPPORTED.' We view the probability of this scenario as low through FY25 but non-trivial through FY27, given the typical lag between management commentary and formal SEC disclosure.</w:t>
      </w:r>
    </w:p>
    <w:p>
      <w:pPr>
        <w:keepNext/>
        <w:spacing w:before="280" w:after="120"/>
      </w:pPr>
      <w:r>
        <w:rPr>
          <w:rFonts w:ascii="Calibri" w:hAnsi="Calibri"/>
          <w:b/>
          <w:color w:val="001E3C"/>
          <w:sz w:val="24"/>
        </w:rPr>
        <w:t>2. Rentosertib Phase III reads positive</w:t>
      </w:r>
    </w:p>
    <w:p>
      <w:pPr>
        <w:spacing w:after="120" w:before="0" w:line="276" w:lineRule="auto"/>
      </w:pPr>
      <w:r>
        <w:rPr>
          <w:rFonts w:ascii="Georgia" w:hAnsi="Georgia"/>
          <w:b w:val="0"/>
          <w:i w:val="0"/>
          <w:sz w:val="20"/>
        </w:rPr>
        <w:t>A positive Phase III readout from Insilico's Rentosertib (expected H2 2026 initiation, readout 2027–2028) would deliver a second AI-cohort Phase 3 winner alongside Zasocitinib. Two winners across 82 molecules is still small-n, but the cumulative weight of two would shift the cohort-level PoS comparison from 'INSUFFICIENT EVIDENCE' toward 'AI premium plausible.' We view this as the single most-watched forward catalyst for the long-term hypothesis.</w:t>
      </w:r>
    </w:p>
    <w:p>
      <w:pPr>
        <w:keepNext/>
        <w:spacing w:before="280" w:after="120"/>
      </w:pPr>
      <w:r>
        <w:rPr>
          <w:rFonts w:ascii="Calibri" w:hAnsi="Calibri"/>
          <w:b/>
          <w:color w:val="001E3C"/>
          <w:sz w:val="24"/>
        </w:rPr>
        <w:t>3. FDA finalizes the January 2025 draft guidance with permissive stance</w:t>
      </w:r>
    </w:p>
    <w:p>
      <w:pPr>
        <w:spacing w:after="120" w:before="0" w:line="276" w:lineRule="auto"/>
      </w:pPr>
      <w:r>
        <w:rPr>
          <w:rFonts w:ascii="Georgia" w:hAnsi="Georgia"/>
          <w:b w:val="0"/>
          <w:i w:val="0"/>
          <w:sz w:val="20"/>
        </w:rPr>
        <w:t>If the agency finalizes the 'Considerations for the Use of AI' guidance in 2026 with sponsor-friendly language, and an approval letter cites AI-derived evidence as load-bearing, our 'cautious in practice' framing weakens materially. We track Dr. Cavazzoni, Dr. Califf, and Dr. Fakhouri public commentary for forward signals.</w:t>
      </w:r>
    </w:p>
    <w:p>
      <w:pPr>
        <w:keepNext/>
        <w:spacing w:before="280" w:after="120"/>
      </w:pPr>
      <w:r>
        <w:rPr>
          <w:rFonts w:ascii="Calibri" w:hAnsi="Calibri"/>
          <w:b/>
          <w:color w:val="001E3C"/>
          <w:sz w:val="24"/>
        </w:rPr>
        <w:t>4. The AI-cohort survivorship bias is overstated</w:t>
      </w:r>
    </w:p>
    <w:p>
      <w:pPr>
        <w:spacing w:after="120" w:before="0" w:line="276" w:lineRule="auto"/>
      </w:pPr>
      <w:r>
        <w:rPr>
          <w:rFonts w:ascii="Georgia" w:hAnsi="Georgia"/>
          <w:b w:val="0"/>
          <w:i w:val="0"/>
          <w:sz w:val="20"/>
        </w:rPr>
        <w:t>Our Q2 cohort treats the Jayatunga 82-molecule set as authoritative. If the true cohort is substantially larger (e.g., 200+ molecules with extensive private failures), the 1-of-82 Phase 3 winner ratio understates the success rate. Conversely, if the true cohort is similar in size but the 14 disclosed failures under-represent total failures, the attrition rate understates failure. We are unable to resolve this from public data.</w:t>
      </w:r>
    </w:p>
    <w:p>
      <w:pPr>
        <w:keepNext/>
        <w:spacing w:before="280" w:after="120"/>
      </w:pPr>
      <w:r>
        <w:rPr>
          <w:rFonts w:ascii="Calibri" w:hAnsi="Calibri"/>
          <w:b/>
          <w:color w:val="001E3C"/>
          <w:sz w:val="24"/>
        </w:rPr>
        <w:t>5. Foundation-model deals deliver measurable productivity</w:t>
      </w:r>
    </w:p>
    <w:p>
      <w:pPr>
        <w:spacing w:after="120" w:before="0" w:line="276" w:lineRule="auto"/>
      </w:pPr>
      <w:r>
        <w:rPr>
          <w:rFonts w:ascii="Georgia" w:hAnsi="Georgia"/>
          <w:b w:val="0"/>
          <w:i w:val="0"/>
          <w:sz w:val="20"/>
        </w:rPr>
        <w:t>The 2024+ category of foundation-model enterprise deals (Sanofi × OpenAI, Moderna × OpenAI, Lilly × OpenAI, Moderna × IBM, GSK × Cerebras) is structurally undisclosed. If any of these deliver disclosed productivity savings in FY26 or FY27 10-Ks, the operating-line case strengthens — though the specific attribution to AI vs. broader digitization would be hard to separate.</w:t>
      </w:r>
    </w:p>
    <w:p>
      <w:r>
        <w:br w:type="page"/>
      </w:r>
    </w:p>
    <w:p>
      <w:pPr>
        <w:keepNext/>
        <w:spacing w:before="360" w:after="200"/>
      </w:pPr>
      <w:r>
        <w:rPr>
          <w:rFonts w:ascii="Calibri" w:hAnsi="Calibri"/>
          <w:b/>
          <w:color w:val="001E3C"/>
          <w:sz w:val="28"/>
        </w:rPr>
        <w:t>Questions on Our Mind</w:t>
      </w:r>
    </w:p>
    <w:p>
      <w:pPr>
        <w:spacing w:after="200"/>
      </w:pPr>
      <w:r>
        <w:rPr>
          <w:rFonts w:ascii="Georgia" w:hAnsi="Georgia"/>
          <w:i/>
          <w:color w:val="6C757D"/>
          <w:sz w:val="22"/>
        </w:rPr>
        <w:t>Open items we will press covered management on in the next IR cycle.</w:t>
      </w:r>
    </w:p>
    <w:tbl>
      <w:tblPr>
        <w:tblW w:type="auto" w:w="0"/>
        <w:jc w:val="center"/>
        <w:tblLook w:firstColumn="1" w:firstRow="1" w:lastColumn="0" w:lastRow="0" w:noHBand="0" w:noVBand="1" w:val="04A0"/>
      </w:tblPr>
      <w:tblGrid>
        <w:gridCol w:w="3120"/>
        <w:gridCol w:w="3120"/>
        <w:gridCol w:w="3120"/>
      </w:tblGrid>
      <w:tr>
        <w:tc>
          <w:tcPr>
            <w:tcW w:type="dxa" w:w="3168"/>
            <w:shd w:val="clear" w:color="auto" w:fill="001E3C"/>
          </w:tcPr>
          <w:p>
            <w:pPr>
              <w:spacing w:after="40"/>
              <w:jc w:val="center"/>
            </w:pPr>
            <w:r>
              <w:rPr>
                <w:rFonts w:ascii="Calibri" w:hAnsi="Calibri"/>
                <w:b/>
                <w:color w:val="FFFFFF"/>
                <w:sz w:val="18"/>
              </w:rPr>
              <w:t>Operating-line questions</w:t>
            </w:r>
          </w:p>
        </w:tc>
        <w:tc>
          <w:tcPr>
            <w:tcW w:type="dxa" w:w="3168"/>
            <w:shd w:val="clear" w:color="auto" w:fill="001E3C"/>
          </w:tcPr>
          <w:p>
            <w:pPr>
              <w:spacing w:after="40"/>
              <w:jc w:val="center"/>
            </w:pPr>
            <w:r>
              <w:rPr>
                <w:rFonts w:ascii="Calibri" w:hAnsi="Calibri"/>
                <w:b/>
                <w:color w:val="FFFFFF"/>
                <w:sz w:val="18"/>
              </w:rPr>
              <w:t>R&amp;D / clinical questions</w:t>
            </w:r>
          </w:p>
        </w:tc>
        <w:tc>
          <w:tcPr>
            <w:tcW w:type="dxa" w:w="3024"/>
            <w:shd w:val="clear" w:color="auto" w:fill="001E3C"/>
          </w:tcPr>
          <w:p>
            <w:pPr>
              <w:spacing w:after="40"/>
              <w:jc w:val="center"/>
            </w:pPr>
            <w:r>
              <w:rPr>
                <w:rFonts w:ascii="Calibri" w:hAnsi="Calibri"/>
                <w:b/>
                <w:color w:val="FFFFFF"/>
                <w:sz w:val="18"/>
              </w:rPr>
              <w:t>Strategic / deal-flow questions</w:t>
            </w:r>
          </w:p>
        </w:tc>
      </w:tr>
      <w:tr>
        <w:tc>
          <w:tcPr>
            <w:tcW w:type="dxa" w:w="3168"/>
          </w:tcPr>
          <w:p>
            <w:pPr>
              <w:spacing w:after="40"/>
            </w:pPr>
            <w:r/>
            <w:r>
              <w:rPr>
                <w:rFonts w:ascii="Georgia" w:hAnsi="Georgia"/>
                <w:color w:val="1A1A1A"/>
                <w:sz w:val="18"/>
              </w:rPr>
              <w:t>To covered CFOs: of the AI-attributable productivity claims you have made on calls in 2023–2025, which will be quantified in the FY2026 10-K, and where will they show up — COGS, SG&amp;A, R&amp;D, or below the line?</w:t>
            </w:r>
          </w:p>
        </w:tc>
        <w:tc>
          <w:tcPr>
            <w:tcW w:type="dxa" w:w="3168"/>
          </w:tcPr>
          <w:p>
            <w:pPr>
              <w:spacing w:after="40"/>
            </w:pPr>
            <w:r/>
            <w:r>
              <w:rPr>
                <w:rFonts w:ascii="Georgia" w:hAnsi="Georgia"/>
                <w:color w:val="1A1A1A"/>
                <w:sz w:val="18"/>
              </w:rPr>
              <w:t>To covered CSOs: of the discovery-stage programs your AI partners have advanced, what fraction met the original target-to-IND timeline expectation, and what was the actual delta vs. comparable internal programs?</w:t>
            </w:r>
          </w:p>
        </w:tc>
        <w:tc>
          <w:tcPr>
            <w:tcW w:type="dxa" w:w="3024"/>
          </w:tcPr>
          <w:p>
            <w:pPr>
              <w:spacing w:after="40"/>
            </w:pPr>
            <w:r/>
            <w:r>
              <w:rPr>
                <w:rFonts w:ascii="Georgia" w:hAnsi="Georgia"/>
                <w:color w:val="1A1A1A"/>
                <w:sz w:val="18"/>
              </w:rPr>
              <w:t>To big-pharma deal teams: do the structural shifts in AI-pharma deal terms over 2022–2024 reflect competition for AI partner exclusivity, or pharma conviction in AI's productivity case?</w:t>
            </w:r>
          </w:p>
        </w:tc>
      </w:tr>
      <w:tr>
        <w:tc>
          <w:tcPr>
            <w:tcW w:type="dxa" w:w="3168"/>
            <w:shd w:val="clear" w:color="auto" w:fill="F2F2F2"/>
          </w:tcPr>
          <w:p>
            <w:pPr>
              <w:spacing w:after="40"/>
            </w:pPr>
            <w:r/>
            <w:r>
              <w:rPr>
                <w:rFonts w:ascii="Georgia" w:hAnsi="Georgia"/>
                <w:color w:val="1A1A1A"/>
                <w:sz w:val="18"/>
              </w:rPr>
              <w:t>To Pfizer: will the $1.2B SG&amp;A figure be disclosed as a standalone line item in the FY25 10-K, and what is the run-rate forward?</w:t>
            </w:r>
          </w:p>
        </w:tc>
        <w:tc>
          <w:tcPr>
            <w:tcW w:type="dxa" w:w="3168"/>
            <w:shd w:val="clear" w:color="auto" w:fill="F2F2F2"/>
          </w:tcPr>
          <w:p>
            <w:pPr>
              <w:spacing w:after="40"/>
            </w:pPr>
            <w:r/>
            <w:r>
              <w:rPr>
                <w:rFonts w:ascii="Georgia" w:hAnsi="Georgia"/>
                <w:color w:val="1A1A1A"/>
                <w:sz w:val="18"/>
              </w:rPr>
              <w:t>To Eli Lilly: under what circumstances would Rentosertib's Phase III failure cause you to reassess the $2.75B March 2026 deal economics?</w:t>
            </w:r>
          </w:p>
        </w:tc>
        <w:tc>
          <w:tcPr>
            <w:tcW w:type="dxa" w:w="3024"/>
            <w:shd w:val="clear" w:color="auto" w:fill="F2F2F2"/>
          </w:tcPr>
          <w:p>
            <w:pPr>
              <w:spacing w:after="40"/>
            </w:pPr>
            <w:r/>
            <w:r>
              <w:rPr>
                <w:rFonts w:ascii="Georgia" w:hAnsi="Georgia"/>
                <w:color w:val="1A1A1A"/>
                <w:sz w:val="18"/>
              </w:rPr>
              <w:t>To AI-native managements (RXRX, SDGR, post-merger entity): is the current pace of validated-target generation on track for the run-rate implied by 2024 deal economics?</w:t>
            </w:r>
          </w:p>
        </w:tc>
      </w:tr>
      <w:tr>
        <w:tc>
          <w:tcPr>
            <w:tcW w:type="dxa" w:w="3168"/>
          </w:tcPr>
          <w:p>
            <w:pPr>
              <w:spacing w:after="40"/>
            </w:pPr>
            <w:r/>
            <w:r>
              <w:rPr>
                <w:rFonts w:ascii="Georgia" w:hAnsi="Georgia"/>
                <w:color w:val="1A1A1A"/>
                <w:sz w:val="18"/>
              </w:rPr>
              <w:t>To Sanofi: will the $300M COGS/G&amp;A savings be broken out by AI vs. non-AI in the FY25 20-F?</w:t>
            </w:r>
          </w:p>
        </w:tc>
        <w:tc>
          <w:tcPr>
            <w:tcW w:type="dxa" w:w="3168"/>
          </w:tcPr>
          <w:p>
            <w:pPr>
              <w:spacing w:after="40"/>
            </w:pPr>
            <w:r/>
            <w:r>
              <w:rPr>
                <w:rFonts w:ascii="Georgia" w:hAnsi="Georgia"/>
                <w:color w:val="1A1A1A"/>
                <w:sz w:val="18"/>
              </w:rPr>
              <w:t>To FDA Office of Medical Policy (CDER): under what circumstances will AI-derived evidence be considered load-bearing in an approval letter, and what corroborating non-AI evidence would be expected alongside it?</w:t>
            </w:r>
          </w:p>
        </w:tc>
        <w:tc>
          <w:tcPr>
            <w:tcW w:type="dxa" w:w="3024"/>
          </w:tcPr>
          <w:p>
            <w:pPr>
              <w:spacing w:after="40"/>
            </w:pPr>
            <w:r/>
            <w:r>
              <w:rPr>
                <w:rFonts w:ascii="Georgia" w:hAnsi="Georgia"/>
                <w:color w:val="1A1A1A"/>
                <w:sz w:val="18"/>
              </w:rPr>
              <w:t>To Bayer / Roche / Novartis: what would cause you to terminate an existing AI-pharma collaboration before the contracted endpoint, and have any such decisions been made silently in the last 18 months?</w:t>
            </w:r>
          </w:p>
        </w:tc>
      </w:tr>
    </w:tbl>
    <w:p>
      <w:r>
        <w:br w:type="page"/>
      </w:r>
    </w:p>
    <w:p>
      <w:pPr>
        <w:spacing w:before="3600" w:after="400"/>
        <w:jc w:val="center"/>
      </w:pPr>
      <w:r>
        <w:rPr>
          <w:rFonts w:ascii="Calibri" w:hAnsi="Calibri"/>
          <w:b/>
          <w:color w:val="001E3C"/>
          <w:sz w:val="56"/>
        </w:rPr>
        <w:t>APPENDIX</w:t>
      </w:r>
    </w:p>
    <w:p>
      <w:pPr>
        <w:jc w:val="center"/>
      </w:pPr>
      <w:r>
        <w:rPr>
          <w:color w:val="C8102E"/>
          <w:sz w:val="28"/>
        </w:rPr>
        <w:t>— — —</w:t>
      </w:r>
    </w:p>
    <w:p>
      <w:pPr>
        <w:keepNext/>
        <w:spacing w:before="360" w:after="200"/>
      </w:pPr>
      <w:r>
        <w:rPr>
          <w:rFonts w:ascii="Calibri" w:hAnsi="Calibri"/>
          <w:b/>
          <w:color w:val="001E3C"/>
          <w:sz w:val="28"/>
        </w:rPr>
        <w:t>Methodology</w:t>
      </w:r>
    </w:p>
    <w:p>
      <w:pPr>
        <w:spacing w:after="200"/>
      </w:pPr>
      <w:r>
        <w:rPr>
          <w:rFonts w:ascii="Georgia" w:hAnsi="Georgia"/>
          <w:i/>
          <w:color w:val="6C757D"/>
          <w:sz w:val="22"/>
        </w:rPr>
        <w:t>How we built the evidence base, and what we deliberately excluded.</w:t>
      </w:r>
    </w:p>
    <w:p>
      <w:pPr>
        <w:keepNext/>
        <w:spacing w:before="280" w:after="120"/>
      </w:pPr>
      <w:r>
        <w:rPr>
          <w:rFonts w:ascii="Calibri" w:hAnsi="Calibri"/>
          <w:b/>
          <w:color w:val="001E3C"/>
          <w:sz w:val="24"/>
        </w:rPr>
        <w:t>Evidence tier framework</w:t>
      </w:r>
    </w:p>
    <w:p>
      <w:pPr>
        <w:spacing w:after="120" w:before="0" w:line="276" w:lineRule="auto"/>
      </w:pPr>
      <w:r>
        <w:rPr>
          <w:rFonts w:ascii="Georgia" w:hAnsi="Georgia"/>
          <w:b w:val="0"/>
          <w:i w:val="0"/>
          <w:sz w:val="20"/>
        </w:rPr>
        <w:t>Tier 1 (primary, defensible): SEC filings (10-K, 10-Q, 8-K, S-1, DEF 14A, 20-F), earnings call transcripts with named speaker + date + page, FDA documents (approval letters, guidance, advisory committee briefing books), ClinicalTrials.gov entries with NCT, peer-reviewed publications with PMID, official company press releases with named executives and programs. Tier 2 (directional, attributable): named conference presentations, named investor event commentary in published transcripts, government / academic working papers (NBER, NIH OD reports, Tufts CSDD), industry data providers with disclosed methodology (BIO/Informa, IQVIA published indices, Evaluate Pharma published indices). Tier 3 (color only, appendix only): consulting firm reports, industry trades (Endpoints, STAT, Fierce, BioPharma Dive), company blog posts not corroborated by SEC filing or earnings call.</w:t>
      </w:r>
    </w:p>
    <w:p>
      <w:pPr>
        <w:keepNext/>
        <w:spacing w:before="280" w:after="120"/>
      </w:pPr>
      <w:r>
        <w:rPr>
          <w:rFonts w:ascii="Calibri" w:hAnsi="Calibri"/>
          <w:b/>
          <w:color w:val="001E3C"/>
          <w:sz w:val="24"/>
        </w:rPr>
        <w:t>Excluded sources</w:t>
      </w:r>
    </w:p>
    <w:p>
      <w:pPr>
        <w:spacing w:after="120" w:before="0" w:line="276" w:lineRule="auto"/>
      </w:pPr>
      <w:r>
        <w:rPr>
          <w:rFonts w:ascii="Georgia" w:hAnsi="Georgia"/>
          <w:b w:val="0"/>
          <w:i w:val="0"/>
          <w:sz w:val="20"/>
        </w:rPr>
        <w:t>We exclude entirely: other sell-side analyst reports (conflict of interest — the publishing analyst competes with these firms in the same market), buy-side firm whitepapers, equity research consensus aggregators used to substantiate operational facts, and AI vendor case-study marketing pages. Of the 332 evidence rows in the working matrix, zero cite a sell-side analyst report as primary source — verified by the Evidence Audit.</w:t>
      </w:r>
    </w:p>
    <w:p>
      <w:pPr>
        <w:keepNext/>
        <w:spacing w:before="280" w:after="120"/>
      </w:pPr>
      <w:r>
        <w:rPr>
          <w:rFonts w:ascii="Calibri" w:hAnsi="Calibri"/>
          <w:b/>
          <w:color w:val="001E3C"/>
          <w:sz w:val="24"/>
        </w:rPr>
        <w:t>Consulting / advocacy flag</w:t>
      </w:r>
    </w:p>
    <w:p>
      <w:pPr>
        <w:spacing w:after="120" w:before="0" w:line="276" w:lineRule="auto"/>
      </w:pPr>
      <w:r>
        <w:rPr>
          <w:rFonts w:ascii="Georgia" w:hAnsi="Georgia"/>
          <w:b w:val="0"/>
          <w:i w:val="0"/>
          <w:sz w:val="20"/>
        </w:rPr>
        <w:t>We flag every row whose source is a consulting firm (McKinsey, BCG, Bain, Deloitte, Accenture, EY, KPMG, PwC, ZS Associates, IQVIA consulting practice), industry advocacy group (PhRMA, BIO, EFPIA position papers when advocacy-oriented), or AI vendor marketing page. Of 332 rows in the matrix, 114 are flagged TRUE — 111 of those are Q2 rows tracing to Jayatunga et al. (Drug Discovery Today, 2024), a peer-reviewed paper whose authors disclose Boston Consulting Group affiliation. We cite the Jayatunga cohort but treat its analytical conclusions as one input among several, and disclose this affiliation inline wherever the cohort is invoked in this note.</w:t>
      </w:r>
    </w:p>
    <w:p>
      <w:pPr>
        <w:keepNext/>
        <w:spacing w:before="280" w:after="120"/>
      </w:pPr>
      <w:r>
        <w:rPr>
          <w:rFonts w:ascii="Calibri" w:hAnsi="Calibri"/>
          <w:b/>
          <w:color w:val="001E3C"/>
          <w:sz w:val="24"/>
        </w:rPr>
        <w:t>Anti-hallucination rules</w:t>
      </w:r>
    </w:p>
    <w:p>
      <w:pPr>
        <w:spacing w:after="120" w:before="0" w:line="276" w:lineRule="auto"/>
      </w:pPr>
      <w:r>
        <w:rPr>
          <w:rFonts w:ascii="Georgia" w:hAnsi="Georgia"/>
          <w:b w:val="0"/>
          <w:i w:val="0"/>
          <w:sz w:val="20"/>
        </w:rPr>
        <w:t>Every Tier 1 and Tier 2 row in the working matrix carries a working URL and an access date. Every quantitative row carries a verbatim quote or a specific page reference. Where evidence is suggestive but not conclusive, the row is tagged with one of: EXTRAPOLATION (analyst-derived from adjacent data), ANALOGY (drawn from a different setting), LIMITED EVIDENCE (n=1 case study, no independent corroboration), INDUSTRY ESTIMATE (Tier 3 origin, framing only), MANAGEMENT COMMENTARY NOT GUIDED (executive said it on a call, not in filings), DISCONFIRMING, or SOURCE NEEDED (placeholder where no Tier 1 / 2 source was located). We do not invent NCT numbers, PMIDs, or URLs.</w:t>
      </w:r>
    </w:p>
    <w:p>
      <w:pPr>
        <w:keepNext/>
        <w:spacing w:before="280" w:after="120"/>
      </w:pPr>
      <w:r>
        <w:rPr>
          <w:rFonts w:ascii="Calibri" w:hAnsi="Calibri"/>
          <w:b/>
          <w:color w:val="001E3C"/>
          <w:sz w:val="24"/>
        </w:rPr>
        <w:t>Audit verification</w:t>
      </w:r>
    </w:p>
    <w:p>
      <w:pPr>
        <w:spacing w:after="120" w:before="0" w:line="276" w:lineRule="auto"/>
      </w:pPr>
      <w:r>
        <w:rPr>
          <w:rFonts w:ascii="Georgia" w:hAnsi="Georgia"/>
          <w:b w:val="0"/>
          <w:i w:val="0"/>
          <w:sz w:val="20"/>
        </w:rPr>
        <w:t>An adversarial Evidence Audit was completed on the matrix prior to memo drafting. Eighteen load-bearing skeleton rows passed structural review (URL format, verbatim quote populated, tier-assignment plausibility). One material finding was corrected during audit: claim_id collisions between Q1 (R&amp;D opex rows RD-001 through RD-005) and Q2 (separately enumerated R&amp;D rows) — Q2 rows renamed to RDQ2-NNN to disambiguate. Three SOURCE NEEDED rows remain unresolved (RD-036 Tufts CSDD industry baseline; RD-024 Amgen viscosity ML PMID; one other) — none is load-bearing. Audit recommendation: PASS WITH CAVEATS. Full audit report archived at 06_Audit_Reports/audit_report.md.</w:t>
      </w:r>
    </w:p>
    <w:p>
      <w:r>
        <w:br w:type="page"/>
      </w:r>
    </w:p>
    <w:p>
      <w:pPr>
        <w:keepNext/>
        <w:spacing w:before="360" w:after="200"/>
      </w:pPr>
      <w:r>
        <w:rPr>
          <w:rFonts w:ascii="Calibri" w:hAnsi="Calibri"/>
          <w:b/>
          <w:color w:val="001E3C"/>
          <w:sz w:val="28"/>
        </w:rPr>
        <w:t>Industry Framing — For Color Only, Not Load-Bearing</w:t>
      </w:r>
    </w:p>
    <w:p>
      <w:pPr>
        <w:spacing w:after="200"/>
      </w:pPr>
      <w:r>
        <w:rPr>
          <w:rFonts w:ascii="Georgia" w:hAnsi="Georgia"/>
          <w:i/>
          <w:color w:val="6C757D"/>
          <w:sz w:val="22"/>
        </w:rPr>
        <w:t>Consulting and industry-trade narrative captured for completeness. None of these figures appear in our model inputs.</w:t>
      </w:r>
    </w:p>
    <w:p>
      <w:pPr>
        <w:spacing w:after="120" w:before="0" w:line="276" w:lineRule="auto"/>
      </w:pPr>
      <w:r>
        <w:rPr>
          <w:rFonts w:ascii="Georgia" w:hAnsi="Georgia"/>
          <w:b w:val="0"/>
          <w:i w:val="0"/>
          <w:sz w:val="20"/>
        </w:rPr>
        <w:t>Per our methodology, consulting firm reports and industry-trade material are Tier 3 and appear only in this appendix. We log them here for transparency and as a contrast against the Tier 1 evidence the memo body relies on.</w:t>
      </w:r>
    </w:p>
    <w:tbl>
      <w:tblPr>
        <w:tblW w:type="auto" w:w="0"/>
        <w:jc w:val="center"/>
        <w:tblLook w:firstColumn="1" w:firstRow="1" w:lastColumn="0" w:lastRow="0" w:noHBand="0" w:noVBand="1" w:val="04A0"/>
      </w:tblPr>
      <w:tblGrid>
        <w:gridCol w:w="2340"/>
        <w:gridCol w:w="2340"/>
        <w:gridCol w:w="2340"/>
        <w:gridCol w:w="2340"/>
      </w:tblGrid>
      <w:tr>
        <w:tc>
          <w:tcPr>
            <w:tcW w:type="dxa" w:w="3168"/>
            <w:shd w:val="clear" w:color="auto" w:fill="001E3C"/>
          </w:tcPr>
          <w:p>
            <w:pPr>
              <w:spacing w:after="40"/>
              <w:jc w:val="center"/>
            </w:pPr>
            <w:r>
              <w:rPr>
                <w:rFonts w:ascii="Calibri" w:hAnsi="Calibri"/>
                <w:b/>
                <w:color w:val="FFFFFF"/>
                <w:sz w:val="18"/>
              </w:rPr>
              <w:t>Source</w:t>
            </w:r>
          </w:p>
        </w:tc>
        <w:tc>
          <w:tcPr>
            <w:tcW w:type="dxa" w:w="2016"/>
            <w:shd w:val="clear" w:color="auto" w:fill="001E3C"/>
          </w:tcPr>
          <w:p>
            <w:pPr>
              <w:spacing w:after="40"/>
              <w:jc w:val="center"/>
            </w:pPr>
            <w:r>
              <w:rPr>
                <w:rFonts w:ascii="Calibri" w:hAnsi="Calibri"/>
                <w:b/>
                <w:color w:val="FFFFFF"/>
                <w:sz w:val="18"/>
              </w:rPr>
              <w:t>Type</w:t>
            </w:r>
          </w:p>
        </w:tc>
        <w:tc>
          <w:tcPr>
            <w:tcW w:type="dxa" w:w="2592"/>
            <w:shd w:val="clear" w:color="auto" w:fill="001E3C"/>
          </w:tcPr>
          <w:p>
            <w:pPr>
              <w:spacing w:after="40"/>
              <w:jc w:val="center"/>
            </w:pPr>
            <w:r>
              <w:rPr>
                <w:rFonts w:ascii="Calibri" w:hAnsi="Calibri"/>
                <w:b/>
                <w:color w:val="FFFFFF"/>
                <w:sz w:val="18"/>
              </w:rPr>
              <w:t>Headline figure</w:t>
            </w:r>
          </w:p>
        </w:tc>
        <w:tc>
          <w:tcPr>
            <w:tcW w:type="dxa" w:w="3024"/>
            <w:shd w:val="clear" w:color="auto" w:fill="001E3C"/>
          </w:tcPr>
          <w:p>
            <w:pPr>
              <w:spacing w:after="40"/>
              <w:jc w:val="center"/>
            </w:pPr>
            <w:r>
              <w:rPr>
                <w:rFonts w:ascii="Calibri" w:hAnsi="Calibri"/>
                <w:b/>
                <w:color w:val="FFFFFF"/>
                <w:sz w:val="18"/>
              </w:rPr>
              <w:t>Why excluded from body</w:t>
            </w:r>
          </w:p>
        </w:tc>
      </w:tr>
      <w:tr>
        <w:tc>
          <w:tcPr>
            <w:tcW w:type="dxa" w:w="3168"/>
          </w:tcPr>
          <w:p>
            <w:pPr>
              <w:spacing w:after="40"/>
            </w:pPr>
            <w:r/>
            <w:r>
              <w:rPr>
                <w:rFonts w:ascii="Georgia" w:hAnsi="Georgia"/>
                <w:color w:val="1A1A1A"/>
                <w:sz w:val="18"/>
              </w:rPr>
              <w:t>McKinsey &amp; Company (2023)</w:t>
            </w:r>
          </w:p>
        </w:tc>
        <w:tc>
          <w:tcPr>
            <w:tcW w:type="dxa" w:w="2016"/>
          </w:tcPr>
          <w:p>
            <w:pPr>
              <w:spacing w:after="40"/>
            </w:pPr>
            <w:r/>
            <w:r>
              <w:rPr>
                <w:rFonts w:ascii="Georgia" w:hAnsi="Georgia"/>
                <w:color w:val="1A1A1A"/>
                <w:sz w:val="18"/>
              </w:rPr>
              <w:t>CONSULTING — flagged TRUE</w:t>
            </w:r>
          </w:p>
        </w:tc>
        <w:tc>
          <w:tcPr>
            <w:tcW w:type="dxa" w:w="2592"/>
          </w:tcPr>
          <w:p>
            <w:pPr>
              <w:spacing w:after="40"/>
            </w:pPr>
            <w:r/>
            <w:r>
              <w:rPr>
                <w:rFonts w:ascii="Georgia" w:hAnsi="Georgia"/>
                <w:color w:val="1A1A1A"/>
                <w:sz w:val="18"/>
              </w:rPr>
              <w:t>'AI could add $254B in annual pharma value'</w:t>
            </w:r>
          </w:p>
        </w:tc>
        <w:tc>
          <w:tcPr>
            <w:tcW w:type="dxa" w:w="3024"/>
          </w:tcPr>
          <w:p>
            <w:pPr>
              <w:spacing w:after="40"/>
            </w:pPr>
            <w:r/>
            <w:r>
              <w:rPr>
                <w:rFonts w:ascii="Georgia" w:hAnsi="Georgia"/>
                <w:color w:val="1A1A1A"/>
                <w:sz w:val="18"/>
              </w:rPr>
              <w:t>Industry-aggregate figure with no sponsor corroboration in any covered name's 10-K; methodology not externally reproducible</w:t>
            </w:r>
          </w:p>
        </w:tc>
      </w:tr>
      <w:tr>
        <w:tc>
          <w:tcPr>
            <w:tcW w:type="dxa" w:w="3168"/>
            <w:shd w:val="clear" w:color="auto" w:fill="F2F2F2"/>
          </w:tcPr>
          <w:p>
            <w:pPr>
              <w:spacing w:after="40"/>
            </w:pPr>
            <w:r/>
            <w:r>
              <w:rPr>
                <w:rFonts w:ascii="Georgia" w:hAnsi="Georgia"/>
                <w:color w:val="1A1A1A"/>
                <w:sz w:val="18"/>
              </w:rPr>
              <w:t>BCG (2024)</w:t>
            </w:r>
          </w:p>
        </w:tc>
        <w:tc>
          <w:tcPr>
            <w:tcW w:type="dxa" w:w="2016"/>
            <w:shd w:val="clear" w:color="auto" w:fill="F2F2F2"/>
          </w:tcPr>
          <w:p>
            <w:pPr>
              <w:spacing w:after="40"/>
            </w:pPr>
            <w:r/>
            <w:r>
              <w:rPr>
                <w:rFonts w:ascii="Georgia" w:hAnsi="Georgia"/>
                <w:color w:val="1A1A1A"/>
                <w:sz w:val="18"/>
              </w:rPr>
              <w:t>CONSULTING — flagged TRUE</w:t>
            </w:r>
          </w:p>
        </w:tc>
        <w:tc>
          <w:tcPr>
            <w:tcW w:type="dxa" w:w="2592"/>
            <w:shd w:val="clear" w:color="auto" w:fill="F2F2F2"/>
          </w:tcPr>
          <w:p>
            <w:pPr>
              <w:spacing w:after="40"/>
            </w:pPr>
            <w:r/>
            <w:r>
              <w:rPr>
                <w:rFonts w:ascii="Georgia" w:hAnsi="Georgia"/>
                <w:color w:val="1A1A1A"/>
                <w:sz w:val="18"/>
              </w:rPr>
              <w:t>'AI reduces drug discovery costs 30–50%'</w:t>
            </w:r>
          </w:p>
        </w:tc>
        <w:tc>
          <w:tcPr>
            <w:tcW w:type="dxa" w:w="3024"/>
            <w:shd w:val="clear" w:color="auto" w:fill="F2F2F2"/>
          </w:tcPr>
          <w:p>
            <w:pPr>
              <w:spacing w:after="40"/>
            </w:pPr>
            <w:r/>
            <w:r>
              <w:rPr>
                <w:rFonts w:ascii="Georgia" w:hAnsi="Georgia"/>
                <w:color w:val="1A1A1A"/>
                <w:sz w:val="18"/>
              </w:rPr>
              <w:t>Range too wide for model input; underlying program-level evidence not disclosed</w:t>
            </w:r>
          </w:p>
        </w:tc>
      </w:tr>
      <w:tr>
        <w:tc>
          <w:tcPr>
            <w:tcW w:type="dxa" w:w="3168"/>
          </w:tcPr>
          <w:p>
            <w:pPr>
              <w:spacing w:after="40"/>
            </w:pPr>
            <w:r/>
            <w:r>
              <w:rPr>
                <w:rFonts w:ascii="Georgia" w:hAnsi="Georgia"/>
                <w:color w:val="1A1A1A"/>
                <w:sz w:val="18"/>
              </w:rPr>
              <w:t>Jayatunga et al., Drug Discovery Today (2024, PMID 38692505)</w:t>
            </w:r>
          </w:p>
        </w:tc>
        <w:tc>
          <w:tcPr>
            <w:tcW w:type="dxa" w:w="2016"/>
          </w:tcPr>
          <w:p>
            <w:pPr>
              <w:spacing w:after="40"/>
            </w:pPr>
            <w:r/>
            <w:r>
              <w:rPr>
                <w:rFonts w:ascii="Georgia" w:hAnsi="Georgia"/>
                <w:color w:val="1A1A1A"/>
                <w:sz w:val="18"/>
              </w:rPr>
              <w:t>Peer-reviewed; BCG-authored — flagged TRUE</w:t>
            </w:r>
          </w:p>
        </w:tc>
        <w:tc>
          <w:tcPr>
            <w:tcW w:type="dxa" w:w="2592"/>
          </w:tcPr>
          <w:p>
            <w:pPr>
              <w:spacing w:after="40"/>
            </w:pPr>
            <w:r/>
            <w:r>
              <w:rPr>
                <w:rFonts w:ascii="Georgia" w:hAnsi="Georgia"/>
                <w:color w:val="1A1A1A"/>
                <w:sz w:val="18"/>
              </w:rPr>
              <w:t>82-molecule AI cohort definition; attrition + outcome distribution</w:t>
            </w:r>
          </w:p>
        </w:tc>
        <w:tc>
          <w:tcPr>
            <w:tcW w:type="dxa" w:w="3024"/>
          </w:tcPr>
          <w:p>
            <w:pPr>
              <w:spacing w:after="40"/>
            </w:pPr>
            <w:r/>
            <w:r>
              <w:rPr>
                <w:rFonts w:ascii="Georgia" w:hAnsi="Georgia"/>
                <w:color w:val="1A1A1A"/>
                <w:sz w:val="18"/>
              </w:rPr>
              <w:t>Cited in body with explicit BCG-authorship disclosure; treated as cohort definition not analytical conclusion</w:t>
            </w:r>
          </w:p>
        </w:tc>
      </w:tr>
      <w:tr>
        <w:tc>
          <w:tcPr>
            <w:tcW w:type="dxa" w:w="3168"/>
            <w:shd w:val="clear" w:color="auto" w:fill="F2F2F2"/>
          </w:tcPr>
          <w:p>
            <w:pPr>
              <w:spacing w:after="40"/>
            </w:pPr>
            <w:r/>
            <w:r>
              <w:rPr>
                <w:rFonts w:ascii="Georgia" w:hAnsi="Georgia"/>
                <w:color w:val="1A1A1A"/>
                <w:sz w:val="18"/>
              </w:rPr>
              <w:t>CB Insights AI in Pharma 2025</w:t>
            </w:r>
          </w:p>
        </w:tc>
        <w:tc>
          <w:tcPr>
            <w:tcW w:type="dxa" w:w="2016"/>
            <w:shd w:val="clear" w:color="auto" w:fill="F2F2F2"/>
          </w:tcPr>
          <w:p>
            <w:pPr>
              <w:spacing w:after="40"/>
            </w:pPr>
            <w:r/>
            <w:r>
              <w:rPr>
                <w:rFonts w:ascii="Georgia" w:hAnsi="Georgia"/>
                <w:color w:val="1A1A1A"/>
                <w:sz w:val="18"/>
              </w:rPr>
              <w:t>INDUSTRY TRADE — flagged TRUE</w:t>
            </w:r>
          </w:p>
        </w:tc>
        <w:tc>
          <w:tcPr>
            <w:tcW w:type="dxa" w:w="2592"/>
            <w:shd w:val="clear" w:color="auto" w:fill="F2F2F2"/>
          </w:tcPr>
          <w:p>
            <w:pPr>
              <w:spacing w:after="40"/>
            </w:pPr>
            <w:r/>
            <w:r>
              <w:rPr>
                <w:rFonts w:ascii="Georgia" w:hAnsi="Georgia"/>
                <w:color w:val="1A1A1A"/>
                <w:sz w:val="18"/>
              </w:rPr>
              <w:t>Investment volume statistics</w:t>
            </w:r>
          </w:p>
        </w:tc>
        <w:tc>
          <w:tcPr>
            <w:tcW w:type="dxa" w:w="3024"/>
            <w:shd w:val="clear" w:color="auto" w:fill="F2F2F2"/>
          </w:tcPr>
          <w:p>
            <w:pPr>
              <w:spacing w:after="40"/>
            </w:pPr>
            <w:r/>
            <w:r>
              <w:rPr>
                <w:rFonts w:ascii="Georgia" w:hAnsi="Georgia"/>
                <w:color w:val="1A1A1A"/>
                <w:sz w:val="18"/>
              </w:rPr>
              <w:t>Aggregation of deal data with proprietary methodology; cited for framing only</w:t>
            </w:r>
          </w:p>
        </w:tc>
      </w:tr>
      <w:tr>
        <w:tc>
          <w:tcPr>
            <w:tcW w:type="dxa" w:w="3168"/>
          </w:tcPr>
          <w:p>
            <w:pPr>
              <w:spacing w:after="40"/>
            </w:pPr>
            <w:r/>
            <w:r>
              <w:rPr>
                <w:rFonts w:ascii="Georgia" w:hAnsi="Georgia"/>
                <w:color w:val="1A1A1A"/>
                <w:sz w:val="18"/>
              </w:rPr>
              <w:t>NVIDIA 'Generative AI for Biologics Discovery' (Amgen case)</w:t>
            </w:r>
          </w:p>
        </w:tc>
        <w:tc>
          <w:tcPr>
            <w:tcW w:type="dxa" w:w="2016"/>
          </w:tcPr>
          <w:p>
            <w:pPr>
              <w:spacing w:after="40"/>
            </w:pPr>
            <w:r/>
            <w:r>
              <w:rPr>
                <w:rFonts w:ascii="Georgia" w:hAnsi="Georgia"/>
                <w:color w:val="1A1A1A"/>
                <w:sz w:val="18"/>
              </w:rPr>
              <w:t>VENDOR MARKETING — EXCLUDED</w:t>
            </w:r>
          </w:p>
        </w:tc>
        <w:tc>
          <w:tcPr>
            <w:tcW w:type="dxa" w:w="2592"/>
          </w:tcPr>
          <w:p>
            <w:pPr>
              <w:spacing w:after="40"/>
            </w:pPr>
            <w:r/>
            <w:r>
              <w:rPr>
                <w:rFonts w:ascii="Georgia" w:hAnsi="Georgia"/>
                <w:color w:val="1A1A1A"/>
                <w:sz w:val="18"/>
              </w:rPr>
              <w:t>Various Amgen biologics-discovery time-compression claims</w:t>
            </w:r>
          </w:p>
        </w:tc>
        <w:tc>
          <w:tcPr>
            <w:tcW w:type="dxa" w:w="3024"/>
          </w:tcPr>
          <w:p>
            <w:pPr>
              <w:spacing w:after="40"/>
            </w:pPr>
            <w:r/>
            <w:r>
              <w:rPr>
                <w:rFonts w:ascii="Georgia" w:hAnsi="Georgia"/>
                <w:color w:val="1A1A1A"/>
                <w:sz w:val="18"/>
              </w:rPr>
              <w:t>Vendor marketing page; excluded from matrix entirely under anti-hallucination rules</w:t>
            </w:r>
          </w:p>
        </w:tc>
      </w:tr>
    </w:tbl>
    <w:p>
      <w:r>
        <w:br w:type="page"/>
      </w:r>
    </w:p>
    <w:p>
      <w:pPr>
        <w:keepNext/>
        <w:spacing w:before="360" w:after="200"/>
      </w:pPr>
      <w:r>
        <w:rPr>
          <w:rFonts w:ascii="Calibri" w:hAnsi="Calibri"/>
          <w:b/>
          <w:color w:val="001E3C"/>
          <w:sz w:val="28"/>
        </w:rPr>
        <w:t>Glossary</w:t>
      </w:r>
    </w:p>
    <w:p>
      <w:pPr>
        <w:spacing w:after="200"/>
      </w:pPr>
      <w:r>
        <w:rPr>
          <w:rFonts w:ascii="Georgia" w:hAnsi="Georgia"/>
          <w:i/>
          <w:color w:val="6C757D"/>
          <w:sz w:val="22"/>
        </w:rPr>
        <w:t>Key terms used in this note, alphabetized.</w:t>
      </w:r>
    </w:p>
    <w:p>
      <w:pPr>
        <w:spacing w:after="120"/>
        <w:ind w:left="288" w:hanging="288"/>
      </w:pPr>
      <w:r>
        <w:rPr>
          <w:rFonts w:ascii="Calibri" w:hAnsi="Calibri"/>
          <w:b/>
          <w:color w:val="001E3C"/>
          <w:sz w:val="20"/>
        </w:rPr>
        <w:t xml:space="preserve">AlphaFold-2. </w:t>
      </w:r>
      <w:r>
        <w:rPr>
          <w:rFonts w:ascii="Georgia" w:hAnsi="Georgia"/>
          <w:color w:val="1A1A1A"/>
          <w:sz w:val="20"/>
        </w:rPr>
        <w:t>DeepMind protein structure prediction system released November 2020; widely cited inflection point for structure-based AI in drug discovery. Underlies Isomorphic Labs commercial platform.</w:t>
      </w:r>
    </w:p>
    <w:p>
      <w:pPr>
        <w:spacing w:after="120"/>
        <w:ind w:left="288" w:hanging="288"/>
      </w:pPr>
      <w:r>
        <w:rPr>
          <w:rFonts w:ascii="Calibri" w:hAnsi="Calibri"/>
          <w:b/>
          <w:color w:val="001E3C"/>
          <w:sz w:val="20"/>
        </w:rPr>
        <w:t xml:space="preserve">BIO/Informa PoS benchmark. </w:t>
      </w:r>
      <w:r>
        <w:rPr>
          <w:rFonts w:ascii="Georgia" w:hAnsi="Georgia"/>
          <w:color w:val="1A1A1A"/>
          <w:sz w:val="20"/>
        </w:rPr>
        <w:t>Annual industry report on phase-by-phase clinical trial success rates published by Biotechnology Innovation Organization in partnership with Informa Pharma Intelligence. Used as our baseline cohort for PoS comparisons.</w:t>
      </w:r>
    </w:p>
    <w:p>
      <w:pPr>
        <w:spacing w:after="120"/>
        <w:ind w:left="288" w:hanging="288"/>
      </w:pPr>
      <w:r>
        <w:rPr>
          <w:rFonts w:ascii="Calibri" w:hAnsi="Calibri"/>
          <w:b/>
          <w:color w:val="001E3C"/>
          <w:sz w:val="20"/>
        </w:rPr>
        <w:t xml:space="preserve">CGT — Cell and gene therapy. </w:t>
      </w:r>
      <w:r>
        <w:rPr>
          <w:rFonts w:ascii="Georgia" w:hAnsi="Georgia"/>
          <w:color w:val="1A1A1A"/>
          <w:sz w:val="20"/>
        </w:rPr>
        <w:t>Therapeutic modality involving genetic modification of patient cells or in vivo gene delivery. Used as a regulator-cycle analog in our Q5 section.</w:t>
      </w:r>
    </w:p>
    <w:p>
      <w:pPr>
        <w:spacing w:after="120"/>
        <w:ind w:left="288" w:hanging="288"/>
      </w:pPr>
      <w:r>
        <w:rPr>
          <w:rFonts w:ascii="Calibri" w:hAnsi="Calibri"/>
          <w:b/>
          <w:color w:val="001E3C"/>
          <w:sz w:val="20"/>
        </w:rPr>
        <w:t xml:space="preserve">Discovery-to-IND. </w:t>
      </w:r>
      <w:r>
        <w:rPr>
          <w:rFonts w:ascii="Georgia" w:hAnsi="Georgia"/>
          <w:color w:val="1A1A1A"/>
          <w:sz w:val="20"/>
        </w:rPr>
        <w:t>Elapsed time from target identification to Investigational New Drug filing with FDA. Industry baseline approximately 54+ months per Tufts CSDD.</w:t>
      </w:r>
    </w:p>
    <w:p>
      <w:pPr>
        <w:spacing w:after="120"/>
        <w:ind w:left="288" w:hanging="288"/>
      </w:pPr>
      <w:r>
        <w:rPr>
          <w:rFonts w:ascii="Calibri" w:hAnsi="Calibri"/>
          <w:b/>
          <w:color w:val="001E3C"/>
          <w:sz w:val="20"/>
        </w:rPr>
        <w:t xml:space="preserve">FEP+. </w:t>
      </w:r>
      <w:r>
        <w:rPr>
          <w:rFonts w:ascii="Georgia" w:hAnsi="Georgia"/>
          <w:color w:val="1A1A1A"/>
          <w:sz w:val="20"/>
        </w:rPr>
        <w:t>Free Energy Perturbation calculation methodology used by Schrödinger and similar physics-based AI platforms for small-molecule lead optimization.</w:t>
      </w:r>
    </w:p>
    <w:p>
      <w:pPr>
        <w:spacing w:after="120"/>
        <w:ind w:left="288" w:hanging="288"/>
      </w:pPr>
      <w:r>
        <w:rPr>
          <w:rFonts w:ascii="Calibri" w:hAnsi="Calibri"/>
          <w:b/>
          <w:color w:val="001E3C"/>
          <w:sz w:val="20"/>
        </w:rPr>
        <w:t xml:space="preserve">Filing-grade. </w:t>
      </w:r>
      <w:r>
        <w:rPr>
          <w:rFonts w:ascii="Georgia" w:hAnsi="Georgia"/>
          <w:color w:val="1A1A1A"/>
          <w:sz w:val="20"/>
        </w:rPr>
        <w:t>Internal categorization: claim appears in a numbered SEC document (10-K, 10-Q, 8-K, S-1, DEF 14A, 20-F) at quantified specificity. Distinguished from earnings-call commentary.</w:t>
      </w:r>
    </w:p>
    <w:p>
      <w:pPr>
        <w:spacing w:after="120"/>
        <w:ind w:left="288" w:hanging="288"/>
      </w:pPr>
      <w:r>
        <w:rPr>
          <w:rFonts w:ascii="Calibri" w:hAnsi="Calibri"/>
          <w:b/>
          <w:color w:val="001E3C"/>
          <w:sz w:val="20"/>
        </w:rPr>
        <w:t xml:space="preserve">Jayatunga et al. (2024). </w:t>
      </w:r>
      <w:r>
        <w:rPr>
          <w:rFonts w:ascii="Georgia" w:hAnsi="Georgia"/>
          <w:color w:val="1A1A1A"/>
          <w:sz w:val="20"/>
        </w:rPr>
        <w:t>Peer-reviewed analysis in Drug Discovery Today (PMID 38692505) defining the 82-molecule AI-discovered cohort. Authors disclose Boston Consulting Group affiliation.</w:t>
      </w:r>
    </w:p>
    <w:p>
      <w:pPr>
        <w:spacing w:after="120"/>
        <w:ind w:left="288" w:hanging="288"/>
      </w:pPr>
      <w:r>
        <w:rPr>
          <w:rFonts w:ascii="Calibri" w:hAnsi="Calibri"/>
          <w:b/>
          <w:color w:val="001E3C"/>
          <w:sz w:val="20"/>
        </w:rPr>
        <w:t xml:space="preserve">rNPV. </w:t>
      </w:r>
      <w:r>
        <w:rPr>
          <w:rFonts w:ascii="Georgia" w:hAnsi="Georgia"/>
          <w:color w:val="1A1A1A"/>
          <w:sz w:val="20"/>
        </w:rPr>
        <w:t>Risk-adjusted net present value; valuation method adjusting cash flows by phase-by-phase probability of success.</w:t>
      </w:r>
    </w:p>
    <w:p>
      <w:pPr>
        <w:spacing w:after="120"/>
        <w:ind w:left="288" w:hanging="288"/>
      </w:pPr>
      <w:r>
        <w:rPr>
          <w:rFonts w:ascii="Calibri" w:hAnsi="Calibri"/>
          <w:b/>
          <w:color w:val="001E3C"/>
          <w:sz w:val="20"/>
        </w:rPr>
        <w:t xml:space="preserve">Survivorship bias. </w:t>
      </w:r>
      <w:r>
        <w:rPr>
          <w:rFonts w:ascii="Georgia" w:hAnsi="Georgia"/>
          <w:color w:val="1A1A1A"/>
          <w:sz w:val="20"/>
        </w:rPr>
        <w:t>Inferential error from analyzing only programs that survived to a given milestone, omitting silently terminated programs from the denominator.</w:t>
      </w:r>
    </w:p>
    <w:p>
      <w:pPr>
        <w:spacing w:after="120"/>
        <w:ind w:left="288" w:hanging="288"/>
      </w:pPr>
      <w:r>
        <w:rPr>
          <w:rFonts w:ascii="Calibri" w:hAnsi="Calibri"/>
          <w:b/>
          <w:color w:val="001E3C"/>
          <w:sz w:val="20"/>
        </w:rPr>
        <w:t xml:space="preserve">Tier 1 / 2 / 3. </w:t>
      </w:r>
      <w:r>
        <w:rPr>
          <w:rFonts w:ascii="Georgia" w:hAnsi="Georgia"/>
          <w:color w:val="1A1A1A"/>
          <w:sz w:val="20"/>
        </w:rPr>
        <w:t>Our internal evidence tier framework — see Methodology section.</w:t>
      </w:r>
    </w:p>
    <w:p>
      <w:pPr>
        <w:spacing w:after="120"/>
        <w:ind w:left="288" w:hanging="288"/>
      </w:pPr>
      <w:r>
        <w:rPr>
          <w:rFonts w:ascii="Calibri" w:hAnsi="Calibri"/>
          <w:b/>
          <w:color w:val="001E3C"/>
          <w:sz w:val="20"/>
        </w:rPr>
        <w:t xml:space="preserve">Zasocitinib (NDI-034858). </w:t>
      </w:r>
      <w:r>
        <w:rPr>
          <w:rFonts w:ascii="Georgia" w:hAnsi="Georgia"/>
          <w:color w:val="1A1A1A"/>
          <w:sz w:val="20"/>
        </w:rPr>
        <w:t>TYK2 inhibitor, Nimbus/Takeda, plaque psoriasis. Phase 3 primary endpoint completed December 2024 (NCT06108544). The only AI-assisted molecule to clear a Phase 3 readout in our cohort as of 2026-05-11.</w:t>
      </w:r>
    </w:p>
    <w:p>
      <w:r>
        <w:br w:type="page"/>
      </w:r>
    </w:p>
    <w:p>
      <w:pPr>
        <w:keepNext/>
        <w:spacing w:before="360" w:after="200"/>
      </w:pPr>
      <w:r>
        <w:rPr>
          <w:rFonts w:ascii="Calibri" w:hAnsi="Calibri"/>
          <w:b/>
          <w:color w:val="001E3C"/>
          <w:sz w:val="28"/>
        </w:rPr>
        <w:t>Disclosures</w:t>
      </w:r>
    </w:p>
    <w:p>
      <w:pPr>
        <w:spacing w:after="200"/>
      </w:pPr>
      <w:r>
        <w:rPr>
          <w:rFonts w:ascii="Georgia" w:hAnsi="Georgia"/>
          <w:i/>
          <w:color w:val="6C757D"/>
          <w:sz w:val="22"/>
        </w:rPr>
        <w:t>Compliance placeholder — actual disclosures to be added by Compliance prior to distribution.</w:t>
      </w:r>
    </w:p>
    <w:p>
      <w:pPr>
        <w:spacing w:after="120" w:before="0" w:line="276" w:lineRule="auto"/>
      </w:pPr>
      <w:r>
        <w:rPr>
          <w:rFonts w:ascii="Georgia" w:hAnsi="Georgia"/>
          <w:b w:val="0"/>
          <w:i w:val="0"/>
          <w:sz w:val="20"/>
        </w:rPr>
        <w:t>[Placeholder for analyst certification, conflict disclosures, Regulation AC statements, distribution restrictions, and copyright. This memo is sourced from the working evidence corpus archived at /Users/louisaqiu/Documents/Claude/Projects/Research/AI_Drug_Discovery/01_Matrix_Master.xlsx, with audit report at /06_Audit_Reports/audit_report.md. Every numeric claim in the body footnotes a claim_id traceable to the matrix.]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