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63E4" w14:textId="77777777" w:rsidR="002D007D" w:rsidRPr="002D007D" w:rsidRDefault="002D007D" w:rsidP="002D007D">
      <w:pPr>
        <w:jc w:val="center"/>
        <w:rPr>
          <w:b/>
          <w:bCs/>
          <w:sz w:val="40"/>
          <w:szCs w:val="40"/>
        </w:rPr>
      </w:pPr>
      <w:r w:rsidRPr="002D007D">
        <w:rPr>
          <w:b/>
          <w:bCs/>
          <w:sz w:val="40"/>
          <w:szCs w:val="40"/>
        </w:rPr>
        <w:t>Simulation Plan</w:t>
      </w:r>
    </w:p>
    <w:p w14:paraId="74BB66C5" w14:textId="0F782CB2" w:rsidR="00A703D0" w:rsidRPr="002D007D" w:rsidRDefault="002D007D" w:rsidP="002D007D">
      <w:pPr>
        <w:jc w:val="center"/>
        <w:rPr>
          <w:sz w:val="32"/>
          <w:szCs w:val="32"/>
        </w:rPr>
      </w:pPr>
      <w:r w:rsidRPr="002D007D">
        <w:rPr>
          <w:sz w:val="32"/>
          <w:szCs w:val="32"/>
        </w:rPr>
        <w:t>Tripartite Simulation Subteam</w:t>
      </w:r>
    </w:p>
    <w:p w14:paraId="583F2836" w14:textId="108C0161" w:rsidR="002D007D" w:rsidRPr="002D007D" w:rsidRDefault="00BC4426" w:rsidP="002D007D">
      <w:pPr>
        <w:jc w:val="center"/>
        <w:rPr>
          <w:sz w:val="32"/>
          <w:szCs w:val="32"/>
        </w:rPr>
      </w:pPr>
      <w:r>
        <w:rPr>
          <w:sz w:val="32"/>
          <w:szCs w:val="32"/>
        </w:rPr>
        <w:t>March 30</w:t>
      </w:r>
      <w:r w:rsidR="002D007D" w:rsidRPr="002D007D">
        <w:rPr>
          <w:sz w:val="32"/>
          <w:szCs w:val="32"/>
        </w:rPr>
        <w:t>, 2024</w:t>
      </w:r>
    </w:p>
    <w:p w14:paraId="01BEAB08" w14:textId="77777777" w:rsidR="002D007D" w:rsidRDefault="002D007D"/>
    <w:p w14:paraId="36761B54" w14:textId="25C8D964" w:rsidR="002D007D" w:rsidRPr="002D007D" w:rsidRDefault="002D007D" w:rsidP="002D007D">
      <w:pPr>
        <w:pStyle w:val="ListParagraph"/>
        <w:numPr>
          <w:ilvl w:val="0"/>
          <w:numId w:val="1"/>
        </w:numPr>
        <w:rPr>
          <w:b/>
          <w:bCs/>
          <w:sz w:val="24"/>
          <w:szCs w:val="24"/>
        </w:rPr>
      </w:pPr>
      <w:r w:rsidRPr="002D007D">
        <w:rPr>
          <w:b/>
          <w:bCs/>
          <w:sz w:val="24"/>
          <w:szCs w:val="24"/>
        </w:rPr>
        <w:t>Foundational Elements</w:t>
      </w:r>
    </w:p>
    <w:p w14:paraId="06BF6686" w14:textId="77777777" w:rsidR="002D007D" w:rsidRDefault="002D007D"/>
    <w:p w14:paraId="2A57BF65" w14:textId="77777777" w:rsidR="0079299D" w:rsidRPr="0079299D" w:rsidRDefault="0079299D">
      <w:pPr>
        <w:rPr>
          <w:b/>
          <w:bCs/>
          <w:i/>
          <w:iCs/>
          <w:u w:val="single"/>
        </w:rPr>
      </w:pPr>
      <w:r w:rsidRPr="0079299D">
        <w:rPr>
          <w:b/>
          <w:bCs/>
          <w:i/>
          <w:iCs/>
          <w:u w:val="single"/>
        </w:rPr>
        <w:t>Treatment Discontinuation</w:t>
      </w:r>
    </w:p>
    <w:p w14:paraId="3FE1E785" w14:textId="77777777" w:rsidR="0079299D" w:rsidRDefault="0079299D"/>
    <w:p w14:paraId="79A46B96" w14:textId="116DE474" w:rsidR="002D007D" w:rsidRDefault="002D007D">
      <w:r>
        <w:t xml:space="preserve">We want to study various missingness scenarios. By “missing data” we mean data that was described to be collected in the protocol (as if all randomized patients adhered and completed the protocol), but are not available for any reason – e.g., death, lost-to-follow-up – or are irrelevant due to substantial disruptions in the protocol defined procedures (including treatment) that confound or obscure a meaningful measure of the primary efficacy outcome  - e.g., an intercurrent event. </w:t>
      </w:r>
    </w:p>
    <w:p w14:paraId="72A2F169" w14:textId="77777777" w:rsidR="002D007D" w:rsidRDefault="002D007D"/>
    <w:p w14:paraId="05FEC834" w14:textId="23840978" w:rsidR="002D007D" w:rsidRDefault="002D007D">
      <w:r>
        <w:t xml:space="preserve">Our efforts will be on estimating the direct treatment effect; that is, the effect of </w:t>
      </w:r>
      <w:r w:rsidRPr="00C93492">
        <w:rPr>
          <w:b/>
          <w:bCs/>
        </w:rPr>
        <w:t>the investigational product</w:t>
      </w:r>
      <w:r>
        <w:t xml:space="preserve"> </w:t>
      </w:r>
      <w:r w:rsidR="00C93492">
        <w:t xml:space="preserve">(or experimental medication, denoted X) </w:t>
      </w:r>
      <w:r>
        <w:t>that is being developed by the Sponsor.</w:t>
      </w:r>
      <w:r w:rsidR="00C93492">
        <w:t xml:space="preserve"> </w:t>
      </w:r>
      <w:r>
        <w:t xml:space="preserve">Our primary focus will be on missing data due to discontinuation of the </w:t>
      </w:r>
      <w:r w:rsidRPr="00C93492">
        <w:rPr>
          <w:b/>
          <w:bCs/>
        </w:rPr>
        <w:t>randomized study medication</w:t>
      </w:r>
      <w:r w:rsidR="00C93492">
        <w:t xml:space="preserve"> </w:t>
      </w:r>
      <w:r w:rsidR="00C93492" w:rsidRPr="00C93492">
        <w:rPr>
          <w:b/>
          <w:bCs/>
        </w:rPr>
        <w:t>(RSM)</w:t>
      </w:r>
      <w:r w:rsidRPr="00C93492">
        <w:rPr>
          <w:b/>
          <w:bCs/>
        </w:rPr>
        <w:t>.</w:t>
      </w:r>
      <w:r w:rsidR="00C93492">
        <w:t xml:space="preserve"> Randomized study medications will be denoted X (experimental, investigational product), P (placebo control) and A (active/approved comparator).</w:t>
      </w:r>
    </w:p>
    <w:p w14:paraId="78DA0916" w14:textId="77777777" w:rsidR="002D007D" w:rsidRDefault="002D007D"/>
    <w:p w14:paraId="6BD3974A" w14:textId="1DCADA74" w:rsidR="002D007D" w:rsidRDefault="00C93492">
      <w:r>
        <w:t>Discontinuation (DC) of the RSM, and thus m</w:t>
      </w:r>
      <w:r w:rsidR="002D007D">
        <w:t>issing data in this sense</w:t>
      </w:r>
      <w:r>
        <w:t>,</w:t>
      </w:r>
      <w:r w:rsidR="002D007D">
        <w:t xml:space="preserve"> can occur for three primary reasons:</w:t>
      </w:r>
    </w:p>
    <w:p w14:paraId="5088938F" w14:textId="7C926A02" w:rsidR="002D007D" w:rsidRDefault="00C93492" w:rsidP="002D007D">
      <w:pPr>
        <w:pStyle w:val="ListParagraph"/>
        <w:numPr>
          <w:ilvl w:val="0"/>
          <w:numId w:val="2"/>
        </w:numPr>
      </w:pPr>
      <w:r>
        <w:t>DC due to adverse events (DC</w:t>
      </w:r>
      <w:r w:rsidRPr="00C93492">
        <w:rPr>
          <w:vertAlign w:val="subscript"/>
        </w:rPr>
        <w:t>AE</w:t>
      </w:r>
      <w:r>
        <w:t>)</w:t>
      </w:r>
    </w:p>
    <w:p w14:paraId="35C56832" w14:textId="438568D2" w:rsidR="00C93492" w:rsidRDefault="00C93492" w:rsidP="002D007D">
      <w:pPr>
        <w:pStyle w:val="ListParagraph"/>
        <w:numPr>
          <w:ilvl w:val="0"/>
          <w:numId w:val="2"/>
        </w:numPr>
      </w:pPr>
      <w:r>
        <w:t>DC due to lack of efficacy (</w:t>
      </w:r>
      <w:proofErr w:type="spellStart"/>
      <w:r>
        <w:t>DC</w:t>
      </w:r>
      <w:r w:rsidRPr="00C93492">
        <w:rPr>
          <w:vertAlign w:val="subscript"/>
        </w:rPr>
        <w:t>LoE</w:t>
      </w:r>
      <w:proofErr w:type="spellEnd"/>
      <w:r>
        <w:t>)</w:t>
      </w:r>
    </w:p>
    <w:p w14:paraId="7C09326B" w14:textId="4EE5DE44" w:rsidR="00C93492" w:rsidRDefault="00C93492" w:rsidP="002D007D">
      <w:pPr>
        <w:pStyle w:val="ListParagraph"/>
        <w:numPr>
          <w:ilvl w:val="0"/>
          <w:numId w:val="2"/>
        </w:numPr>
      </w:pPr>
      <w:r>
        <w:t xml:space="preserve">DC due to administrative reasons (DC </w:t>
      </w:r>
      <w:r w:rsidRPr="00C93492">
        <w:rPr>
          <w:vertAlign w:val="subscript"/>
        </w:rPr>
        <w:t>A</w:t>
      </w:r>
      <w:r>
        <w:rPr>
          <w:vertAlign w:val="subscript"/>
        </w:rPr>
        <w:t>dm</w:t>
      </w:r>
      <w:r>
        <w:t>) (e.g., moved out of town, family matters, trial fatigue).</w:t>
      </w:r>
    </w:p>
    <w:p w14:paraId="608A025A" w14:textId="0D710EB4" w:rsidR="00C93492" w:rsidRDefault="00C93492" w:rsidP="00C93492">
      <w:r>
        <w:t xml:space="preserve">DC due to administrative reasons should occur completely at random, and therefore will not be studied in detail. We will merely use a constant rate of </w:t>
      </w:r>
      <w:proofErr w:type="spellStart"/>
      <w:r>
        <w:t>DC</w:t>
      </w:r>
      <w:r w:rsidRPr="00C93492">
        <w:rPr>
          <w:vertAlign w:val="subscript"/>
        </w:rPr>
        <w:t>Adm</w:t>
      </w:r>
      <w:proofErr w:type="spellEnd"/>
      <w:r>
        <w:t xml:space="preserve"> across all simulations.</w:t>
      </w:r>
    </w:p>
    <w:p w14:paraId="554D5865" w14:textId="77777777" w:rsidR="00C93492" w:rsidRDefault="00C93492" w:rsidP="00C93492"/>
    <w:p w14:paraId="01419D45" w14:textId="2B5ACB02" w:rsidR="00C93492" w:rsidRDefault="0079299D" w:rsidP="00C93492">
      <w:r>
        <w:t>The following table displays a wide range of missingness patterns due to DC</w:t>
      </w:r>
      <w:r w:rsidRPr="0079299D">
        <w:rPr>
          <w:vertAlign w:val="subscript"/>
        </w:rPr>
        <w:t>AE</w:t>
      </w:r>
      <w:r>
        <w:t xml:space="preserve"> and </w:t>
      </w:r>
      <w:proofErr w:type="spellStart"/>
      <w:r>
        <w:t>DC</w:t>
      </w:r>
      <w:r w:rsidRPr="0079299D">
        <w:rPr>
          <w:vertAlign w:val="subscript"/>
        </w:rPr>
        <w:t>LoE</w:t>
      </w:r>
      <w:proofErr w:type="spellEnd"/>
      <w:r>
        <w:t xml:space="preserve">. </w:t>
      </w:r>
    </w:p>
    <w:p w14:paraId="710DCC3B" w14:textId="49703044" w:rsidR="0079299D" w:rsidRDefault="0079299D" w:rsidP="00C93492">
      <w:r>
        <w:t>&lt;Note that this is from past TWT Meeting Minutes dated 20 Aug 2021, and can be updated  or changed as we see fit.&gt;</w:t>
      </w:r>
    </w:p>
    <w:p w14:paraId="68F24624" w14:textId="77777777" w:rsidR="0079299D" w:rsidRDefault="0079299D" w:rsidP="00C93492"/>
    <w:tbl>
      <w:tblPr>
        <w:tblStyle w:val="TableGrid"/>
        <w:tblW w:w="0" w:type="auto"/>
        <w:tblLook w:val="04A0" w:firstRow="1" w:lastRow="0" w:firstColumn="1" w:lastColumn="0" w:noHBand="0" w:noVBand="1"/>
      </w:tblPr>
      <w:tblGrid>
        <w:gridCol w:w="1705"/>
        <w:gridCol w:w="3822"/>
        <w:gridCol w:w="3823"/>
      </w:tblGrid>
      <w:tr w:rsidR="0079299D" w:rsidRPr="00FF563E" w14:paraId="24A2D288" w14:textId="77777777" w:rsidTr="00524694">
        <w:tc>
          <w:tcPr>
            <w:tcW w:w="1705" w:type="dxa"/>
          </w:tcPr>
          <w:p w14:paraId="3A9DDBFC" w14:textId="77777777" w:rsidR="0079299D" w:rsidRPr="00FF563E" w:rsidRDefault="0079299D" w:rsidP="00524694">
            <w:pPr>
              <w:jc w:val="center"/>
              <w:rPr>
                <w:b/>
                <w:bCs/>
                <w:sz w:val="24"/>
                <w:szCs w:val="24"/>
              </w:rPr>
            </w:pPr>
            <w:r w:rsidRPr="00FF563E">
              <w:rPr>
                <w:b/>
                <w:bCs/>
                <w:sz w:val="24"/>
                <w:szCs w:val="24"/>
              </w:rPr>
              <w:t>Scenarios</w:t>
            </w:r>
          </w:p>
        </w:tc>
        <w:tc>
          <w:tcPr>
            <w:tcW w:w="3822" w:type="dxa"/>
          </w:tcPr>
          <w:p w14:paraId="550D329B" w14:textId="77777777" w:rsidR="0079299D" w:rsidRPr="00FF563E" w:rsidRDefault="0079299D" w:rsidP="00524694">
            <w:pPr>
              <w:rPr>
                <w:b/>
                <w:bCs/>
                <w:sz w:val="24"/>
                <w:szCs w:val="24"/>
              </w:rPr>
            </w:pPr>
            <w:r w:rsidRPr="00FF563E">
              <w:rPr>
                <w:b/>
                <w:bCs/>
                <w:sz w:val="24"/>
                <w:szCs w:val="24"/>
              </w:rPr>
              <w:t>Placebo Discontinuation Rates</w:t>
            </w:r>
          </w:p>
        </w:tc>
        <w:tc>
          <w:tcPr>
            <w:tcW w:w="3823" w:type="dxa"/>
          </w:tcPr>
          <w:p w14:paraId="765B38E6" w14:textId="77777777" w:rsidR="0079299D" w:rsidRPr="00FF563E" w:rsidRDefault="0079299D" w:rsidP="00524694">
            <w:pPr>
              <w:rPr>
                <w:b/>
                <w:bCs/>
                <w:sz w:val="24"/>
                <w:szCs w:val="24"/>
              </w:rPr>
            </w:pPr>
            <w:r w:rsidRPr="00FF563E">
              <w:rPr>
                <w:b/>
                <w:bCs/>
                <w:sz w:val="24"/>
                <w:szCs w:val="24"/>
              </w:rPr>
              <w:t>Treatment Discontinuation Rates</w:t>
            </w:r>
          </w:p>
        </w:tc>
      </w:tr>
      <w:tr w:rsidR="0079299D" w14:paraId="09561ABD" w14:textId="77777777" w:rsidTr="00524694">
        <w:tc>
          <w:tcPr>
            <w:tcW w:w="1705" w:type="dxa"/>
          </w:tcPr>
          <w:p w14:paraId="1573725E" w14:textId="77777777" w:rsidR="0079299D" w:rsidRDefault="0079299D" w:rsidP="00524694">
            <w:pPr>
              <w:jc w:val="center"/>
            </w:pPr>
            <w:r>
              <w:t>1</w:t>
            </w:r>
          </w:p>
        </w:tc>
        <w:tc>
          <w:tcPr>
            <w:tcW w:w="3822" w:type="dxa"/>
          </w:tcPr>
          <w:p w14:paraId="08F73427" w14:textId="77777777" w:rsidR="0079299D" w:rsidRPr="00FF563E" w:rsidRDefault="0079299D" w:rsidP="00524694">
            <w:pPr>
              <w:rPr>
                <w:sz w:val="24"/>
                <w:szCs w:val="24"/>
                <w:highlight w:val="green"/>
              </w:rPr>
            </w:pPr>
            <w:r w:rsidRPr="00D804F7">
              <w:rPr>
                <w:sz w:val="24"/>
                <w:szCs w:val="24"/>
                <w:highlight w:val="green"/>
              </w:rPr>
              <w:t>2% AE; 8</w:t>
            </w:r>
            <w:r>
              <w:rPr>
                <w:sz w:val="24"/>
                <w:szCs w:val="24"/>
                <w:highlight w:val="green"/>
              </w:rPr>
              <w:t>%</w:t>
            </w:r>
            <w:r w:rsidRPr="00D804F7">
              <w:rPr>
                <w:sz w:val="24"/>
                <w:szCs w:val="24"/>
                <w:highlight w:val="green"/>
              </w:rPr>
              <w:t xml:space="preserve"> LoE</w:t>
            </w:r>
          </w:p>
        </w:tc>
        <w:tc>
          <w:tcPr>
            <w:tcW w:w="3823" w:type="dxa"/>
          </w:tcPr>
          <w:p w14:paraId="0E9871E5" w14:textId="77777777" w:rsidR="0079299D" w:rsidRDefault="0079299D" w:rsidP="00524694">
            <w:r>
              <w:t>0% AE; whatever happens for LoE</w:t>
            </w:r>
          </w:p>
        </w:tc>
      </w:tr>
      <w:tr w:rsidR="0079299D" w14:paraId="159A53F4" w14:textId="77777777" w:rsidTr="00524694">
        <w:tc>
          <w:tcPr>
            <w:tcW w:w="1705" w:type="dxa"/>
          </w:tcPr>
          <w:p w14:paraId="474C6F25" w14:textId="77777777" w:rsidR="0079299D" w:rsidRDefault="0079299D" w:rsidP="00524694">
            <w:pPr>
              <w:jc w:val="center"/>
            </w:pPr>
            <w:r>
              <w:t>2</w:t>
            </w:r>
          </w:p>
        </w:tc>
        <w:tc>
          <w:tcPr>
            <w:tcW w:w="3822" w:type="dxa"/>
          </w:tcPr>
          <w:p w14:paraId="5A50B7E8" w14:textId="77777777" w:rsidR="0079299D" w:rsidRDefault="0079299D" w:rsidP="00524694">
            <w:r w:rsidRPr="00D804F7">
              <w:rPr>
                <w:sz w:val="24"/>
                <w:szCs w:val="24"/>
                <w:highlight w:val="green"/>
              </w:rPr>
              <w:t>5% AE; 20% LoE</w:t>
            </w:r>
          </w:p>
        </w:tc>
        <w:tc>
          <w:tcPr>
            <w:tcW w:w="3823" w:type="dxa"/>
          </w:tcPr>
          <w:p w14:paraId="65AC1479" w14:textId="77777777" w:rsidR="0079299D" w:rsidRDefault="0079299D" w:rsidP="00524694">
            <w:r>
              <w:t>0% AE; whatever happens for LoE</w:t>
            </w:r>
          </w:p>
        </w:tc>
      </w:tr>
      <w:tr w:rsidR="0079299D" w14:paraId="496FC681" w14:textId="77777777" w:rsidTr="00524694">
        <w:tc>
          <w:tcPr>
            <w:tcW w:w="1705" w:type="dxa"/>
          </w:tcPr>
          <w:p w14:paraId="5C9383FE" w14:textId="77777777" w:rsidR="0079299D" w:rsidRDefault="0079299D" w:rsidP="00524694">
            <w:pPr>
              <w:jc w:val="center"/>
            </w:pPr>
            <w:r>
              <w:t>3</w:t>
            </w:r>
          </w:p>
        </w:tc>
        <w:tc>
          <w:tcPr>
            <w:tcW w:w="3822" w:type="dxa"/>
          </w:tcPr>
          <w:p w14:paraId="223B84A3" w14:textId="77777777" w:rsidR="0079299D" w:rsidRDefault="0079299D" w:rsidP="00524694">
            <w:r>
              <w:rPr>
                <w:sz w:val="24"/>
                <w:szCs w:val="24"/>
                <w:highlight w:val="green"/>
              </w:rPr>
              <w:t>8</w:t>
            </w:r>
            <w:r w:rsidRPr="00D804F7">
              <w:rPr>
                <w:sz w:val="24"/>
                <w:szCs w:val="24"/>
                <w:highlight w:val="green"/>
              </w:rPr>
              <w:t xml:space="preserve">% AE; </w:t>
            </w:r>
            <w:r>
              <w:rPr>
                <w:sz w:val="24"/>
                <w:szCs w:val="24"/>
                <w:highlight w:val="green"/>
              </w:rPr>
              <w:t>32</w:t>
            </w:r>
            <w:r w:rsidRPr="00D804F7">
              <w:rPr>
                <w:sz w:val="24"/>
                <w:szCs w:val="24"/>
                <w:highlight w:val="green"/>
              </w:rPr>
              <w:t>% LoE</w:t>
            </w:r>
          </w:p>
        </w:tc>
        <w:tc>
          <w:tcPr>
            <w:tcW w:w="3823" w:type="dxa"/>
          </w:tcPr>
          <w:p w14:paraId="605C2121" w14:textId="77777777" w:rsidR="0079299D" w:rsidRDefault="0079299D" w:rsidP="00524694">
            <w:r>
              <w:t>0% AE; whatever happens for LoE</w:t>
            </w:r>
          </w:p>
        </w:tc>
      </w:tr>
      <w:tr w:rsidR="0079299D" w14:paraId="256A7B57" w14:textId="77777777" w:rsidTr="00524694">
        <w:tc>
          <w:tcPr>
            <w:tcW w:w="1705" w:type="dxa"/>
            <w:shd w:val="clear" w:color="auto" w:fill="D9D9D9" w:themeFill="background1" w:themeFillShade="D9"/>
          </w:tcPr>
          <w:p w14:paraId="601F22B2" w14:textId="77777777" w:rsidR="0079299D" w:rsidRDefault="0079299D" w:rsidP="00524694">
            <w:pPr>
              <w:jc w:val="center"/>
            </w:pPr>
          </w:p>
        </w:tc>
        <w:tc>
          <w:tcPr>
            <w:tcW w:w="3822" w:type="dxa"/>
            <w:shd w:val="clear" w:color="auto" w:fill="D9D9D9" w:themeFill="background1" w:themeFillShade="D9"/>
          </w:tcPr>
          <w:p w14:paraId="2582ECB8" w14:textId="77777777" w:rsidR="0079299D" w:rsidRDefault="0079299D" w:rsidP="00524694"/>
        </w:tc>
        <w:tc>
          <w:tcPr>
            <w:tcW w:w="3823" w:type="dxa"/>
            <w:shd w:val="clear" w:color="auto" w:fill="D9D9D9" w:themeFill="background1" w:themeFillShade="D9"/>
          </w:tcPr>
          <w:p w14:paraId="2AC01175" w14:textId="77777777" w:rsidR="0079299D" w:rsidRDefault="0079299D" w:rsidP="00524694"/>
        </w:tc>
      </w:tr>
      <w:tr w:rsidR="0079299D" w14:paraId="793F2985" w14:textId="77777777" w:rsidTr="00524694">
        <w:tc>
          <w:tcPr>
            <w:tcW w:w="1705" w:type="dxa"/>
          </w:tcPr>
          <w:p w14:paraId="010A772D" w14:textId="77777777" w:rsidR="0079299D" w:rsidRDefault="0079299D" w:rsidP="00524694">
            <w:pPr>
              <w:jc w:val="center"/>
            </w:pPr>
            <w:r>
              <w:t>4</w:t>
            </w:r>
          </w:p>
        </w:tc>
        <w:tc>
          <w:tcPr>
            <w:tcW w:w="3822" w:type="dxa"/>
          </w:tcPr>
          <w:p w14:paraId="098AA02A" w14:textId="77777777" w:rsidR="0079299D" w:rsidRDefault="0079299D" w:rsidP="00524694">
            <w:r>
              <w:t>0% AE; whatever happens for LoE</w:t>
            </w:r>
          </w:p>
        </w:tc>
        <w:tc>
          <w:tcPr>
            <w:tcW w:w="3823" w:type="dxa"/>
          </w:tcPr>
          <w:p w14:paraId="262F222F" w14:textId="77777777" w:rsidR="0079299D" w:rsidRDefault="0079299D" w:rsidP="00524694">
            <w:r w:rsidRPr="005C19A8">
              <w:rPr>
                <w:sz w:val="24"/>
                <w:szCs w:val="24"/>
                <w:highlight w:val="yellow"/>
              </w:rPr>
              <w:t>8% AE; 2% LoE</w:t>
            </w:r>
          </w:p>
        </w:tc>
      </w:tr>
      <w:tr w:rsidR="0079299D" w14:paraId="129040BA" w14:textId="77777777" w:rsidTr="00524694">
        <w:tc>
          <w:tcPr>
            <w:tcW w:w="1705" w:type="dxa"/>
          </w:tcPr>
          <w:p w14:paraId="0728BD9B" w14:textId="77777777" w:rsidR="0079299D" w:rsidRDefault="0079299D" w:rsidP="00524694">
            <w:pPr>
              <w:jc w:val="center"/>
            </w:pPr>
            <w:r>
              <w:t>5</w:t>
            </w:r>
          </w:p>
        </w:tc>
        <w:tc>
          <w:tcPr>
            <w:tcW w:w="3822" w:type="dxa"/>
          </w:tcPr>
          <w:p w14:paraId="40FE9CEE" w14:textId="77777777" w:rsidR="0079299D" w:rsidRDefault="0079299D" w:rsidP="00524694">
            <w:r>
              <w:t>0% AE; whatever happens for LoE</w:t>
            </w:r>
          </w:p>
        </w:tc>
        <w:tc>
          <w:tcPr>
            <w:tcW w:w="3823" w:type="dxa"/>
          </w:tcPr>
          <w:p w14:paraId="02D72417" w14:textId="77777777" w:rsidR="0079299D" w:rsidRDefault="0079299D" w:rsidP="00524694">
            <w:r w:rsidRPr="005C19A8">
              <w:rPr>
                <w:sz w:val="24"/>
                <w:szCs w:val="24"/>
                <w:highlight w:val="yellow"/>
              </w:rPr>
              <w:t>20% AE; 5% LoE</w:t>
            </w:r>
          </w:p>
        </w:tc>
      </w:tr>
      <w:tr w:rsidR="0079299D" w14:paraId="0CB69AFA" w14:textId="77777777" w:rsidTr="00524694">
        <w:tc>
          <w:tcPr>
            <w:tcW w:w="1705" w:type="dxa"/>
          </w:tcPr>
          <w:p w14:paraId="430FE628" w14:textId="77777777" w:rsidR="0079299D" w:rsidRDefault="0079299D" w:rsidP="00524694">
            <w:pPr>
              <w:jc w:val="center"/>
            </w:pPr>
            <w:r>
              <w:t>6</w:t>
            </w:r>
          </w:p>
        </w:tc>
        <w:tc>
          <w:tcPr>
            <w:tcW w:w="3822" w:type="dxa"/>
          </w:tcPr>
          <w:p w14:paraId="53FD5B0E" w14:textId="77777777" w:rsidR="0079299D" w:rsidRDefault="0079299D" w:rsidP="00524694">
            <w:r>
              <w:t>0% AE; whatever happens for LoE</w:t>
            </w:r>
          </w:p>
        </w:tc>
        <w:tc>
          <w:tcPr>
            <w:tcW w:w="3823" w:type="dxa"/>
          </w:tcPr>
          <w:p w14:paraId="399B0FB6" w14:textId="77777777" w:rsidR="0079299D" w:rsidRDefault="0079299D" w:rsidP="00524694">
            <w:r w:rsidRPr="005C19A8">
              <w:rPr>
                <w:sz w:val="24"/>
                <w:szCs w:val="24"/>
                <w:highlight w:val="yellow"/>
              </w:rPr>
              <w:t>32% AE; 8% LoE</w:t>
            </w:r>
          </w:p>
        </w:tc>
      </w:tr>
    </w:tbl>
    <w:p w14:paraId="546424D6" w14:textId="77777777" w:rsidR="0079299D" w:rsidRDefault="0079299D" w:rsidP="0079299D"/>
    <w:p w14:paraId="20E6128A" w14:textId="77777777" w:rsidR="0079299D" w:rsidRDefault="0079299D" w:rsidP="0079299D">
      <w:pPr>
        <w:pStyle w:val="ListParagraph"/>
        <w:numPr>
          <w:ilvl w:val="0"/>
          <w:numId w:val="3"/>
        </w:numPr>
      </w:pPr>
      <w:r>
        <w:t>Hege / Hakeem Update</w:t>
      </w:r>
    </w:p>
    <w:p w14:paraId="35620815" w14:textId="77777777" w:rsidR="0079299D" w:rsidRDefault="0079299D" w:rsidP="0079299D"/>
    <w:tbl>
      <w:tblPr>
        <w:tblStyle w:val="TableGrid"/>
        <w:tblW w:w="0" w:type="auto"/>
        <w:tblLook w:val="04A0" w:firstRow="1" w:lastRow="0" w:firstColumn="1" w:lastColumn="0" w:noHBand="0" w:noVBand="1"/>
      </w:tblPr>
      <w:tblGrid>
        <w:gridCol w:w="1870"/>
        <w:gridCol w:w="1870"/>
        <w:gridCol w:w="1870"/>
        <w:gridCol w:w="1870"/>
        <w:gridCol w:w="1870"/>
      </w:tblGrid>
      <w:tr w:rsidR="0079299D" w14:paraId="4803C2B3" w14:textId="77777777" w:rsidTr="00524694">
        <w:tc>
          <w:tcPr>
            <w:tcW w:w="1870" w:type="dxa"/>
          </w:tcPr>
          <w:p w14:paraId="0CDCE034" w14:textId="77777777" w:rsidR="0079299D" w:rsidRDefault="0079299D" w:rsidP="00524694">
            <w:pPr>
              <w:rPr>
                <w:sz w:val="24"/>
                <w:szCs w:val="24"/>
              </w:rPr>
            </w:pPr>
          </w:p>
        </w:tc>
        <w:tc>
          <w:tcPr>
            <w:tcW w:w="7480" w:type="dxa"/>
            <w:gridSpan w:val="4"/>
            <w:vAlign w:val="center"/>
          </w:tcPr>
          <w:p w14:paraId="1091E4D0" w14:textId="77777777" w:rsidR="0079299D" w:rsidRDefault="0079299D" w:rsidP="00524694">
            <w:pPr>
              <w:jc w:val="center"/>
              <w:rPr>
                <w:sz w:val="24"/>
                <w:szCs w:val="24"/>
              </w:rPr>
            </w:pPr>
            <w:r>
              <w:rPr>
                <w:sz w:val="24"/>
                <w:szCs w:val="24"/>
              </w:rPr>
              <w:t>Placebo</w:t>
            </w:r>
          </w:p>
        </w:tc>
      </w:tr>
      <w:tr w:rsidR="0079299D" w14:paraId="2DCA8481" w14:textId="77777777" w:rsidTr="00524694">
        <w:tc>
          <w:tcPr>
            <w:tcW w:w="1870" w:type="dxa"/>
          </w:tcPr>
          <w:p w14:paraId="53511D46" w14:textId="77777777" w:rsidR="0079299D" w:rsidRDefault="0079299D" w:rsidP="00524694">
            <w:pPr>
              <w:rPr>
                <w:sz w:val="24"/>
                <w:szCs w:val="24"/>
              </w:rPr>
            </w:pPr>
            <w:r>
              <w:rPr>
                <w:sz w:val="24"/>
                <w:szCs w:val="24"/>
              </w:rPr>
              <w:t>Treatment</w:t>
            </w:r>
          </w:p>
        </w:tc>
        <w:tc>
          <w:tcPr>
            <w:tcW w:w="1870" w:type="dxa"/>
            <w:vAlign w:val="center"/>
          </w:tcPr>
          <w:p w14:paraId="69DCF4DF" w14:textId="77777777" w:rsidR="0079299D" w:rsidRDefault="0079299D" w:rsidP="00524694">
            <w:pPr>
              <w:jc w:val="center"/>
              <w:rPr>
                <w:sz w:val="24"/>
                <w:szCs w:val="24"/>
              </w:rPr>
            </w:pPr>
            <w:r>
              <w:rPr>
                <w:sz w:val="24"/>
                <w:szCs w:val="24"/>
              </w:rPr>
              <w:t>0%</w:t>
            </w:r>
          </w:p>
        </w:tc>
        <w:tc>
          <w:tcPr>
            <w:tcW w:w="1870" w:type="dxa"/>
            <w:vAlign w:val="center"/>
          </w:tcPr>
          <w:p w14:paraId="5CAB052C" w14:textId="77777777" w:rsidR="0079299D" w:rsidRDefault="0079299D" w:rsidP="00524694">
            <w:pPr>
              <w:jc w:val="center"/>
              <w:rPr>
                <w:sz w:val="24"/>
                <w:szCs w:val="24"/>
              </w:rPr>
            </w:pPr>
            <w:r>
              <w:rPr>
                <w:sz w:val="24"/>
                <w:szCs w:val="24"/>
              </w:rPr>
              <w:t>10%</w:t>
            </w:r>
          </w:p>
        </w:tc>
        <w:tc>
          <w:tcPr>
            <w:tcW w:w="1870" w:type="dxa"/>
            <w:vAlign w:val="center"/>
          </w:tcPr>
          <w:p w14:paraId="27F253FC" w14:textId="77777777" w:rsidR="0079299D" w:rsidRDefault="0079299D" w:rsidP="00524694">
            <w:pPr>
              <w:jc w:val="center"/>
              <w:rPr>
                <w:sz w:val="24"/>
                <w:szCs w:val="24"/>
              </w:rPr>
            </w:pPr>
            <w:r>
              <w:rPr>
                <w:sz w:val="24"/>
                <w:szCs w:val="24"/>
              </w:rPr>
              <w:t>25%</w:t>
            </w:r>
          </w:p>
        </w:tc>
        <w:tc>
          <w:tcPr>
            <w:tcW w:w="1870" w:type="dxa"/>
            <w:vAlign w:val="center"/>
          </w:tcPr>
          <w:p w14:paraId="168CACB6" w14:textId="77777777" w:rsidR="0079299D" w:rsidRDefault="0079299D" w:rsidP="00524694">
            <w:pPr>
              <w:jc w:val="center"/>
              <w:rPr>
                <w:sz w:val="24"/>
                <w:szCs w:val="24"/>
              </w:rPr>
            </w:pPr>
            <w:r>
              <w:rPr>
                <w:sz w:val="24"/>
                <w:szCs w:val="24"/>
              </w:rPr>
              <w:t>40%</w:t>
            </w:r>
          </w:p>
        </w:tc>
      </w:tr>
      <w:tr w:rsidR="0079299D" w14:paraId="093D62D4" w14:textId="77777777" w:rsidTr="00524694">
        <w:tc>
          <w:tcPr>
            <w:tcW w:w="1870" w:type="dxa"/>
            <w:vAlign w:val="center"/>
          </w:tcPr>
          <w:p w14:paraId="4D4A2027" w14:textId="77777777" w:rsidR="0079299D" w:rsidRDefault="0079299D" w:rsidP="00524694">
            <w:pPr>
              <w:jc w:val="center"/>
              <w:rPr>
                <w:sz w:val="24"/>
                <w:szCs w:val="24"/>
              </w:rPr>
            </w:pPr>
            <w:r>
              <w:rPr>
                <w:sz w:val="24"/>
                <w:szCs w:val="24"/>
              </w:rPr>
              <w:t>0%</w:t>
            </w:r>
          </w:p>
        </w:tc>
        <w:tc>
          <w:tcPr>
            <w:tcW w:w="1870" w:type="dxa"/>
          </w:tcPr>
          <w:p w14:paraId="2FC06976" w14:textId="77777777" w:rsidR="0079299D" w:rsidRDefault="0079299D" w:rsidP="00524694">
            <w:pPr>
              <w:rPr>
                <w:sz w:val="24"/>
                <w:szCs w:val="24"/>
              </w:rPr>
            </w:pPr>
            <w:r>
              <w:rPr>
                <w:sz w:val="24"/>
                <w:szCs w:val="24"/>
              </w:rPr>
              <w:t>Complete Data</w:t>
            </w:r>
          </w:p>
        </w:tc>
        <w:tc>
          <w:tcPr>
            <w:tcW w:w="1870" w:type="dxa"/>
          </w:tcPr>
          <w:p w14:paraId="039A9FEC" w14:textId="77777777" w:rsidR="0079299D" w:rsidRPr="00D804F7" w:rsidRDefault="0079299D" w:rsidP="00524694">
            <w:pPr>
              <w:rPr>
                <w:sz w:val="24"/>
                <w:szCs w:val="24"/>
                <w:highlight w:val="green"/>
              </w:rPr>
            </w:pPr>
            <w:r w:rsidRPr="00D804F7">
              <w:rPr>
                <w:sz w:val="24"/>
                <w:szCs w:val="24"/>
                <w:highlight w:val="green"/>
              </w:rPr>
              <w:t>2% AE; 8</w:t>
            </w:r>
            <w:r>
              <w:rPr>
                <w:sz w:val="24"/>
                <w:szCs w:val="24"/>
                <w:highlight w:val="green"/>
              </w:rPr>
              <w:t>%</w:t>
            </w:r>
            <w:r w:rsidRPr="00D804F7">
              <w:rPr>
                <w:sz w:val="24"/>
                <w:szCs w:val="24"/>
                <w:highlight w:val="green"/>
              </w:rPr>
              <w:t xml:space="preserve"> LoE</w:t>
            </w:r>
          </w:p>
        </w:tc>
        <w:tc>
          <w:tcPr>
            <w:tcW w:w="1870" w:type="dxa"/>
          </w:tcPr>
          <w:p w14:paraId="5DF5E238" w14:textId="77777777" w:rsidR="0079299D" w:rsidRPr="00D804F7" w:rsidRDefault="0079299D" w:rsidP="00524694">
            <w:pPr>
              <w:rPr>
                <w:sz w:val="24"/>
                <w:szCs w:val="24"/>
                <w:highlight w:val="green"/>
              </w:rPr>
            </w:pPr>
            <w:r w:rsidRPr="00D804F7">
              <w:rPr>
                <w:sz w:val="24"/>
                <w:szCs w:val="24"/>
                <w:highlight w:val="green"/>
              </w:rPr>
              <w:t>5% AE; 20% LoE</w:t>
            </w:r>
          </w:p>
        </w:tc>
        <w:tc>
          <w:tcPr>
            <w:tcW w:w="1870" w:type="dxa"/>
          </w:tcPr>
          <w:p w14:paraId="3CF4751B" w14:textId="77777777" w:rsidR="0079299D" w:rsidRPr="00D804F7" w:rsidRDefault="0079299D" w:rsidP="00524694">
            <w:pPr>
              <w:rPr>
                <w:sz w:val="24"/>
                <w:szCs w:val="24"/>
                <w:highlight w:val="green"/>
              </w:rPr>
            </w:pPr>
            <w:r>
              <w:rPr>
                <w:sz w:val="24"/>
                <w:szCs w:val="24"/>
                <w:highlight w:val="green"/>
              </w:rPr>
              <w:t>8</w:t>
            </w:r>
            <w:r w:rsidRPr="00D804F7">
              <w:rPr>
                <w:sz w:val="24"/>
                <w:szCs w:val="24"/>
                <w:highlight w:val="green"/>
              </w:rPr>
              <w:t xml:space="preserve">% AE; </w:t>
            </w:r>
            <w:r>
              <w:rPr>
                <w:sz w:val="24"/>
                <w:szCs w:val="24"/>
                <w:highlight w:val="green"/>
              </w:rPr>
              <w:t>32</w:t>
            </w:r>
            <w:r w:rsidRPr="00D804F7">
              <w:rPr>
                <w:sz w:val="24"/>
                <w:szCs w:val="24"/>
                <w:highlight w:val="green"/>
              </w:rPr>
              <w:t>% LoE</w:t>
            </w:r>
          </w:p>
        </w:tc>
      </w:tr>
      <w:tr w:rsidR="0079299D" w14:paraId="0D54A695" w14:textId="77777777" w:rsidTr="00524694">
        <w:tc>
          <w:tcPr>
            <w:tcW w:w="1870" w:type="dxa"/>
            <w:vAlign w:val="center"/>
          </w:tcPr>
          <w:p w14:paraId="13052693" w14:textId="77777777" w:rsidR="0079299D" w:rsidRDefault="0079299D" w:rsidP="00524694">
            <w:pPr>
              <w:jc w:val="center"/>
              <w:rPr>
                <w:sz w:val="24"/>
                <w:szCs w:val="24"/>
              </w:rPr>
            </w:pPr>
            <w:r>
              <w:rPr>
                <w:sz w:val="24"/>
                <w:szCs w:val="24"/>
              </w:rPr>
              <w:t>10%</w:t>
            </w:r>
          </w:p>
        </w:tc>
        <w:tc>
          <w:tcPr>
            <w:tcW w:w="1870" w:type="dxa"/>
          </w:tcPr>
          <w:p w14:paraId="47A59AC9" w14:textId="77777777" w:rsidR="0079299D" w:rsidRPr="005C19A8" w:rsidRDefault="0079299D" w:rsidP="00524694">
            <w:pPr>
              <w:rPr>
                <w:sz w:val="24"/>
                <w:szCs w:val="24"/>
                <w:highlight w:val="yellow"/>
              </w:rPr>
            </w:pPr>
            <w:r w:rsidRPr="005C19A8">
              <w:rPr>
                <w:sz w:val="24"/>
                <w:szCs w:val="24"/>
                <w:highlight w:val="yellow"/>
              </w:rPr>
              <w:t>8% AE; 2% LoE</w:t>
            </w:r>
          </w:p>
        </w:tc>
        <w:tc>
          <w:tcPr>
            <w:tcW w:w="1870" w:type="dxa"/>
          </w:tcPr>
          <w:p w14:paraId="372FF281" w14:textId="77777777" w:rsidR="0079299D" w:rsidRDefault="0079299D" w:rsidP="00524694">
            <w:pPr>
              <w:rPr>
                <w:sz w:val="24"/>
                <w:szCs w:val="24"/>
              </w:rPr>
            </w:pPr>
          </w:p>
        </w:tc>
        <w:tc>
          <w:tcPr>
            <w:tcW w:w="1870" w:type="dxa"/>
          </w:tcPr>
          <w:p w14:paraId="4576FE67" w14:textId="77777777" w:rsidR="0079299D" w:rsidRDefault="0079299D" w:rsidP="00524694">
            <w:pPr>
              <w:rPr>
                <w:sz w:val="24"/>
                <w:szCs w:val="24"/>
              </w:rPr>
            </w:pPr>
          </w:p>
        </w:tc>
        <w:tc>
          <w:tcPr>
            <w:tcW w:w="1870" w:type="dxa"/>
          </w:tcPr>
          <w:p w14:paraId="010A9076" w14:textId="77777777" w:rsidR="0079299D" w:rsidRDefault="0079299D" w:rsidP="00524694">
            <w:pPr>
              <w:rPr>
                <w:sz w:val="24"/>
                <w:szCs w:val="24"/>
              </w:rPr>
            </w:pPr>
          </w:p>
        </w:tc>
      </w:tr>
      <w:tr w:rsidR="0079299D" w14:paraId="34D8DC91" w14:textId="77777777" w:rsidTr="00524694">
        <w:tc>
          <w:tcPr>
            <w:tcW w:w="1870" w:type="dxa"/>
            <w:vAlign w:val="center"/>
          </w:tcPr>
          <w:p w14:paraId="03875FF3" w14:textId="77777777" w:rsidR="0079299D" w:rsidRDefault="0079299D" w:rsidP="00524694">
            <w:pPr>
              <w:jc w:val="center"/>
              <w:rPr>
                <w:sz w:val="24"/>
                <w:szCs w:val="24"/>
              </w:rPr>
            </w:pPr>
            <w:r>
              <w:rPr>
                <w:sz w:val="24"/>
                <w:szCs w:val="24"/>
              </w:rPr>
              <w:t>25%</w:t>
            </w:r>
          </w:p>
        </w:tc>
        <w:tc>
          <w:tcPr>
            <w:tcW w:w="1870" w:type="dxa"/>
          </w:tcPr>
          <w:p w14:paraId="7B78A6A2" w14:textId="77777777" w:rsidR="0079299D" w:rsidRPr="005C19A8" w:rsidRDefault="0079299D" w:rsidP="00524694">
            <w:pPr>
              <w:rPr>
                <w:sz w:val="24"/>
                <w:szCs w:val="24"/>
                <w:highlight w:val="yellow"/>
              </w:rPr>
            </w:pPr>
            <w:r w:rsidRPr="005C19A8">
              <w:rPr>
                <w:sz w:val="24"/>
                <w:szCs w:val="24"/>
                <w:highlight w:val="yellow"/>
              </w:rPr>
              <w:t>20% AE; 5% LoE</w:t>
            </w:r>
          </w:p>
        </w:tc>
        <w:tc>
          <w:tcPr>
            <w:tcW w:w="1870" w:type="dxa"/>
          </w:tcPr>
          <w:p w14:paraId="5E9D83A2" w14:textId="77777777" w:rsidR="0079299D" w:rsidRDefault="0079299D" w:rsidP="00524694">
            <w:pPr>
              <w:rPr>
                <w:sz w:val="24"/>
                <w:szCs w:val="24"/>
              </w:rPr>
            </w:pPr>
          </w:p>
        </w:tc>
        <w:tc>
          <w:tcPr>
            <w:tcW w:w="1870" w:type="dxa"/>
          </w:tcPr>
          <w:p w14:paraId="5BCFB9F0" w14:textId="77777777" w:rsidR="0079299D" w:rsidRDefault="0079299D" w:rsidP="00524694">
            <w:pPr>
              <w:rPr>
                <w:sz w:val="24"/>
                <w:szCs w:val="24"/>
              </w:rPr>
            </w:pPr>
          </w:p>
        </w:tc>
        <w:tc>
          <w:tcPr>
            <w:tcW w:w="1870" w:type="dxa"/>
          </w:tcPr>
          <w:p w14:paraId="4B1D0F18" w14:textId="77777777" w:rsidR="0079299D" w:rsidRDefault="0079299D" w:rsidP="00524694">
            <w:pPr>
              <w:rPr>
                <w:sz w:val="24"/>
                <w:szCs w:val="24"/>
              </w:rPr>
            </w:pPr>
          </w:p>
        </w:tc>
      </w:tr>
      <w:tr w:rsidR="0079299D" w14:paraId="1862E0E2" w14:textId="77777777" w:rsidTr="00524694">
        <w:tc>
          <w:tcPr>
            <w:tcW w:w="1870" w:type="dxa"/>
            <w:vAlign w:val="center"/>
          </w:tcPr>
          <w:p w14:paraId="7E928023" w14:textId="77777777" w:rsidR="0079299D" w:rsidRDefault="0079299D" w:rsidP="00524694">
            <w:pPr>
              <w:jc w:val="center"/>
              <w:rPr>
                <w:sz w:val="24"/>
                <w:szCs w:val="24"/>
              </w:rPr>
            </w:pPr>
            <w:r>
              <w:rPr>
                <w:sz w:val="24"/>
                <w:szCs w:val="24"/>
              </w:rPr>
              <w:t>40%</w:t>
            </w:r>
          </w:p>
        </w:tc>
        <w:tc>
          <w:tcPr>
            <w:tcW w:w="1870" w:type="dxa"/>
          </w:tcPr>
          <w:p w14:paraId="554ABA45" w14:textId="77777777" w:rsidR="0079299D" w:rsidRPr="005C19A8" w:rsidRDefault="0079299D" w:rsidP="00524694">
            <w:pPr>
              <w:rPr>
                <w:sz w:val="24"/>
                <w:szCs w:val="24"/>
                <w:highlight w:val="yellow"/>
              </w:rPr>
            </w:pPr>
            <w:r w:rsidRPr="005C19A8">
              <w:rPr>
                <w:sz w:val="24"/>
                <w:szCs w:val="24"/>
                <w:highlight w:val="yellow"/>
              </w:rPr>
              <w:t>32% AE; 8% LoE</w:t>
            </w:r>
          </w:p>
        </w:tc>
        <w:tc>
          <w:tcPr>
            <w:tcW w:w="1870" w:type="dxa"/>
          </w:tcPr>
          <w:p w14:paraId="2ED8D723" w14:textId="77777777" w:rsidR="0079299D" w:rsidRDefault="0079299D" w:rsidP="00524694">
            <w:pPr>
              <w:rPr>
                <w:sz w:val="24"/>
                <w:szCs w:val="24"/>
              </w:rPr>
            </w:pPr>
          </w:p>
        </w:tc>
        <w:tc>
          <w:tcPr>
            <w:tcW w:w="1870" w:type="dxa"/>
          </w:tcPr>
          <w:p w14:paraId="4FC22D09" w14:textId="77777777" w:rsidR="0079299D" w:rsidRDefault="0079299D" w:rsidP="00524694">
            <w:pPr>
              <w:rPr>
                <w:sz w:val="24"/>
                <w:szCs w:val="24"/>
              </w:rPr>
            </w:pPr>
          </w:p>
        </w:tc>
        <w:tc>
          <w:tcPr>
            <w:tcW w:w="1870" w:type="dxa"/>
          </w:tcPr>
          <w:p w14:paraId="67468B82" w14:textId="77777777" w:rsidR="0079299D" w:rsidRDefault="0079299D" w:rsidP="00524694">
            <w:pPr>
              <w:rPr>
                <w:sz w:val="24"/>
                <w:szCs w:val="24"/>
              </w:rPr>
            </w:pPr>
          </w:p>
        </w:tc>
      </w:tr>
    </w:tbl>
    <w:p w14:paraId="2459EBBC" w14:textId="77777777" w:rsidR="0079299D" w:rsidRDefault="0079299D" w:rsidP="0079299D">
      <w:pPr>
        <w:rPr>
          <w:sz w:val="24"/>
          <w:szCs w:val="24"/>
        </w:rPr>
      </w:pPr>
      <w:r>
        <w:rPr>
          <w:sz w:val="24"/>
          <w:szCs w:val="24"/>
        </w:rPr>
        <w:t>We can refine this more if needed (e.g., 10%, 15%, 20%, 25%).</w:t>
      </w:r>
    </w:p>
    <w:p w14:paraId="28B55687" w14:textId="77777777" w:rsidR="0079299D" w:rsidRDefault="0079299D" w:rsidP="0079299D">
      <w:pPr>
        <w:rPr>
          <w:sz w:val="24"/>
          <w:szCs w:val="24"/>
        </w:rPr>
      </w:pPr>
      <w:r w:rsidRPr="00680509">
        <w:rPr>
          <w:sz w:val="24"/>
          <w:szCs w:val="24"/>
          <w:highlight w:val="yellow"/>
        </w:rPr>
        <w:t>Hakeem</w:t>
      </w:r>
      <w:r>
        <w:rPr>
          <w:sz w:val="24"/>
          <w:szCs w:val="24"/>
        </w:rPr>
        <w:t xml:space="preserve">    </w:t>
      </w:r>
      <w:r w:rsidRPr="00680509">
        <w:rPr>
          <w:sz w:val="24"/>
          <w:szCs w:val="24"/>
          <w:highlight w:val="green"/>
        </w:rPr>
        <w:t>Hege</w:t>
      </w:r>
    </w:p>
    <w:p w14:paraId="4FC53A9B" w14:textId="77777777" w:rsidR="0079299D" w:rsidRDefault="0079299D" w:rsidP="0079299D"/>
    <w:p w14:paraId="5C6623AC" w14:textId="77777777" w:rsidR="0079299D" w:rsidRDefault="0079299D" w:rsidP="0079299D"/>
    <w:p w14:paraId="557375BE" w14:textId="77777777" w:rsidR="0079299D" w:rsidRPr="005B52B0" w:rsidRDefault="0079299D" w:rsidP="0079299D">
      <w:pPr>
        <w:jc w:val="center"/>
        <w:rPr>
          <w:b/>
          <w:bCs/>
          <w:sz w:val="32"/>
          <w:szCs w:val="32"/>
        </w:rPr>
      </w:pPr>
      <w:r w:rsidRPr="005B52B0">
        <w:rPr>
          <w:b/>
          <w:bCs/>
          <w:sz w:val="32"/>
          <w:szCs w:val="32"/>
        </w:rPr>
        <w:t>Hege’s Results Summary</w:t>
      </w:r>
    </w:p>
    <w:p w14:paraId="4978E851" w14:textId="77777777" w:rsidR="0079299D" w:rsidRPr="00D26F64" w:rsidRDefault="0079299D" w:rsidP="0079299D">
      <w:pPr>
        <w:rPr>
          <w:color w:val="156082" w:themeColor="accent1"/>
        </w:rPr>
      </w:pPr>
    </w:p>
    <w:tbl>
      <w:tblPr>
        <w:tblStyle w:val="TableGrid"/>
        <w:tblW w:w="0" w:type="auto"/>
        <w:tblLook w:val="04A0" w:firstRow="1" w:lastRow="0" w:firstColumn="1" w:lastColumn="0" w:noHBand="0" w:noVBand="1"/>
      </w:tblPr>
      <w:tblGrid>
        <w:gridCol w:w="1705"/>
        <w:gridCol w:w="3822"/>
        <w:gridCol w:w="3823"/>
      </w:tblGrid>
      <w:tr w:rsidR="0079299D" w:rsidRPr="00D26F64" w14:paraId="6CDCDCDB" w14:textId="77777777" w:rsidTr="00524694">
        <w:tc>
          <w:tcPr>
            <w:tcW w:w="1705" w:type="dxa"/>
          </w:tcPr>
          <w:p w14:paraId="3E7553A7" w14:textId="77777777" w:rsidR="0079299D" w:rsidRPr="00D26F64" w:rsidRDefault="0079299D" w:rsidP="00524694">
            <w:pPr>
              <w:jc w:val="center"/>
              <w:rPr>
                <w:b/>
                <w:bCs/>
                <w:color w:val="156082" w:themeColor="accent1"/>
                <w:sz w:val="24"/>
                <w:szCs w:val="24"/>
              </w:rPr>
            </w:pPr>
            <w:r w:rsidRPr="00D26F64">
              <w:rPr>
                <w:b/>
                <w:bCs/>
                <w:color w:val="156082" w:themeColor="accent1"/>
                <w:sz w:val="24"/>
                <w:szCs w:val="24"/>
              </w:rPr>
              <w:t>Scenarios</w:t>
            </w:r>
          </w:p>
        </w:tc>
        <w:tc>
          <w:tcPr>
            <w:tcW w:w="3822" w:type="dxa"/>
          </w:tcPr>
          <w:p w14:paraId="3616FA8C" w14:textId="77777777" w:rsidR="0079299D" w:rsidRPr="00D26F64" w:rsidRDefault="0079299D" w:rsidP="00524694">
            <w:pPr>
              <w:rPr>
                <w:b/>
                <w:bCs/>
                <w:color w:val="156082" w:themeColor="accent1"/>
                <w:sz w:val="24"/>
                <w:szCs w:val="24"/>
              </w:rPr>
            </w:pPr>
            <w:r w:rsidRPr="00D26F64">
              <w:rPr>
                <w:b/>
                <w:bCs/>
                <w:color w:val="156082" w:themeColor="accent1"/>
                <w:sz w:val="24"/>
                <w:szCs w:val="24"/>
              </w:rPr>
              <w:t>Placebo Discontinuation Rates</w:t>
            </w:r>
          </w:p>
        </w:tc>
        <w:tc>
          <w:tcPr>
            <w:tcW w:w="3823" w:type="dxa"/>
          </w:tcPr>
          <w:p w14:paraId="2A968E46" w14:textId="77777777" w:rsidR="0079299D" w:rsidRPr="00D26F64" w:rsidRDefault="0079299D" w:rsidP="00524694">
            <w:pPr>
              <w:rPr>
                <w:b/>
                <w:bCs/>
                <w:color w:val="156082" w:themeColor="accent1"/>
                <w:sz w:val="24"/>
                <w:szCs w:val="24"/>
              </w:rPr>
            </w:pPr>
            <w:r w:rsidRPr="00D26F64">
              <w:rPr>
                <w:b/>
                <w:bCs/>
                <w:color w:val="156082" w:themeColor="accent1"/>
                <w:sz w:val="24"/>
                <w:szCs w:val="24"/>
              </w:rPr>
              <w:t>Treatment Discontinuation Rates</w:t>
            </w:r>
          </w:p>
        </w:tc>
      </w:tr>
      <w:tr w:rsidR="0079299D" w:rsidRPr="00D26F64" w14:paraId="69F9D30E" w14:textId="77777777" w:rsidTr="00524694">
        <w:tc>
          <w:tcPr>
            <w:tcW w:w="1705" w:type="dxa"/>
          </w:tcPr>
          <w:p w14:paraId="7011BE0F" w14:textId="77777777" w:rsidR="0079299D" w:rsidRPr="00D26F64" w:rsidRDefault="0079299D" w:rsidP="00524694">
            <w:pPr>
              <w:jc w:val="center"/>
              <w:rPr>
                <w:color w:val="156082" w:themeColor="accent1"/>
              </w:rPr>
            </w:pPr>
            <w:r w:rsidRPr="00D26F64">
              <w:rPr>
                <w:color w:val="156082" w:themeColor="accent1"/>
              </w:rPr>
              <w:t>1</w:t>
            </w:r>
          </w:p>
        </w:tc>
        <w:tc>
          <w:tcPr>
            <w:tcW w:w="3822" w:type="dxa"/>
          </w:tcPr>
          <w:p w14:paraId="73B53311" w14:textId="77777777" w:rsidR="0079299D" w:rsidRPr="00D26F64" w:rsidRDefault="0079299D" w:rsidP="00524694">
            <w:pPr>
              <w:rPr>
                <w:color w:val="156082" w:themeColor="accent1"/>
                <w:sz w:val="24"/>
                <w:szCs w:val="24"/>
              </w:rPr>
            </w:pPr>
            <w:r w:rsidRPr="00D26F64">
              <w:rPr>
                <w:color w:val="156082" w:themeColor="accent1"/>
                <w:sz w:val="24"/>
                <w:szCs w:val="24"/>
              </w:rPr>
              <w:t>2.0% AE; 8.4% LoE</w:t>
            </w:r>
          </w:p>
        </w:tc>
        <w:tc>
          <w:tcPr>
            <w:tcW w:w="3823" w:type="dxa"/>
          </w:tcPr>
          <w:p w14:paraId="0975097E" w14:textId="77777777" w:rsidR="0079299D" w:rsidRPr="00D26F64" w:rsidRDefault="0079299D" w:rsidP="00524694">
            <w:pPr>
              <w:rPr>
                <w:color w:val="156082" w:themeColor="accent1"/>
              </w:rPr>
            </w:pPr>
            <w:r w:rsidRPr="00D26F64">
              <w:rPr>
                <w:color w:val="156082" w:themeColor="accent1"/>
              </w:rPr>
              <w:t>0% AE; 4.2% LoE</w:t>
            </w:r>
          </w:p>
        </w:tc>
      </w:tr>
      <w:tr w:rsidR="0079299D" w:rsidRPr="00D26F64" w14:paraId="17CE7987" w14:textId="77777777" w:rsidTr="00524694">
        <w:tc>
          <w:tcPr>
            <w:tcW w:w="1705" w:type="dxa"/>
          </w:tcPr>
          <w:p w14:paraId="3022A757" w14:textId="77777777" w:rsidR="0079299D" w:rsidRPr="00D26F64" w:rsidRDefault="0079299D" w:rsidP="00524694">
            <w:pPr>
              <w:jc w:val="center"/>
              <w:rPr>
                <w:color w:val="156082" w:themeColor="accent1"/>
              </w:rPr>
            </w:pPr>
            <w:r w:rsidRPr="00D26F64">
              <w:rPr>
                <w:color w:val="156082" w:themeColor="accent1"/>
              </w:rPr>
              <w:t>2</w:t>
            </w:r>
          </w:p>
        </w:tc>
        <w:tc>
          <w:tcPr>
            <w:tcW w:w="3822" w:type="dxa"/>
          </w:tcPr>
          <w:p w14:paraId="3C7A739F" w14:textId="77777777" w:rsidR="0079299D" w:rsidRPr="00D26F64" w:rsidRDefault="0079299D" w:rsidP="00524694">
            <w:pPr>
              <w:rPr>
                <w:color w:val="156082" w:themeColor="accent1"/>
              </w:rPr>
            </w:pPr>
            <w:r w:rsidRPr="00D26F64">
              <w:rPr>
                <w:color w:val="156082" w:themeColor="accent1"/>
                <w:sz w:val="24"/>
                <w:szCs w:val="24"/>
              </w:rPr>
              <w:t>5.4% AE; 20.3% LoE</w:t>
            </w:r>
          </w:p>
        </w:tc>
        <w:tc>
          <w:tcPr>
            <w:tcW w:w="3823" w:type="dxa"/>
          </w:tcPr>
          <w:p w14:paraId="40B26B63" w14:textId="77777777" w:rsidR="0079299D" w:rsidRPr="00D26F64" w:rsidRDefault="0079299D" w:rsidP="00524694">
            <w:pPr>
              <w:rPr>
                <w:color w:val="156082" w:themeColor="accent1"/>
              </w:rPr>
            </w:pPr>
            <w:r w:rsidRPr="00D26F64">
              <w:rPr>
                <w:color w:val="156082" w:themeColor="accent1"/>
              </w:rPr>
              <w:t>0% AE; 12.5% LoE</w:t>
            </w:r>
          </w:p>
        </w:tc>
      </w:tr>
      <w:tr w:rsidR="0079299D" w:rsidRPr="00D26F64" w14:paraId="61BCDA15" w14:textId="77777777" w:rsidTr="00524694">
        <w:tc>
          <w:tcPr>
            <w:tcW w:w="1705" w:type="dxa"/>
          </w:tcPr>
          <w:p w14:paraId="6718EB3C" w14:textId="77777777" w:rsidR="0079299D" w:rsidRPr="00D26F64" w:rsidRDefault="0079299D" w:rsidP="00524694">
            <w:pPr>
              <w:jc w:val="center"/>
              <w:rPr>
                <w:color w:val="156082" w:themeColor="accent1"/>
              </w:rPr>
            </w:pPr>
            <w:r w:rsidRPr="00D26F64">
              <w:rPr>
                <w:color w:val="156082" w:themeColor="accent1"/>
              </w:rPr>
              <w:t>3</w:t>
            </w:r>
          </w:p>
        </w:tc>
        <w:tc>
          <w:tcPr>
            <w:tcW w:w="3822" w:type="dxa"/>
          </w:tcPr>
          <w:p w14:paraId="420549AB" w14:textId="77777777" w:rsidR="0079299D" w:rsidRPr="00D26F64" w:rsidRDefault="0079299D" w:rsidP="00524694">
            <w:pPr>
              <w:rPr>
                <w:color w:val="156082" w:themeColor="accent1"/>
              </w:rPr>
            </w:pPr>
            <w:r w:rsidRPr="00D26F64">
              <w:rPr>
                <w:color w:val="156082" w:themeColor="accent1"/>
                <w:sz w:val="24"/>
                <w:szCs w:val="24"/>
              </w:rPr>
              <w:t>8.1% AE; 32.2% LoE</w:t>
            </w:r>
          </w:p>
        </w:tc>
        <w:tc>
          <w:tcPr>
            <w:tcW w:w="3823" w:type="dxa"/>
          </w:tcPr>
          <w:p w14:paraId="5FE7FC09" w14:textId="77777777" w:rsidR="0079299D" w:rsidRPr="00D26F64" w:rsidRDefault="0079299D" w:rsidP="00524694">
            <w:pPr>
              <w:rPr>
                <w:color w:val="156082" w:themeColor="accent1"/>
              </w:rPr>
            </w:pPr>
            <w:r w:rsidRPr="00D26F64">
              <w:rPr>
                <w:color w:val="156082" w:themeColor="accent1"/>
              </w:rPr>
              <w:t>0% AE; 22.7% LoE</w:t>
            </w:r>
          </w:p>
        </w:tc>
      </w:tr>
      <w:tr w:rsidR="0079299D" w:rsidRPr="00D26F64" w14:paraId="3FFF7565" w14:textId="77777777" w:rsidTr="00524694">
        <w:tc>
          <w:tcPr>
            <w:tcW w:w="1705" w:type="dxa"/>
            <w:shd w:val="clear" w:color="auto" w:fill="D9D9D9" w:themeFill="background1" w:themeFillShade="D9"/>
          </w:tcPr>
          <w:p w14:paraId="2507384A" w14:textId="77777777" w:rsidR="0079299D" w:rsidRPr="00D26F64" w:rsidRDefault="0079299D" w:rsidP="00524694">
            <w:pPr>
              <w:jc w:val="center"/>
              <w:rPr>
                <w:color w:val="156082" w:themeColor="accent1"/>
              </w:rPr>
            </w:pPr>
          </w:p>
        </w:tc>
        <w:tc>
          <w:tcPr>
            <w:tcW w:w="3822" w:type="dxa"/>
            <w:shd w:val="clear" w:color="auto" w:fill="D9D9D9" w:themeFill="background1" w:themeFillShade="D9"/>
          </w:tcPr>
          <w:p w14:paraId="21072E80" w14:textId="77777777" w:rsidR="0079299D" w:rsidRPr="00D26F64" w:rsidRDefault="0079299D" w:rsidP="00524694">
            <w:pPr>
              <w:rPr>
                <w:color w:val="156082" w:themeColor="accent1"/>
              </w:rPr>
            </w:pPr>
          </w:p>
        </w:tc>
        <w:tc>
          <w:tcPr>
            <w:tcW w:w="3823" w:type="dxa"/>
            <w:shd w:val="clear" w:color="auto" w:fill="D9D9D9" w:themeFill="background1" w:themeFillShade="D9"/>
          </w:tcPr>
          <w:p w14:paraId="2B8FA025" w14:textId="77777777" w:rsidR="0079299D" w:rsidRPr="00D26F64" w:rsidRDefault="0079299D" w:rsidP="00524694">
            <w:pPr>
              <w:rPr>
                <w:color w:val="156082" w:themeColor="accent1"/>
              </w:rPr>
            </w:pPr>
          </w:p>
        </w:tc>
      </w:tr>
      <w:tr w:rsidR="0079299D" w:rsidRPr="00D26F64" w14:paraId="3E5DBC41" w14:textId="77777777" w:rsidTr="00524694">
        <w:tc>
          <w:tcPr>
            <w:tcW w:w="1705" w:type="dxa"/>
          </w:tcPr>
          <w:p w14:paraId="4647883F" w14:textId="77777777" w:rsidR="0079299D" w:rsidRPr="00D26F64" w:rsidRDefault="0079299D" w:rsidP="00524694">
            <w:pPr>
              <w:jc w:val="center"/>
              <w:rPr>
                <w:color w:val="156082" w:themeColor="accent1"/>
              </w:rPr>
            </w:pPr>
            <w:r w:rsidRPr="00D26F64">
              <w:rPr>
                <w:color w:val="156082" w:themeColor="accent1"/>
              </w:rPr>
              <w:t>4</w:t>
            </w:r>
          </w:p>
        </w:tc>
        <w:tc>
          <w:tcPr>
            <w:tcW w:w="3822" w:type="dxa"/>
          </w:tcPr>
          <w:p w14:paraId="4142A996" w14:textId="77777777" w:rsidR="0079299D" w:rsidRPr="00D26F64" w:rsidRDefault="0079299D" w:rsidP="00524694">
            <w:pPr>
              <w:rPr>
                <w:color w:val="156082" w:themeColor="accent1"/>
              </w:rPr>
            </w:pPr>
            <w:r w:rsidRPr="00D26F64">
              <w:rPr>
                <w:color w:val="156082" w:themeColor="accent1"/>
              </w:rPr>
              <w:t>0% AE; 4.8% LoE</w:t>
            </w:r>
          </w:p>
        </w:tc>
        <w:tc>
          <w:tcPr>
            <w:tcW w:w="3823" w:type="dxa"/>
          </w:tcPr>
          <w:p w14:paraId="3570AB05" w14:textId="77777777" w:rsidR="0079299D" w:rsidRPr="00D26F64" w:rsidRDefault="0079299D" w:rsidP="00524694">
            <w:pPr>
              <w:rPr>
                <w:color w:val="156082" w:themeColor="accent1"/>
              </w:rPr>
            </w:pPr>
            <w:r w:rsidRPr="00D26F64">
              <w:rPr>
                <w:color w:val="156082" w:themeColor="accent1"/>
                <w:sz w:val="24"/>
                <w:szCs w:val="24"/>
              </w:rPr>
              <w:t>8.0% AE; 2.2% LoE</w:t>
            </w:r>
          </w:p>
        </w:tc>
      </w:tr>
      <w:tr w:rsidR="0079299D" w:rsidRPr="00D26F64" w14:paraId="274C0991" w14:textId="77777777" w:rsidTr="00524694">
        <w:tc>
          <w:tcPr>
            <w:tcW w:w="1705" w:type="dxa"/>
          </w:tcPr>
          <w:p w14:paraId="2D0BD07F" w14:textId="77777777" w:rsidR="0079299D" w:rsidRPr="00D26F64" w:rsidRDefault="0079299D" w:rsidP="00524694">
            <w:pPr>
              <w:jc w:val="center"/>
              <w:rPr>
                <w:color w:val="156082" w:themeColor="accent1"/>
              </w:rPr>
            </w:pPr>
            <w:r w:rsidRPr="00D26F64">
              <w:rPr>
                <w:color w:val="156082" w:themeColor="accent1"/>
              </w:rPr>
              <w:t>5</w:t>
            </w:r>
          </w:p>
        </w:tc>
        <w:tc>
          <w:tcPr>
            <w:tcW w:w="3822" w:type="dxa"/>
          </w:tcPr>
          <w:p w14:paraId="394A6B88" w14:textId="77777777" w:rsidR="0079299D" w:rsidRPr="00D26F64" w:rsidRDefault="0079299D" w:rsidP="00524694">
            <w:pPr>
              <w:rPr>
                <w:color w:val="156082" w:themeColor="accent1"/>
              </w:rPr>
            </w:pPr>
            <w:r w:rsidRPr="00D26F64">
              <w:rPr>
                <w:color w:val="156082" w:themeColor="accent1"/>
              </w:rPr>
              <w:t>0% AE; 9.0% LoE</w:t>
            </w:r>
          </w:p>
        </w:tc>
        <w:tc>
          <w:tcPr>
            <w:tcW w:w="3823" w:type="dxa"/>
          </w:tcPr>
          <w:p w14:paraId="770C209C" w14:textId="77777777" w:rsidR="0079299D" w:rsidRPr="00D26F64" w:rsidRDefault="0079299D" w:rsidP="00524694">
            <w:pPr>
              <w:rPr>
                <w:color w:val="156082" w:themeColor="accent1"/>
              </w:rPr>
            </w:pPr>
            <w:r w:rsidRPr="00D26F64">
              <w:rPr>
                <w:color w:val="156082" w:themeColor="accent1"/>
                <w:sz w:val="24"/>
                <w:szCs w:val="24"/>
              </w:rPr>
              <w:t>20.4% AE; 5.3% LoE</w:t>
            </w:r>
          </w:p>
        </w:tc>
      </w:tr>
      <w:tr w:rsidR="0079299D" w:rsidRPr="00D26F64" w14:paraId="59E90C94" w14:textId="77777777" w:rsidTr="00524694">
        <w:tc>
          <w:tcPr>
            <w:tcW w:w="1705" w:type="dxa"/>
          </w:tcPr>
          <w:p w14:paraId="2B17D41F" w14:textId="77777777" w:rsidR="0079299D" w:rsidRPr="00D26F64" w:rsidRDefault="0079299D" w:rsidP="00524694">
            <w:pPr>
              <w:jc w:val="center"/>
              <w:rPr>
                <w:color w:val="156082" w:themeColor="accent1"/>
              </w:rPr>
            </w:pPr>
            <w:r w:rsidRPr="00D26F64">
              <w:rPr>
                <w:color w:val="156082" w:themeColor="accent1"/>
              </w:rPr>
              <w:t>6</w:t>
            </w:r>
          </w:p>
        </w:tc>
        <w:tc>
          <w:tcPr>
            <w:tcW w:w="3822" w:type="dxa"/>
          </w:tcPr>
          <w:p w14:paraId="4C3177F0" w14:textId="77777777" w:rsidR="0079299D" w:rsidRPr="00D26F64" w:rsidRDefault="0079299D" w:rsidP="00524694">
            <w:pPr>
              <w:rPr>
                <w:color w:val="156082" w:themeColor="accent1"/>
              </w:rPr>
            </w:pPr>
            <w:r w:rsidRPr="00D26F64">
              <w:rPr>
                <w:color w:val="156082" w:themeColor="accent1"/>
              </w:rPr>
              <w:t>0% AE; 13.5% LoE</w:t>
            </w:r>
          </w:p>
        </w:tc>
        <w:tc>
          <w:tcPr>
            <w:tcW w:w="3823" w:type="dxa"/>
          </w:tcPr>
          <w:p w14:paraId="20D30164" w14:textId="77777777" w:rsidR="0079299D" w:rsidRPr="00D26F64" w:rsidRDefault="0079299D" w:rsidP="00524694">
            <w:pPr>
              <w:rPr>
                <w:color w:val="156082" w:themeColor="accent1"/>
              </w:rPr>
            </w:pPr>
            <w:r w:rsidRPr="00D26F64">
              <w:rPr>
                <w:color w:val="156082" w:themeColor="accent1"/>
                <w:sz w:val="24"/>
                <w:szCs w:val="24"/>
              </w:rPr>
              <w:t>31.7% AE; 8.0% LoE</w:t>
            </w:r>
          </w:p>
        </w:tc>
      </w:tr>
    </w:tbl>
    <w:p w14:paraId="5C946CE5" w14:textId="77777777" w:rsidR="0079299D" w:rsidRPr="0079299D" w:rsidRDefault="0079299D" w:rsidP="0079299D"/>
    <w:p w14:paraId="452272F2" w14:textId="77777777" w:rsidR="0079299D" w:rsidRPr="0079299D" w:rsidRDefault="0079299D" w:rsidP="0079299D">
      <w:r w:rsidRPr="0079299D">
        <w:t>Having DC due to LoE for placebo necessarily induces DC for LoE on treatment.</w:t>
      </w:r>
    </w:p>
    <w:p w14:paraId="55A07B04" w14:textId="77777777" w:rsidR="0079299D" w:rsidRPr="0079299D" w:rsidRDefault="0079299D" w:rsidP="0079299D"/>
    <w:p w14:paraId="089C1EC6" w14:textId="77777777" w:rsidR="0079299D" w:rsidRPr="0079299D" w:rsidRDefault="0079299D" w:rsidP="0079299D">
      <w:r w:rsidRPr="0079299D">
        <w:t>The goal is to fill in the scenarios depicted in the table above. This will provide a wide range of DC patterns across Treatment and Control/Placebo from which we can explore different estimands and different estimators for those estimands.</w:t>
      </w:r>
    </w:p>
    <w:p w14:paraId="259AB1A5" w14:textId="77777777" w:rsidR="0079299D" w:rsidRDefault="0079299D" w:rsidP="00C93492"/>
    <w:p w14:paraId="5440149B" w14:textId="060CC663" w:rsidR="002D007D" w:rsidRPr="0079299D" w:rsidRDefault="0079299D">
      <w:pPr>
        <w:rPr>
          <w:b/>
          <w:bCs/>
          <w:i/>
          <w:iCs/>
          <w:u w:val="single"/>
        </w:rPr>
      </w:pPr>
      <w:r w:rsidRPr="0079299D">
        <w:rPr>
          <w:b/>
          <w:bCs/>
          <w:i/>
          <w:iCs/>
          <w:u w:val="single"/>
        </w:rPr>
        <w:t>Null and Alternative Hypotheses</w:t>
      </w:r>
    </w:p>
    <w:p w14:paraId="753F1DFA" w14:textId="77777777" w:rsidR="0079299D" w:rsidRDefault="0079299D"/>
    <w:p w14:paraId="1ADD0AFE" w14:textId="737C96FA" w:rsidR="0079299D" w:rsidRDefault="0079299D">
      <w:r>
        <w:t>We want to study the performance of various estimators for the defined estimands under the null hypothesis and at least two alternative hypotheses. Here it is important to define a “null scenario” and distinguish it from a “null hypothesis.”</w:t>
      </w:r>
    </w:p>
    <w:p w14:paraId="074A0ACC" w14:textId="77777777" w:rsidR="0079299D" w:rsidRDefault="0079299D"/>
    <w:p w14:paraId="1D8E4431" w14:textId="410B83B0" w:rsidR="008A0956" w:rsidRDefault="008A0956">
      <w:r>
        <w:t xml:space="preserve">We will refer to a “null scenario” as one in which the underlying multivariate normal means for both X and P (or A) are the same, and without loss of generality, both equal to zero. So, the difference in the means is zero or “null.” However, due to RSM discontinuation and any assumptions or defined </w:t>
      </w:r>
      <w:r>
        <w:lastRenderedPageBreak/>
        <w:t>modeling approaches as well as the definition of an estimand, the true treatment effect (difference in the true means of X and P/A)  in that scenario may create a non-zero difference. For example, if one were to define an estimand based on the principal stratum of patients who would adhere to either RSM, the true mean response on X and the true mean response on P/A may not be zero since those adhering to their RSM may be more favorably disposed to a beneficial effect of their RSM. Furthermore, the mean responses on X and P/C may be different, thereby creating a non-zero treatment effect.</w:t>
      </w:r>
      <w:r w:rsidR="002259DD">
        <w:t xml:space="preserve"> The estimand framework has helped to highlight this phenomena, though it is under-appreciated.</w:t>
      </w:r>
    </w:p>
    <w:p w14:paraId="1967B68E" w14:textId="77777777" w:rsidR="002259DD" w:rsidRDefault="002259DD"/>
    <w:p w14:paraId="5044432C" w14:textId="305C3D2D" w:rsidR="002259DD" w:rsidRDefault="002259DD">
      <w:r>
        <w:t>So, for this simulation study we will identify “scenarios” in which we know the underlying mean response for each RSM, and we will examine what that means in terms of the true treatment effect for assessing unbiased estimation and hypothesis testing.</w:t>
      </w:r>
    </w:p>
    <w:p w14:paraId="6B9C3E1C" w14:textId="77777777" w:rsidR="002259DD" w:rsidRDefault="002259DD"/>
    <w:p w14:paraId="16B4D293" w14:textId="70168FB7" w:rsidR="002259DD" w:rsidRDefault="002259DD">
      <w:r>
        <w:t>Scenarios</w:t>
      </w:r>
    </w:p>
    <w:p w14:paraId="0F8EA640" w14:textId="77777777" w:rsidR="002259DD" w:rsidRDefault="002259DD"/>
    <w:tbl>
      <w:tblPr>
        <w:tblStyle w:val="TableGrid"/>
        <w:tblW w:w="0" w:type="auto"/>
        <w:tblLook w:val="04A0" w:firstRow="1" w:lastRow="0" w:firstColumn="1" w:lastColumn="0" w:noHBand="0" w:noVBand="1"/>
      </w:tblPr>
      <w:tblGrid>
        <w:gridCol w:w="2605"/>
        <w:gridCol w:w="1800"/>
        <w:gridCol w:w="1530"/>
        <w:gridCol w:w="1545"/>
        <w:gridCol w:w="1870"/>
      </w:tblGrid>
      <w:tr w:rsidR="002259DD" w14:paraId="567D144A" w14:textId="77777777" w:rsidTr="006A0F83">
        <w:tc>
          <w:tcPr>
            <w:tcW w:w="2605" w:type="dxa"/>
          </w:tcPr>
          <w:p w14:paraId="67DD86B0" w14:textId="77777777" w:rsidR="002259DD" w:rsidRDefault="002259DD"/>
        </w:tc>
        <w:tc>
          <w:tcPr>
            <w:tcW w:w="6745" w:type="dxa"/>
            <w:gridSpan w:val="4"/>
          </w:tcPr>
          <w:p w14:paraId="27DFF9C0" w14:textId="56A5056A" w:rsidR="002259DD" w:rsidRPr="002259DD" w:rsidRDefault="002259DD" w:rsidP="002259DD">
            <w:pPr>
              <w:jc w:val="center"/>
              <w:rPr>
                <w:b/>
                <w:bCs/>
                <w:sz w:val="28"/>
                <w:szCs w:val="28"/>
              </w:rPr>
            </w:pPr>
            <w:r w:rsidRPr="002259DD">
              <w:rPr>
                <w:b/>
                <w:bCs/>
                <w:sz w:val="28"/>
                <w:szCs w:val="28"/>
              </w:rPr>
              <w:t>Scenarios</w:t>
            </w:r>
            <w:r>
              <w:rPr>
                <w:b/>
                <w:bCs/>
                <w:sz w:val="28"/>
                <w:szCs w:val="28"/>
              </w:rPr>
              <w:t xml:space="preserve"> </w:t>
            </w:r>
            <w:r w:rsidR="005B52B0">
              <w:rPr>
                <w:b/>
                <w:bCs/>
                <w:sz w:val="28"/>
                <w:szCs w:val="28"/>
              </w:rPr>
              <w:t xml:space="preserve"> - </w:t>
            </w:r>
            <w:r>
              <w:rPr>
                <w:b/>
                <w:bCs/>
                <w:sz w:val="28"/>
                <w:szCs w:val="28"/>
              </w:rPr>
              <w:t>Means for Treatment Response Assuming Complete Data</w:t>
            </w:r>
          </w:p>
        </w:tc>
      </w:tr>
      <w:tr w:rsidR="002259DD" w14:paraId="58E4BA86" w14:textId="77777777" w:rsidTr="002259DD">
        <w:tc>
          <w:tcPr>
            <w:tcW w:w="2605" w:type="dxa"/>
          </w:tcPr>
          <w:p w14:paraId="1780370C" w14:textId="3141850B" w:rsidR="002259DD" w:rsidRDefault="002259DD"/>
        </w:tc>
        <w:tc>
          <w:tcPr>
            <w:tcW w:w="1800" w:type="dxa"/>
          </w:tcPr>
          <w:p w14:paraId="2CCC8ADF" w14:textId="7B55C034" w:rsidR="002259DD" w:rsidRDefault="002259DD" w:rsidP="002259DD">
            <w:pPr>
              <w:jc w:val="center"/>
            </w:pPr>
            <w:r>
              <w:t>Null</w:t>
            </w:r>
          </w:p>
        </w:tc>
        <w:tc>
          <w:tcPr>
            <w:tcW w:w="1530" w:type="dxa"/>
          </w:tcPr>
          <w:p w14:paraId="3DF859BD" w14:textId="331C2151" w:rsidR="002259DD" w:rsidRDefault="005B52B0" w:rsidP="002259DD">
            <w:pPr>
              <w:jc w:val="center"/>
            </w:pPr>
            <w:r>
              <w:t>Small</w:t>
            </w:r>
          </w:p>
        </w:tc>
        <w:tc>
          <w:tcPr>
            <w:tcW w:w="1545" w:type="dxa"/>
          </w:tcPr>
          <w:p w14:paraId="7B97817F" w14:textId="242A8DA4" w:rsidR="002259DD" w:rsidRDefault="005B52B0" w:rsidP="002259DD">
            <w:pPr>
              <w:jc w:val="center"/>
            </w:pPr>
            <w:r>
              <w:t>Medium</w:t>
            </w:r>
          </w:p>
        </w:tc>
        <w:tc>
          <w:tcPr>
            <w:tcW w:w="1870" w:type="dxa"/>
          </w:tcPr>
          <w:p w14:paraId="7E4FDD2B" w14:textId="124CDA59" w:rsidR="002259DD" w:rsidRDefault="005B52B0" w:rsidP="002259DD">
            <w:pPr>
              <w:jc w:val="center"/>
            </w:pPr>
            <w:r>
              <w:t>Large</w:t>
            </w:r>
          </w:p>
        </w:tc>
      </w:tr>
      <w:tr w:rsidR="002259DD" w14:paraId="41A6F924" w14:textId="77777777" w:rsidTr="005B52B0">
        <w:tc>
          <w:tcPr>
            <w:tcW w:w="2605" w:type="dxa"/>
          </w:tcPr>
          <w:p w14:paraId="59D482EA" w14:textId="279243D8" w:rsidR="002259DD" w:rsidRDefault="002259DD">
            <w:r>
              <w:t>Investigational Product / Experimental Medication</w:t>
            </w:r>
          </w:p>
        </w:tc>
        <w:tc>
          <w:tcPr>
            <w:tcW w:w="1800" w:type="dxa"/>
            <w:vAlign w:val="center"/>
          </w:tcPr>
          <w:p w14:paraId="48AF3BDA" w14:textId="24D475BA" w:rsidR="002259DD" w:rsidRDefault="005B52B0" w:rsidP="005B52B0">
            <w:pPr>
              <w:jc w:val="center"/>
            </w:pPr>
            <w:r>
              <w:t>0</w:t>
            </w:r>
          </w:p>
        </w:tc>
        <w:tc>
          <w:tcPr>
            <w:tcW w:w="1530" w:type="dxa"/>
            <w:vAlign w:val="center"/>
          </w:tcPr>
          <w:p w14:paraId="0597E2CE" w14:textId="73D65C35" w:rsidR="002259DD" w:rsidRDefault="005B52B0" w:rsidP="005B52B0">
            <w:pPr>
              <w:jc w:val="center"/>
            </w:pPr>
            <w:r>
              <w:t>0.5</w:t>
            </w:r>
          </w:p>
        </w:tc>
        <w:tc>
          <w:tcPr>
            <w:tcW w:w="1545" w:type="dxa"/>
            <w:vAlign w:val="center"/>
          </w:tcPr>
          <w:p w14:paraId="2EE4ACB0" w14:textId="653334D6" w:rsidR="002259DD" w:rsidRDefault="005B52B0" w:rsidP="005B52B0">
            <w:pPr>
              <w:jc w:val="center"/>
            </w:pPr>
            <w:r>
              <w:t>1</w:t>
            </w:r>
          </w:p>
        </w:tc>
        <w:tc>
          <w:tcPr>
            <w:tcW w:w="1870" w:type="dxa"/>
            <w:vAlign w:val="center"/>
          </w:tcPr>
          <w:p w14:paraId="15C1AA17" w14:textId="787EED7A" w:rsidR="002259DD" w:rsidRDefault="005B52B0" w:rsidP="005B52B0">
            <w:pPr>
              <w:jc w:val="center"/>
            </w:pPr>
            <w:r>
              <w:t>2</w:t>
            </w:r>
          </w:p>
        </w:tc>
      </w:tr>
      <w:tr w:rsidR="002259DD" w14:paraId="6EDF1FB9" w14:textId="77777777" w:rsidTr="005B52B0">
        <w:tc>
          <w:tcPr>
            <w:tcW w:w="2605" w:type="dxa"/>
          </w:tcPr>
          <w:p w14:paraId="19678684" w14:textId="77777777" w:rsidR="002259DD" w:rsidRDefault="005B52B0">
            <w:r>
              <w:t xml:space="preserve">Placebo / </w:t>
            </w:r>
          </w:p>
          <w:p w14:paraId="3DB0AA2D" w14:textId="63E0095F" w:rsidR="005B52B0" w:rsidRDefault="005B52B0">
            <w:r>
              <w:t>Active Comparator</w:t>
            </w:r>
          </w:p>
        </w:tc>
        <w:tc>
          <w:tcPr>
            <w:tcW w:w="1800" w:type="dxa"/>
            <w:vAlign w:val="center"/>
          </w:tcPr>
          <w:p w14:paraId="3D7D60DB" w14:textId="05B52FD9" w:rsidR="002259DD" w:rsidRDefault="005B52B0" w:rsidP="005B52B0">
            <w:pPr>
              <w:jc w:val="center"/>
            </w:pPr>
            <w:r>
              <w:t>0</w:t>
            </w:r>
          </w:p>
        </w:tc>
        <w:tc>
          <w:tcPr>
            <w:tcW w:w="1530" w:type="dxa"/>
            <w:vAlign w:val="center"/>
          </w:tcPr>
          <w:p w14:paraId="0DF9899A" w14:textId="01CD9BBC" w:rsidR="002259DD" w:rsidRDefault="005B52B0" w:rsidP="005B52B0">
            <w:pPr>
              <w:jc w:val="center"/>
            </w:pPr>
            <w:r>
              <w:t>0</w:t>
            </w:r>
          </w:p>
        </w:tc>
        <w:tc>
          <w:tcPr>
            <w:tcW w:w="1545" w:type="dxa"/>
            <w:vAlign w:val="center"/>
          </w:tcPr>
          <w:p w14:paraId="39209CD5" w14:textId="66D29E64" w:rsidR="002259DD" w:rsidRDefault="005B52B0" w:rsidP="005B52B0">
            <w:pPr>
              <w:jc w:val="center"/>
            </w:pPr>
            <w:r>
              <w:t>0</w:t>
            </w:r>
          </w:p>
        </w:tc>
        <w:tc>
          <w:tcPr>
            <w:tcW w:w="1870" w:type="dxa"/>
            <w:vAlign w:val="center"/>
          </w:tcPr>
          <w:p w14:paraId="332D6096" w14:textId="386950AA" w:rsidR="002259DD" w:rsidRDefault="005B52B0" w:rsidP="005B52B0">
            <w:pPr>
              <w:jc w:val="center"/>
            </w:pPr>
            <w:r>
              <w:t>0</w:t>
            </w:r>
          </w:p>
        </w:tc>
      </w:tr>
    </w:tbl>
    <w:p w14:paraId="21C37524" w14:textId="77777777" w:rsidR="002259DD" w:rsidRDefault="002259DD"/>
    <w:p w14:paraId="538C29DE" w14:textId="77777777" w:rsidR="002259DD" w:rsidRDefault="002259DD"/>
    <w:p w14:paraId="3361B9AB" w14:textId="6B32C3D1" w:rsidR="002D007D" w:rsidRPr="005B52B0" w:rsidRDefault="005B52B0">
      <w:pPr>
        <w:rPr>
          <w:b/>
          <w:bCs/>
          <w:i/>
          <w:iCs/>
          <w:u w:val="single"/>
        </w:rPr>
      </w:pPr>
      <w:r w:rsidRPr="005B52B0">
        <w:rPr>
          <w:b/>
          <w:bCs/>
          <w:i/>
          <w:iCs/>
          <w:u w:val="single"/>
        </w:rPr>
        <w:t>Sample Size</w:t>
      </w:r>
    </w:p>
    <w:p w14:paraId="2B5B6017" w14:textId="77777777" w:rsidR="005B52B0" w:rsidRDefault="005B52B0"/>
    <w:p w14:paraId="386F2FEF" w14:textId="79296C5F" w:rsidR="005B52B0" w:rsidRDefault="005B52B0">
      <w:r>
        <w:t xml:space="preserve">Different estimation methods require </w:t>
      </w:r>
      <w:proofErr w:type="gramStart"/>
      <w:r>
        <w:t>assumptions</w:t>
      </w:r>
      <w:proofErr w:type="gramEnd"/>
      <w:r>
        <w:t xml:space="preserve"> and some depend on asymptotic theory so it is meaningful to assess their performance under finite samples sizes that may be encountered in clinical trials. We will examine small, </w:t>
      </w:r>
      <w:proofErr w:type="gramStart"/>
      <w:r>
        <w:t>medium</w:t>
      </w:r>
      <w:proofErr w:type="gramEnd"/>
      <w:r>
        <w:t xml:space="preserve"> and large clinical trials </w:t>
      </w:r>
      <w:proofErr w:type="spellStart"/>
      <w:r>
        <w:t>correspoinding</w:t>
      </w:r>
      <w:proofErr w:type="spellEnd"/>
      <w:r>
        <w:t xml:space="preserve"> </w:t>
      </w:r>
      <w:proofErr w:type="spellStart"/>
      <w:r>
        <w:t>toearly</w:t>
      </w:r>
      <w:proofErr w:type="spellEnd"/>
      <w:r>
        <w:t xml:space="preserve"> </w:t>
      </w:r>
      <w:proofErr w:type="spellStart"/>
      <w:r>
        <w:t>Phse</w:t>
      </w:r>
      <w:proofErr w:type="spellEnd"/>
      <w:r>
        <w:t xml:space="preserve"> 2 studies, late Phase 2 studies and Phase 3 studies.</w:t>
      </w:r>
    </w:p>
    <w:p w14:paraId="4A1FABAD" w14:textId="77777777" w:rsidR="005B52B0" w:rsidRDefault="005B52B0"/>
    <w:p w14:paraId="6463EF99" w14:textId="7F51B96B" w:rsidR="005B52B0" w:rsidRDefault="005B52B0">
      <w:r>
        <w:t>N = 100, 200, 500 patients/treatment (</w:t>
      </w:r>
      <w:r w:rsidRPr="005B52B0">
        <w:rPr>
          <w:highlight w:val="yellow"/>
        </w:rPr>
        <w:t>we can discuss whether these are the right numbers of not</w:t>
      </w:r>
      <w:r>
        <w:t>)</w:t>
      </w:r>
    </w:p>
    <w:p w14:paraId="2F7A072F" w14:textId="77777777" w:rsidR="002D007D" w:rsidRDefault="002D007D"/>
    <w:p w14:paraId="787C20DF" w14:textId="1191B6B7" w:rsidR="002D007D" w:rsidRPr="00784E86" w:rsidRDefault="005B52B0">
      <w:pPr>
        <w:rPr>
          <w:b/>
          <w:bCs/>
          <w:i/>
          <w:iCs/>
          <w:u w:val="single"/>
        </w:rPr>
      </w:pPr>
      <w:r w:rsidRPr="00784E86">
        <w:rPr>
          <w:b/>
          <w:bCs/>
          <w:i/>
          <w:iCs/>
          <w:u w:val="single"/>
        </w:rPr>
        <w:t>Primary Outcome Variable</w:t>
      </w:r>
    </w:p>
    <w:p w14:paraId="14AF027E" w14:textId="77777777" w:rsidR="005B52B0" w:rsidRDefault="005B52B0"/>
    <w:p w14:paraId="154B1F07" w14:textId="3D70EA82" w:rsidR="005B52B0" w:rsidRDefault="005B52B0">
      <w:r>
        <w:t>We will focus solely on continuous outcomes for now</w:t>
      </w:r>
      <w:r w:rsidR="00784E86">
        <w:t xml:space="preserve"> (e.g., multivariate normal distributions)</w:t>
      </w:r>
      <w:r>
        <w:t>. Future work can incorporate binary outcomes.</w:t>
      </w:r>
    </w:p>
    <w:p w14:paraId="19F016C9" w14:textId="77777777" w:rsidR="005B52B0" w:rsidRDefault="005B52B0"/>
    <w:p w14:paraId="608D3C49" w14:textId="36F1ED85" w:rsidR="005B52B0" w:rsidRPr="00784E86" w:rsidRDefault="00784E86">
      <w:pPr>
        <w:rPr>
          <w:b/>
          <w:bCs/>
          <w:i/>
          <w:iCs/>
          <w:u w:val="single"/>
        </w:rPr>
      </w:pPr>
      <w:r w:rsidRPr="00784E86">
        <w:rPr>
          <w:b/>
          <w:bCs/>
          <w:i/>
          <w:iCs/>
          <w:u w:val="single"/>
        </w:rPr>
        <w:t>Data Generation</w:t>
      </w:r>
    </w:p>
    <w:p w14:paraId="66B16C0A" w14:textId="77777777" w:rsidR="00784E86" w:rsidRDefault="00784E86"/>
    <w:p w14:paraId="42B79314" w14:textId="1076295B" w:rsidR="00784E86" w:rsidRDefault="00784E86">
      <w:r>
        <w:t>We will use the CITIES tool. WE can explore MAR and MNAR assumptions for the underlying data and evaluate estimands and estimators under those assumptions.</w:t>
      </w:r>
    </w:p>
    <w:p w14:paraId="53EDCD74" w14:textId="77777777" w:rsidR="005B52B0" w:rsidRDefault="005B52B0"/>
    <w:p w14:paraId="5CD63DA5" w14:textId="77777777" w:rsidR="005B52B0" w:rsidRDefault="005B52B0"/>
    <w:p w14:paraId="20043DC2" w14:textId="04A802D4" w:rsidR="005B52B0" w:rsidRPr="00784E86" w:rsidRDefault="00784E86" w:rsidP="00784E86">
      <w:pPr>
        <w:pStyle w:val="ListParagraph"/>
        <w:numPr>
          <w:ilvl w:val="0"/>
          <w:numId w:val="1"/>
        </w:numPr>
        <w:rPr>
          <w:b/>
          <w:bCs/>
          <w:sz w:val="24"/>
          <w:szCs w:val="24"/>
        </w:rPr>
      </w:pPr>
      <w:r w:rsidRPr="00784E86">
        <w:rPr>
          <w:b/>
          <w:bCs/>
          <w:sz w:val="24"/>
          <w:szCs w:val="24"/>
        </w:rPr>
        <w:lastRenderedPageBreak/>
        <w:t>Evaluation</w:t>
      </w:r>
    </w:p>
    <w:p w14:paraId="416155A1" w14:textId="77777777" w:rsidR="00784E86" w:rsidRDefault="00784E86"/>
    <w:p w14:paraId="11411226" w14:textId="320121AA" w:rsidR="00784E86" w:rsidRPr="00784E86" w:rsidRDefault="00784E86">
      <w:pPr>
        <w:rPr>
          <w:b/>
          <w:bCs/>
          <w:i/>
          <w:iCs/>
          <w:u w:val="single"/>
        </w:rPr>
      </w:pPr>
      <w:r w:rsidRPr="00784E86">
        <w:rPr>
          <w:b/>
          <w:bCs/>
          <w:i/>
          <w:iCs/>
          <w:u w:val="single"/>
        </w:rPr>
        <w:t>The Estimand</w:t>
      </w:r>
    </w:p>
    <w:p w14:paraId="6014CA14" w14:textId="77777777" w:rsidR="00784E86" w:rsidRDefault="00784E86"/>
    <w:p w14:paraId="22E0496F" w14:textId="700D6847" w:rsidR="00784E86" w:rsidRDefault="00784E86">
      <w:r>
        <w:t>We will first define the estimands of interest. For the scope of this work, we will study the most popular ones in practice today.</w:t>
      </w:r>
    </w:p>
    <w:p w14:paraId="7FFAE6D3" w14:textId="37F2CC45" w:rsidR="00784E86" w:rsidRDefault="00784E86" w:rsidP="00784E86">
      <w:pPr>
        <w:pStyle w:val="ListParagraph"/>
        <w:numPr>
          <w:ilvl w:val="0"/>
          <w:numId w:val="4"/>
        </w:numPr>
      </w:pPr>
      <w:r>
        <w:t>The initiation of treatment estimand (corresponds to ITT – the effect of initiating treatment)</w:t>
      </w:r>
    </w:p>
    <w:p w14:paraId="477880C1" w14:textId="2DC4AD76" w:rsidR="00784E86" w:rsidRDefault="00784E86" w:rsidP="00784E86">
      <w:pPr>
        <w:pStyle w:val="ListParagraph"/>
        <w:numPr>
          <w:ilvl w:val="0"/>
          <w:numId w:val="4"/>
        </w:numPr>
      </w:pPr>
      <w:r>
        <w:t>The hypothetical estimand (the effect of treatment if everyone cold indeed adhere to the RSM). Note that this is targeting the multivariate normal means underlying the data generating model.</w:t>
      </w:r>
    </w:p>
    <w:p w14:paraId="33F5EA08" w14:textId="0463F4FF" w:rsidR="00784E86" w:rsidRDefault="00784E86" w:rsidP="00784E86">
      <w:pPr>
        <w:pStyle w:val="ListParagraph"/>
        <w:numPr>
          <w:ilvl w:val="0"/>
          <w:numId w:val="4"/>
        </w:numPr>
      </w:pPr>
      <w:r>
        <w:t>The Adherers Average Causal Effect (AdACE) – the treatment effect in those who can adhere to their RSM.</w:t>
      </w:r>
    </w:p>
    <w:p w14:paraId="55693A84" w14:textId="1BFD1A71" w:rsidR="00784E86" w:rsidRDefault="00784E86" w:rsidP="00784E86">
      <w:pPr>
        <w:pStyle w:val="ListParagraph"/>
        <w:numPr>
          <w:ilvl w:val="1"/>
          <w:numId w:val="4"/>
        </w:numPr>
      </w:pPr>
      <w:r>
        <w:t>S*+</w:t>
      </w:r>
    </w:p>
    <w:p w14:paraId="18BF3AFE" w14:textId="3A40B7E8" w:rsidR="00784E86" w:rsidRDefault="00784E86" w:rsidP="00784E86">
      <w:pPr>
        <w:pStyle w:val="ListParagraph"/>
        <w:numPr>
          <w:ilvl w:val="1"/>
          <w:numId w:val="4"/>
        </w:numPr>
      </w:pPr>
      <w:r>
        <w:t>S++</w:t>
      </w:r>
    </w:p>
    <w:p w14:paraId="164FD361" w14:textId="77777777" w:rsidR="00784E86" w:rsidRDefault="00784E86" w:rsidP="00784E86"/>
    <w:p w14:paraId="4D7C9E71" w14:textId="0E019901" w:rsidR="00784E86" w:rsidRDefault="00784E86">
      <w:r>
        <w:t>We will first simulate data under the null scenario (i.e., multivariate normal means of zero), and produce 10,000 simulations as a way to approximate (quite accurately) the true mean response for each RSM and the treatment effect, i.e., the estimand, the target of estimation.</w:t>
      </w:r>
      <w:r w:rsidR="001266A0">
        <w:t xml:space="preserve"> This can be done for the various treatment discontinuation patterns and missingness assumptions (MAR, MNAR). It is not dependent on sample size.</w:t>
      </w:r>
    </w:p>
    <w:p w14:paraId="3A39F391" w14:textId="77777777" w:rsidR="001266A0" w:rsidRDefault="001266A0"/>
    <w:p w14:paraId="62C088F4" w14:textId="6B443FCC" w:rsidR="001266A0" w:rsidRDefault="001266A0">
      <w:r>
        <w:t>I think this could be very enlightening.</w:t>
      </w:r>
    </w:p>
    <w:p w14:paraId="0C4A000E" w14:textId="77777777" w:rsidR="001266A0" w:rsidRDefault="001266A0"/>
    <w:p w14:paraId="689FB099" w14:textId="2DC35B8D" w:rsidR="001266A0" w:rsidRPr="001266A0" w:rsidRDefault="001266A0">
      <w:pPr>
        <w:rPr>
          <w:b/>
          <w:bCs/>
          <w:i/>
          <w:iCs/>
          <w:u w:val="single"/>
        </w:rPr>
      </w:pPr>
      <w:r w:rsidRPr="001266A0">
        <w:rPr>
          <w:b/>
          <w:bCs/>
          <w:i/>
          <w:iCs/>
          <w:u w:val="single"/>
        </w:rPr>
        <w:t>The Estimators</w:t>
      </w:r>
    </w:p>
    <w:p w14:paraId="0EFE7C34" w14:textId="77777777" w:rsidR="001266A0" w:rsidRDefault="001266A0"/>
    <w:p w14:paraId="290359A8" w14:textId="00F883C9" w:rsidR="001266A0" w:rsidRDefault="001266A0">
      <w:r>
        <w:t>For each estimand, we can define different estimators and analysis approaches. Some proposals are listed here, but need more discussion and definition:</w:t>
      </w:r>
    </w:p>
    <w:p w14:paraId="501CE2E0" w14:textId="5DD12A00" w:rsidR="001266A0" w:rsidRDefault="001266A0" w:rsidP="001266A0">
      <w:pPr>
        <w:pStyle w:val="ListParagraph"/>
        <w:numPr>
          <w:ilvl w:val="0"/>
          <w:numId w:val="5"/>
        </w:numPr>
      </w:pPr>
      <w:r>
        <w:t>Intention to Treat – there are some problems with this but too many to describe here … yet.</w:t>
      </w:r>
    </w:p>
    <w:p w14:paraId="459F925E" w14:textId="6B8E3E42" w:rsidR="001266A0" w:rsidRDefault="001266A0" w:rsidP="001266A0">
      <w:pPr>
        <w:pStyle w:val="ListParagraph"/>
        <w:numPr>
          <w:ilvl w:val="0"/>
          <w:numId w:val="5"/>
        </w:numPr>
      </w:pPr>
      <w:r>
        <w:t>MMRM</w:t>
      </w:r>
    </w:p>
    <w:p w14:paraId="0EE26D5B" w14:textId="09308F15" w:rsidR="001266A0" w:rsidRDefault="001266A0" w:rsidP="001266A0">
      <w:pPr>
        <w:pStyle w:val="ListParagraph"/>
        <w:numPr>
          <w:ilvl w:val="0"/>
          <w:numId w:val="5"/>
        </w:numPr>
      </w:pPr>
      <w:r>
        <w:t xml:space="preserve">Other longitudinal models / competitors </w:t>
      </w:r>
      <w:r w:rsidR="00F30478">
        <w:t>to</w:t>
      </w:r>
      <w:r>
        <w:t xml:space="preserve"> MMRM (if we want </w:t>
      </w:r>
      <w:r w:rsidR="00F30478">
        <w:t>to</w:t>
      </w:r>
      <w:r>
        <w:t xml:space="preserve"> pursue those)</w:t>
      </w:r>
      <w:r w:rsidR="00F30478">
        <w:t>?</w:t>
      </w:r>
    </w:p>
    <w:p w14:paraId="15BF43D3" w14:textId="2089C22D" w:rsidR="001266A0" w:rsidRDefault="001266A0" w:rsidP="001266A0">
      <w:pPr>
        <w:pStyle w:val="ListParagraph"/>
        <w:numPr>
          <w:ilvl w:val="0"/>
          <w:numId w:val="5"/>
        </w:numPr>
      </w:pPr>
      <w:r>
        <w:t>AdACE</w:t>
      </w:r>
      <w:r w:rsidR="00F30478">
        <w:t xml:space="preserve"> (Qu et al)</w:t>
      </w:r>
    </w:p>
    <w:p w14:paraId="78F59D8C" w14:textId="56A98447" w:rsidR="001266A0" w:rsidRDefault="001266A0" w:rsidP="001266A0">
      <w:pPr>
        <w:pStyle w:val="ListParagraph"/>
        <w:numPr>
          <w:ilvl w:val="0"/>
          <w:numId w:val="5"/>
        </w:numPr>
      </w:pPr>
      <w:r>
        <w:t xml:space="preserve">DIA SAS </w:t>
      </w:r>
      <w:r w:rsidR="00F30478">
        <w:t>macro</w:t>
      </w:r>
      <w:r>
        <w:t xml:space="preserve"> (Rubin extension method</w:t>
      </w:r>
      <w:r w:rsidR="00F30478">
        <w:t>?</w:t>
      </w:r>
      <w:r>
        <w:t>)</w:t>
      </w:r>
    </w:p>
    <w:p w14:paraId="774BB207" w14:textId="77777777" w:rsidR="005B52B0" w:rsidRDefault="005B52B0"/>
    <w:p w14:paraId="7B259785" w14:textId="0F80EEFC" w:rsidR="002D007D" w:rsidRDefault="00F30478">
      <w:r>
        <w:t xml:space="preserve">Assess bias and </w:t>
      </w:r>
      <w:proofErr w:type="gramStart"/>
      <w:r>
        <w:t>coverage</w:t>
      </w:r>
      <w:proofErr w:type="gramEnd"/>
    </w:p>
    <w:p w14:paraId="69316303" w14:textId="1615DBFD" w:rsidR="00F30478" w:rsidRDefault="00F30478" w:rsidP="00F30478">
      <w:pPr>
        <w:ind w:left="720"/>
      </w:pPr>
      <w:r>
        <w:t>Note that bias could be construed as difference from the true estimand mean and I will call it pseudo-bias, the difference from the multivariate normal mean.</w:t>
      </w:r>
    </w:p>
    <w:p w14:paraId="60B2ABF8" w14:textId="159E583A" w:rsidR="00F30478" w:rsidRDefault="00F30478" w:rsidP="00F30478">
      <w:pPr>
        <w:ind w:left="720"/>
      </w:pPr>
      <w:r>
        <w:t>The same can be said for coverage probability.</w:t>
      </w:r>
    </w:p>
    <w:p w14:paraId="2882C797" w14:textId="4C62020D" w:rsidR="00F30478" w:rsidRDefault="00F30478" w:rsidP="00F30478">
      <w:r>
        <w:t xml:space="preserve">Assess </w:t>
      </w:r>
      <w:proofErr w:type="gramStart"/>
      <w:r>
        <w:t>power</w:t>
      </w:r>
      <w:proofErr w:type="gramEnd"/>
    </w:p>
    <w:p w14:paraId="75DBC11A" w14:textId="44DFBBDC" w:rsidR="00F30478" w:rsidRDefault="00F30478" w:rsidP="00F30478">
      <w:pPr>
        <w:ind w:left="720"/>
      </w:pPr>
      <w:r>
        <w:t>As a function of increasing difference in multivariate normal means</w:t>
      </w:r>
    </w:p>
    <w:p w14:paraId="0CE15246" w14:textId="77777777" w:rsidR="00F30478" w:rsidRDefault="00F30478" w:rsidP="00F30478"/>
    <w:p w14:paraId="0AAD8B3F" w14:textId="77777777" w:rsidR="00F30478" w:rsidRDefault="00F30478" w:rsidP="00F30478"/>
    <w:p w14:paraId="706487ED" w14:textId="77777777" w:rsidR="002D007D" w:rsidRDefault="002D007D"/>
    <w:p w14:paraId="57638BD9" w14:textId="77777777" w:rsidR="002D007D" w:rsidRDefault="002D007D"/>
    <w:p w14:paraId="076B1501" w14:textId="77777777" w:rsidR="002D007D" w:rsidRDefault="002D007D"/>
    <w:sectPr w:rsidR="002D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83A"/>
    <w:multiLevelType w:val="hybridMultilevel"/>
    <w:tmpl w:val="0D4EEB88"/>
    <w:lvl w:ilvl="0" w:tplc="04090019">
      <w:start w:val="1"/>
      <w:numFmt w:val="lowerLetter"/>
      <w:lvlText w:val="%1."/>
      <w:lvlJc w:val="left"/>
      <w:pPr>
        <w:ind w:left="720" w:hanging="360"/>
      </w:pPr>
      <w:rPr>
        <w:rFonts w:hint="default"/>
      </w:rPr>
    </w:lvl>
    <w:lvl w:ilvl="1" w:tplc="C3CE6636">
      <w:start w:val="1"/>
      <w:numFmt w:val="decimal"/>
      <w:lvlText w:val="%2."/>
      <w:lvlJc w:val="left"/>
      <w:pPr>
        <w:ind w:left="1440" w:hanging="360"/>
      </w:pPr>
      <w:rPr>
        <w:rFonts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30CB"/>
    <w:multiLevelType w:val="hybridMultilevel"/>
    <w:tmpl w:val="6F661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83509"/>
    <w:multiLevelType w:val="hybridMultilevel"/>
    <w:tmpl w:val="F69E91F4"/>
    <w:lvl w:ilvl="0" w:tplc="D33C4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486A9C"/>
    <w:multiLevelType w:val="hybridMultilevel"/>
    <w:tmpl w:val="0AF6C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7402AB"/>
    <w:multiLevelType w:val="hybridMultilevel"/>
    <w:tmpl w:val="412EE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133123">
    <w:abstractNumId w:val="3"/>
  </w:num>
  <w:num w:numId="2" w16cid:durableId="164053717">
    <w:abstractNumId w:val="1"/>
  </w:num>
  <w:num w:numId="3" w16cid:durableId="1910993972">
    <w:abstractNumId w:val="2"/>
  </w:num>
  <w:num w:numId="4" w16cid:durableId="1400864585">
    <w:abstractNumId w:val="0"/>
  </w:num>
  <w:num w:numId="5" w16cid:durableId="1158770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7D"/>
    <w:rsid w:val="001266A0"/>
    <w:rsid w:val="00150C16"/>
    <w:rsid w:val="002212FA"/>
    <w:rsid w:val="002259DD"/>
    <w:rsid w:val="00283C5E"/>
    <w:rsid w:val="002D007D"/>
    <w:rsid w:val="00346E49"/>
    <w:rsid w:val="00356BF5"/>
    <w:rsid w:val="00545608"/>
    <w:rsid w:val="005B52B0"/>
    <w:rsid w:val="00784E86"/>
    <w:rsid w:val="0079299D"/>
    <w:rsid w:val="00850D72"/>
    <w:rsid w:val="008A0956"/>
    <w:rsid w:val="00934767"/>
    <w:rsid w:val="00A10DFE"/>
    <w:rsid w:val="00A703D0"/>
    <w:rsid w:val="00B57D96"/>
    <w:rsid w:val="00BC4426"/>
    <w:rsid w:val="00C93492"/>
    <w:rsid w:val="00CF18D1"/>
    <w:rsid w:val="00F3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6EF1"/>
  <w15:chartTrackingRefBased/>
  <w15:docId w15:val="{1A892F3A-A0F4-4724-8F84-1DCDBAE1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16"/>
  </w:style>
  <w:style w:type="paragraph" w:styleId="Heading1">
    <w:name w:val="heading 1"/>
    <w:basedOn w:val="Normal"/>
    <w:next w:val="Normal"/>
    <w:link w:val="Heading1Char"/>
    <w:uiPriority w:val="9"/>
    <w:qFormat/>
    <w:rsid w:val="002D0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0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0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0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0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C16"/>
    <w:pPr>
      <w:ind w:left="720"/>
      <w:contextualSpacing/>
    </w:pPr>
  </w:style>
  <w:style w:type="character" w:customStyle="1" w:styleId="Heading1Char">
    <w:name w:val="Heading 1 Char"/>
    <w:basedOn w:val="DefaultParagraphFont"/>
    <w:link w:val="Heading1"/>
    <w:uiPriority w:val="9"/>
    <w:rsid w:val="002D0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07D"/>
    <w:rPr>
      <w:rFonts w:eastAsiaTheme="majorEastAsia" w:cstheme="majorBidi"/>
      <w:color w:val="272727" w:themeColor="text1" w:themeTint="D8"/>
    </w:rPr>
  </w:style>
  <w:style w:type="paragraph" w:styleId="Title">
    <w:name w:val="Title"/>
    <w:basedOn w:val="Normal"/>
    <w:next w:val="Normal"/>
    <w:link w:val="TitleChar"/>
    <w:uiPriority w:val="10"/>
    <w:qFormat/>
    <w:rsid w:val="002D0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0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0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007D"/>
    <w:rPr>
      <w:i/>
      <w:iCs/>
      <w:color w:val="404040" w:themeColor="text1" w:themeTint="BF"/>
    </w:rPr>
  </w:style>
  <w:style w:type="character" w:styleId="IntenseEmphasis">
    <w:name w:val="Intense Emphasis"/>
    <w:basedOn w:val="DefaultParagraphFont"/>
    <w:uiPriority w:val="21"/>
    <w:qFormat/>
    <w:rsid w:val="002D007D"/>
    <w:rPr>
      <w:i/>
      <w:iCs/>
      <w:color w:val="0F4761" w:themeColor="accent1" w:themeShade="BF"/>
    </w:rPr>
  </w:style>
  <w:style w:type="paragraph" w:styleId="IntenseQuote">
    <w:name w:val="Intense Quote"/>
    <w:basedOn w:val="Normal"/>
    <w:next w:val="Normal"/>
    <w:link w:val="IntenseQuoteChar"/>
    <w:uiPriority w:val="30"/>
    <w:qFormat/>
    <w:rsid w:val="002D0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07D"/>
    <w:rPr>
      <w:i/>
      <w:iCs/>
      <w:color w:val="0F4761" w:themeColor="accent1" w:themeShade="BF"/>
    </w:rPr>
  </w:style>
  <w:style w:type="character" w:styleId="IntenseReference">
    <w:name w:val="Intense Reference"/>
    <w:basedOn w:val="DefaultParagraphFont"/>
    <w:uiPriority w:val="32"/>
    <w:qFormat/>
    <w:rsid w:val="002D007D"/>
    <w:rPr>
      <w:b/>
      <w:bCs/>
      <w:smallCaps/>
      <w:color w:val="0F4761" w:themeColor="accent1" w:themeShade="BF"/>
      <w:spacing w:val="5"/>
    </w:rPr>
  </w:style>
  <w:style w:type="table" w:styleId="TableGrid">
    <w:name w:val="Table Grid"/>
    <w:basedOn w:val="TableNormal"/>
    <w:uiPriority w:val="39"/>
    <w:rsid w:val="0079299D"/>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Ruberg</dc:creator>
  <cp:keywords/>
  <dc:description/>
  <cp:lastModifiedBy>Stephen Ruberg</cp:lastModifiedBy>
  <cp:revision>2</cp:revision>
  <dcterms:created xsi:type="dcterms:W3CDTF">2024-03-29T12:02:00Z</dcterms:created>
  <dcterms:modified xsi:type="dcterms:W3CDTF">2024-03-29T13:33:00Z</dcterms:modified>
</cp:coreProperties>
</file>