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r>
        <w:t xml:space="preserve"/>
      </w:r>
    </w:p>
    <w:p>
      <w:pPr>
        <w:spacing w:after="160" w:before="0"/>
        <w:jc w:val="center"/>
      </w:pPr>
      <w:r>
        <w:rPr>
          <w:rFonts w:ascii="Arial" w:cs="Arial" w:eastAsia="Arial" w:hAnsi="Arial"/>
          <w:b/>
          <w:bCs/>
          <w:color w:val="1F4E79"/>
          <w:sz w:val="56"/>
          <w:szCs w:val="56"/>
        </w:rPr>
        <w:t xml:space="preserve">VEILLE TECHNOLOGIQUE</w:t>
      </w:r>
    </w:p>
    <w:p>
      <w:pPr>
        <w:spacing w:after="80" w:before="0"/>
        <w:jc w:val="center"/>
      </w:pPr>
      <w:r>
        <w:rPr>
          <w:rFonts w:ascii="Arial" w:cs="Arial" w:eastAsia="Arial" w:hAnsi="Arial"/>
          <w:b/>
          <w:bCs/>
          <w:color w:val="0070C0"/>
          <w:sz w:val="36"/>
          <w:szCs w:val="36"/>
        </w:rPr>
        <w:t xml:space="preserve">Wi-Fi 7 &amp; Cybersécurité 2025</w:t>
      </w:r>
    </w:p>
    <w:p>
      <w:pPr>
        <w:spacing w:after="60" w:before="0"/>
        <w:jc w:val="center"/>
      </w:pPr>
      <w:r>
        <w:rPr>
          <w:rFonts w:ascii="Arial" w:cs="Arial" w:eastAsia="Arial" w:hAnsi="Arial"/>
          <w:i/>
          <w:iCs/>
          <w:color w:val="595959"/>
          <w:sz w:val="22"/>
          <w:szCs w:val="22"/>
        </w:rPr>
        <w:t xml:space="preserve">Brevet de Technicien Supérieur — Services Informatiques aux Organisations</w:t>
      </w:r>
    </w:p>
    <w:p>
      <w:pPr>
        <w:spacing w:after="0" w:before="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F4E79"/>
                <w:sz w:val="22"/>
                <w:szCs w:val="22"/>
              </w:rPr>
              <w:t xml:space="preserve">Auteur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Louis Capronnier</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F4E79"/>
                <w:sz w:val="22"/>
                <w:szCs w:val="22"/>
              </w:rPr>
              <w:t xml:space="preserve">Formation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BTS SIO</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F4E79"/>
                <w:sz w:val="22"/>
                <w:szCs w:val="22"/>
              </w:rPr>
              <w:t xml:space="preserve">Établissement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[Nom de l’établissement]</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F4E79"/>
                <w:sz w:val="22"/>
                <w:szCs w:val="22"/>
              </w:rPr>
              <w:t xml:space="preserve">Période de veille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Septembre 2025 – Mai 2026</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F4E79"/>
                <w:sz w:val="22"/>
                <w:szCs w:val="22"/>
              </w:rPr>
              <w:t xml:space="preserve">Thèmes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Réseaux sans fil — Sécurité informatique</w:t>
            </w:r>
          </w:p>
        </w:tc>
      </w:tr>
    </w:tbl>
    <w:p>
      <w:pPr>
        <w:spacing w:after="0" w:before="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thick" w:color="2E75B6" w:sz="12"/>
              <w:bottom w:val="single" w:color="2E75B6" w:sz="1"/>
              <w:right w:val="single" w:color="2E75B6" w:sz="1"/>
            </w:tcBorders>
            <w:shd w:fill="D5E8F0" w:val="clear"/>
            <w:tcMar>
              <w:top w:type="dxa" w:w="100"/>
              <w:left w:type="dxa" w:w="180"/>
              <w:bottom w:type="dxa" w:w="100"/>
              <w:right w:type="dxa" w:w="120"/>
            </w:tcMar>
          </w:tcPr>
          <w:p>
            <w:pPr>
              <w:spacing w:after="40" w:before="0"/>
            </w:pPr>
            <w:r>
              <w:rPr>
                <w:rFonts w:ascii="Arial" w:cs="Arial" w:eastAsia="Arial" w:hAnsi="Arial"/>
                <w:b/>
                <w:bCs/>
                <w:color w:val="1F4E79"/>
                <w:sz w:val="22"/>
                <w:szCs w:val="22"/>
              </w:rPr>
              <w:t xml:space="preserve">ℹ  Méthode de veille</w:t>
            </w:r>
          </w:p>
          <w:p>
            <w:pPr>
              <w:spacing w:after="0" w:before="0"/>
            </w:pPr>
            <w:r>
              <w:rPr>
                <w:rFonts w:ascii="Arial" w:cs="Arial" w:eastAsia="Arial" w:hAnsi="Arial"/>
                <w:color w:val="0D1B3E"/>
                <w:sz w:val="20"/>
                <w:szCs w:val="20"/>
              </w:rPr>
              <w:t xml:space="preserve">Ce document retrace ma veille technologique construite progressivement au fil de l’année scolaire 2025–2026. Chaque entrée est datée du mois de découverte. Seules les sources publiées avant ou pendant ce mois sont citées dans chaque section, afin de refléter fidèlement ce qui était disponible au moment de la recherche. Les URL sont indiquées en clair pour pouvoir être copiées-collées.</w:t>
            </w:r>
          </w:p>
        </w:tc>
      </w:tr>
    </w:tbl>
    <w:p>
      <w:pPr>
        <w:spacing w:after="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Partie 1 — Veille sur le Wi-Fi 7 (IEEE 802.11be)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00"/>
            </w:tcMar>
            <w:vAlign w:val="center"/>
          </w:tcPr>
          <w:p>
            <w:pPr>
              <w:spacing w:after="0" w:before="0"/>
            </w:pPr>
            <w:r>
              <w:rPr>
                <w:rFonts w:ascii="Arial" w:cs="Arial" w:eastAsia="Arial" w:hAnsi="Arial"/>
                <w:b/>
                <w:bCs/>
                <w:color w:val="FFFFFF"/>
                <w:sz w:val="22"/>
                <w:szCs w:val="22"/>
              </w:rPr>
              <w:t xml:space="preserve">Septembre 2025</w:t>
            </w:r>
          </w:p>
        </w:tc>
        <w:tc>
          <w:tcPr>
            <w:tcW w:type="dxa" w:w="71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00"/>
            </w:tcMar>
            <w:vAlign w:val="center"/>
          </w:tcPr>
          <w:p>
            <w:pPr>
              <w:spacing w:after="0" w:before="0"/>
            </w:pPr>
            <w:r>
              <w:rPr>
                <w:rFonts w:ascii="Arial" w:cs="Arial" w:eastAsia="Arial" w:hAnsi="Arial"/>
                <w:color w:val="1F4E79"/>
                <w:sz w:val="22"/>
                <w:szCs w:val="22"/>
              </w:rPr>
              <w:t xml:space="preserve">Découverte de la norme — présentation générale</w:t>
            </w:r>
          </w:p>
        </w:tc>
      </w:tr>
    </w:tbl>
    <w:p>
      <w:pPr>
        <w:spacing w:after="0" w:before="120"/>
      </w:pPr>
      <w:r>
        <w:t xml:space="preserve"/>
      </w:r>
    </w:p>
    <w:p>
      <w:pPr>
        <w:pStyle w:val="Heading2"/>
        <w:spacing w:after="100" w:before="280"/>
      </w:pPr>
      <w:r>
        <w:rPr>
          <w:rFonts w:ascii="Arial" w:cs="Arial" w:eastAsia="Arial" w:hAnsi="Arial"/>
          <w:b/>
          <w:bCs/>
          <w:color w:val="0070C0"/>
          <w:sz w:val="28"/>
          <w:szCs w:val="28"/>
        </w:rPr>
        <w:t xml:space="preserve">1.1 Présentation générale du Wi-Fi 7</w:t>
      </w:r>
    </w:p>
    <w:p>
      <w:pPr>
        <w:spacing w:after="100" w:before="60"/>
      </w:pPr>
      <w:r>
        <w:rPr>
          <w:rFonts w:ascii="Arial" w:cs="Arial" w:eastAsia="Arial" w:hAnsi="Arial"/>
          <w:sz w:val="22"/>
          <w:szCs w:val="22"/>
        </w:rPr>
        <w:t xml:space="preserve">Au début de ma veille, j’ai commencé par comprendre les fondements de cette nouvelle norme. Le </w:t>
      </w:r>
      <w:r>
        <w:rPr>
          <w:rFonts w:ascii="Arial" w:cs="Arial" w:eastAsia="Arial" w:hAnsi="Arial"/>
          <w:b/>
          <w:bCs/>
          <w:color w:val="000000"/>
          <w:sz w:val="22"/>
          <w:szCs w:val="22"/>
        </w:rPr>
        <w:t xml:space="preserve">Wi-Fi 7</w:t>
      </w:r>
      <w:r>
        <w:rPr>
          <w:rFonts w:ascii="Arial" w:cs="Arial" w:eastAsia="Arial" w:hAnsi="Arial"/>
          <w:sz w:val="22"/>
          <w:szCs w:val="22"/>
        </w:rPr>
        <w:t xml:space="preserve">, désigné sous l’appellation technique </w:t>
      </w:r>
      <w:r>
        <w:rPr>
          <w:rFonts w:ascii="Arial" w:cs="Arial" w:eastAsia="Arial" w:hAnsi="Arial"/>
          <w:b/>
          <w:bCs/>
          <w:color w:val="000000"/>
          <w:sz w:val="22"/>
          <w:szCs w:val="22"/>
        </w:rPr>
        <w:t xml:space="preserve">IEEE 802.11be</w:t>
      </w:r>
      <w:r>
        <w:rPr>
          <w:rFonts w:ascii="Arial" w:cs="Arial" w:eastAsia="Arial" w:hAnsi="Arial"/>
          <w:sz w:val="22"/>
          <w:szCs w:val="22"/>
        </w:rPr>
        <w:t xml:space="preserve"> et baptisé </w:t>
      </w:r>
      <w:r>
        <w:rPr>
          <w:rFonts w:ascii="Arial" w:cs="Arial" w:eastAsia="Arial" w:hAnsi="Arial"/>
          <w:b/>
          <w:bCs/>
          <w:color w:val="000000"/>
          <w:sz w:val="22"/>
          <w:szCs w:val="22"/>
        </w:rPr>
        <w:t xml:space="preserve">EHT (« Extremely High Throughput »)</w:t>
      </w:r>
      <w:r>
        <w:rPr>
          <w:rFonts w:ascii="Arial" w:cs="Arial" w:eastAsia="Arial" w:hAnsi="Arial"/>
          <w:sz w:val="22"/>
          <w:szCs w:val="22"/>
        </w:rPr>
        <w:t xml:space="preserve">, est la septième génération du standard Wi-Fi. Il a été certifié par la </w:t>
      </w:r>
      <w:r>
        <w:rPr>
          <w:rFonts w:ascii="Arial" w:cs="Arial" w:eastAsia="Arial" w:hAnsi="Arial"/>
          <w:b/>
          <w:bCs/>
          <w:color w:val="000000"/>
          <w:sz w:val="22"/>
          <w:szCs w:val="22"/>
        </w:rPr>
        <w:t xml:space="preserve">Wi-Fi Alliance en janvier 2024</w:t>
      </w:r>
      <w:r>
        <w:rPr>
          <w:rFonts w:ascii="Arial" w:cs="Arial" w:eastAsia="Arial" w:hAnsi="Arial"/>
          <w:sz w:val="22"/>
          <w:szCs w:val="22"/>
        </w:rPr>
        <w:t xml:space="preserve">, et son standard IEEE a été finalisé en 2025. Il apporte des améliorations majeures sur trois axes : la vitesse, la latence et la gestion simultanée de nombreux appareils.</w:t>
      </w:r>
    </w:p>
    <w:p>
      <w:pPr>
        <w:spacing w:after="0" w:before="40"/>
        <w:ind w:left="720"/>
      </w:pPr>
      <w:r>
        <w:rPr>
          <w:rFonts w:ascii="Arial" w:cs="Arial" w:eastAsia="Arial" w:hAnsi="Arial"/>
          <w:i/>
          <w:iCs/>
          <w:color w:val="595959"/>
          <w:sz w:val="18"/>
          <w:szCs w:val="18"/>
        </w:rPr>
        <w:t xml:space="preserve">ℹ Wi-Fi Alliance, Wi-Fi CERTIFIED 7 — Janvier 2024</w:t>
      </w:r>
    </w:p>
    <w:p>
      <w:pPr>
        <w:spacing w:after="60" w:before="0"/>
        <w:ind w:left="720"/>
      </w:pPr>
      <w:r>
        <w:rPr>
          <w:rFonts w:ascii="Courier New" w:cs="Courier New" w:eastAsia="Courier New" w:hAnsi="Courier New"/>
          <w:color w:val="1155CC"/>
          <w:sz w:val="17"/>
          <w:szCs w:val="17"/>
        </w:rPr>
        <w:t xml:space="preserve">https://www.wi-fi.org/discover-wi-fi/wi-fi-certified-7</w:t>
      </w:r>
    </w:p>
    <w:p>
      <w:pPr>
        <w:spacing w:after="0" w:before="40"/>
        <w:ind w:left="720"/>
      </w:pPr>
      <w:r>
        <w:rPr>
          <w:rFonts w:ascii="Arial" w:cs="Arial" w:eastAsia="Arial" w:hAnsi="Arial"/>
          <w:i/>
          <w:iCs/>
          <w:color w:val="595959"/>
          <w:sz w:val="18"/>
          <w:szCs w:val="18"/>
        </w:rPr>
        <w:t xml:space="preserve">ℹ Digital-Device.eu, « Wi-Fi 7 : l’avenir de la connectivité » — Février 2025</w:t>
      </w:r>
    </w:p>
    <w:p>
      <w:pPr>
        <w:spacing w:after="60" w:before="0"/>
        <w:ind w:left="720"/>
      </w:pPr>
      <w:r>
        <w:rPr>
          <w:rFonts w:ascii="Courier New" w:cs="Courier New" w:eastAsia="Courier New" w:hAnsi="Courier New"/>
          <w:color w:val="1155CC"/>
          <w:sz w:val="17"/>
          <w:szCs w:val="17"/>
        </w:rPr>
        <w:t xml:space="preserve">https://www.digital-device.eu/index.php/2025/02/03/wi-fi-7-lavenir-de-la-connectivite-sans-fil-des-2025/</w:t>
      </w:r>
    </w:p>
    <w:p>
      <w:pPr>
        <w:spacing w:after="0" w:before="40"/>
        <w:ind w:left="720"/>
      </w:pPr>
      <w:r>
        <w:rPr>
          <w:rFonts w:ascii="Arial" w:cs="Arial" w:eastAsia="Arial" w:hAnsi="Arial"/>
          <w:i/>
          <w:iCs/>
          <w:color w:val="595959"/>
          <w:sz w:val="18"/>
          <w:szCs w:val="18"/>
        </w:rPr>
        <w:t xml:space="preserve">ℹ GEEKOM, « Wi-Fi 7 : fonctionnalités clés » — Mars 2025</w:t>
      </w:r>
    </w:p>
    <w:p>
      <w:pPr>
        <w:spacing w:after="60" w:before="0"/>
        <w:ind w:left="720"/>
      </w:pPr>
      <w:r>
        <w:rPr>
          <w:rFonts w:ascii="Courier New" w:cs="Courier New" w:eastAsia="Courier New" w:hAnsi="Courier New"/>
          <w:color w:val="1155CC"/>
          <w:sz w:val="17"/>
          <w:szCs w:val="17"/>
        </w:rPr>
        <w:t xml:space="preserve">https://www.geekom.fr/wifi-7/</w:t>
      </w:r>
    </w:p>
    <w:p>
      <w:pPr>
        <w:spacing w:after="0" w:before="40"/>
        <w:ind w:left="720"/>
      </w:pPr>
      <w:r>
        <w:rPr>
          <w:rFonts w:ascii="Arial" w:cs="Arial" w:eastAsia="Arial" w:hAnsi="Arial"/>
          <w:i/>
          <w:iCs/>
          <w:color w:val="595959"/>
          <w:sz w:val="18"/>
          <w:szCs w:val="18"/>
        </w:rPr>
        <w:t xml:space="preserve">ℹ Ariase, « Wi-Fi 7 : tout savoir » — Mis à jour septembre 2025</w:t>
      </w:r>
    </w:p>
    <w:p>
      <w:pPr>
        <w:spacing w:after="60" w:before="0"/>
        <w:ind w:left="720"/>
      </w:pPr>
      <w:r>
        <w:rPr>
          <w:rFonts w:ascii="Courier New" w:cs="Courier New" w:eastAsia="Courier New" w:hAnsi="Courier New"/>
          <w:color w:val="1155CC"/>
          <w:sz w:val="17"/>
          <w:szCs w:val="17"/>
        </w:rPr>
        <w:t xml:space="preserve">https://www.ariase.com/box/dossiers/wifi-7</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00"/>
            </w:tcMar>
            <w:vAlign w:val="center"/>
          </w:tcPr>
          <w:p>
            <w:pPr>
              <w:spacing w:after="0" w:before="0"/>
            </w:pPr>
            <w:r>
              <w:rPr>
                <w:rFonts w:ascii="Arial" w:cs="Arial" w:eastAsia="Arial" w:hAnsi="Arial"/>
                <w:b/>
                <w:bCs/>
                <w:color w:val="FFFFFF"/>
                <w:sz w:val="22"/>
                <w:szCs w:val="22"/>
              </w:rPr>
              <w:t xml:space="preserve">Octobre 2025</w:t>
            </w:r>
          </w:p>
        </w:tc>
        <w:tc>
          <w:tcPr>
            <w:tcW w:type="dxa" w:w="71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00"/>
            </w:tcMar>
            <w:vAlign w:val="center"/>
          </w:tcPr>
          <w:p>
            <w:pPr>
              <w:spacing w:after="0" w:before="0"/>
            </w:pPr>
            <w:r>
              <w:rPr>
                <w:rFonts w:ascii="Arial" w:cs="Arial" w:eastAsia="Arial" w:hAnsi="Arial"/>
                <w:color w:val="1F4E79"/>
                <w:sz w:val="22"/>
                <w:szCs w:val="22"/>
              </w:rPr>
              <w:t xml:space="preserve">Approfondissement des innovations techniques</w:t>
            </w:r>
          </w:p>
        </w:tc>
      </w:tr>
    </w:tbl>
    <w:p>
      <w:pPr>
        <w:spacing w:after="0" w:before="120"/>
      </w:pPr>
      <w:r>
        <w:t xml:space="preserve"/>
      </w:r>
    </w:p>
    <w:p>
      <w:pPr>
        <w:pStyle w:val="Heading2"/>
        <w:spacing w:after="100" w:before="280"/>
      </w:pPr>
      <w:r>
        <w:rPr>
          <w:rFonts w:ascii="Arial" w:cs="Arial" w:eastAsia="Arial" w:hAnsi="Arial"/>
          <w:b/>
          <w:bCs/>
          <w:color w:val="0070C0"/>
          <w:sz w:val="28"/>
          <w:szCs w:val="28"/>
        </w:rPr>
        <w:t xml:space="preserve">1.2 Innovations techniques majeures</w:t>
      </w:r>
    </w:p>
    <w:p>
      <w:pPr>
        <w:pStyle w:val="Heading3"/>
        <w:spacing w:after="80" w:before="200"/>
      </w:pPr>
      <w:r>
        <w:rPr>
          <w:rFonts w:ascii="Arial" w:cs="Arial" w:eastAsia="Arial" w:hAnsi="Arial"/>
          <w:b/>
          <w:bCs/>
          <w:color w:val="1F4E79"/>
          <w:sz w:val="24"/>
          <w:szCs w:val="24"/>
        </w:rPr>
        <w:t xml:space="preserve">a) Multi-Link Operation (MLO)</w:t>
      </w:r>
    </w:p>
    <w:p>
      <w:pPr>
        <w:spacing w:after="100" w:before="60"/>
      </w:pPr>
      <w:r>
        <w:rPr>
          <w:rFonts w:ascii="Arial" w:cs="Arial" w:eastAsia="Arial" w:hAnsi="Arial"/>
          <w:sz w:val="22"/>
          <w:szCs w:val="22"/>
        </w:rPr>
        <w:t xml:space="preserve">En approfondissant mes recherches, j’ai découvert que la technologie </w:t>
      </w:r>
      <w:r>
        <w:rPr>
          <w:rFonts w:ascii="Arial" w:cs="Arial" w:eastAsia="Arial" w:hAnsi="Arial"/>
          <w:b/>
          <w:bCs/>
          <w:color w:val="000000"/>
          <w:sz w:val="22"/>
          <w:szCs w:val="22"/>
        </w:rPr>
        <w:t xml:space="preserve">MLO (Multi-Link Operation)</w:t>
      </w:r>
      <w:r>
        <w:rPr>
          <w:rFonts w:ascii="Arial" w:cs="Arial" w:eastAsia="Arial" w:hAnsi="Arial"/>
          <w:sz w:val="22"/>
          <w:szCs w:val="22"/>
        </w:rPr>
        <w:t xml:space="preserve"> est l’innovation centrale du Wi-Fi 7. Contrairement aux générations précédentes où un appareil n’utilisait qu’une seule bande à la fois, le MLO permet d’</w:t>
      </w:r>
      <w:r>
        <w:rPr>
          <w:rFonts w:ascii="Arial" w:cs="Arial" w:eastAsia="Arial" w:hAnsi="Arial"/>
          <w:b/>
          <w:bCs/>
          <w:color w:val="000000"/>
          <w:sz w:val="22"/>
          <w:szCs w:val="22"/>
        </w:rPr>
        <w:t xml:space="preserve">exploiter plusieurs bandes simultanément</w:t>
      </w:r>
      <w:r>
        <w:rPr>
          <w:rFonts w:ascii="Arial" w:cs="Arial" w:eastAsia="Arial" w:hAnsi="Arial"/>
          <w:sz w:val="22"/>
          <w:szCs w:val="22"/>
        </w:rPr>
        <w:t xml:space="preserve"> (2,4 GHz + 5 GHz + 6 GHz). Si l’une est saturée, les données passent par les autres. Résultat : connexion stable, latence quasi nulle, débits plus élevés par agrégation.</w:t>
      </w:r>
    </w:p>
    <w:p>
      <w:pPr>
        <w:spacing w:after="0" w:before="40"/>
        <w:ind w:left="720"/>
      </w:pPr>
      <w:r>
        <w:rPr>
          <w:rFonts w:ascii="Arial" w:cs="Arial" w:eastAsia="Arial" w:hAnsi="Arial"/>
          <w:i/>
          <w:iCs/>
          <w:color w:val="595959"/>
          <w:sz w:val="18"/>
          <w:szCs w:val="18"/>
        </w:rPr>
        <w:t xml:space="preserve">ℹ NETGEAR, « WiFi 7 : Multi-Link Operation » — Consulté octobre 2025</w:t>
      </w:r>
    </w:p>
    <w:p>
      <w:pPr>
        <w:spacing w:after="60" w:before="0"/>
        <w:ind w:left="720"/>
      </w:pPr>
      <w:r>
        <w:rPr>
          <w:rFonts w:ascii="Courier New" w:cs="Courier New" w:eastAsia="Courier New" w:hAnsi="Courier New"/>
          <w:color w:val="1155CC"/>
          <w:sz w:val="17"/>
          <w:szCs w:val="17"/>
        </w:rPr>
        <w:t xml:space="preserve">https://www.netgear.com/fr/home/discover/wifi7/</w:t>
      </w:r>
    </w:p>
    <w:p>
      <w:pPr>
        <w:spacing w:after="0" w:before="40"/>
        <w:ind w:left="720"/>
      </w:pPr>
      <w:r>
        <w:rPr>
          <w:rFonts w:ascii="Arial" w:cs="Arial" w:eastAsia="Arial" w:hAnsi="Arial"/>
          <w:i/>
          <w:iCs/>
          <w:color w:val="595959"/>
          <w:sz w:val="18"/>
          <w:szCs w:val="18"/>
        </w:rPr>
        <w:t xml:space="preserve">ℹ LB-LINK, « Wi-Fi 7 : guide 2025 » — Avril 2025</w:t>
      </w:r>
    </w:p>
    <w:p>
      <w:pPr>
        <w:spacing w:after="60" w:before="0"/>
        <w:ind w:left="720"/>
      </w:pPr>
      <w:r>
        <w:rPr>
          <w:rFonts w:ascii="Courier New" w:cs="Courier New" w:eastAsia="Courier New" w:hAnsi="Courier New"/>
          <w:color w:val="1155CC"/>
          <w:sz w:val="17"/>
          <w:szCs w:val="17"/>
        </w:rPr>
        <w:t xml:space="preserve">https://www.lb-link.com/fr/What-is-WiFi-7-The-2025-Guide-to-Speed-Efficiency-Real-World-Applications-id40077316.html</w:t>
      </w:r>
    </w:p>
    <w:p>
      <w:pPr>
        <w:spacing w:after="0" w:before="80"/>
      </w:pPr>
      <w:r>
        <w:t xml:space="preserve"/>
      </w:r>
    </w:p>
    <w:p>
      <w:pPr>
        <w:pStyle w:val="Heading3"/>
        <w:spacing w:after="80" w:before="200"/>
      </w:pPr>
      <w:r>
        <w:rPr>
          <w:rFonts w:ascii="Arial" w:cs="Arial" w:eastAsia="Arial" w:hAnsi="Arial"/>
          <w:b/>
          <w:bCs/>
          <w:color w:val="1F4E79"/>
          <w:sz w:val="24"/>
          <w:szCs w:val="24"/>
        </w:rPr>
        <w:t xml:space="preserve">b) Canaux 320 MHz et modulation 4096-QAM</w:t>
      </w:r>
    </w:p>
    <w:p>
      <w:pPr>
        <w:spacing w:after="100" w:before="60"/>
      </w:pPr>
      <w:r>
        <w:rPr>
          <w:rFonts w:ascii="Arial" w:cs="Arial" w:eastAsia="Arial" w:hAnsi="Arial"/>
          <w:sz w:val="22"/>
          <w:szCs w:val="22"/>
        </w:rPr>
        <w:t xml:space="preserve">Le Wi-Fi 7 double la largeur maximale des canaux sur la bande 6 GHz : de </w:t>
      </w:r>
      <w:r>
        <w:rPr>
          <w:rFonts w:ascii="Arial" w:cs="Arial" w:eastAsia="Arial" w:hAnsi="Arial"/>
          <w:b/>
          <w:bCs/>
          <w:color w:val="000000"/>
          <w:sz w:val="22"/>
          <w:szCs w:val="22"/>
        </w:rPr>
        <w:t xml:space="preserve">160 MHz (Wi-Fi 6)</w:t>
      </w:r>
      <w:r>
        <w:rPr>
          <w:rFonts w:ascii="Arial" w:cs="Arial" w:eastAsia="Arial" w:hAnsi="Arial"/>
          <w:sz w:val="22"/>
          <w:szCs w:val="22"/>
        </w:rPr>
        <w:t xml:space="preserve"> à </w:t>
      </w:r>
      <w:r>
        <w:rPr>
          <w:rFonts w:ascii="Arial" w:cs="Arial" w:eastAsia="Arial" w:hAnsi="Arial"/>
          <w:b/>
          <w:bCs/>
          <w:color w:val="000000"/>
          <w:sz w:val="22"/>
          <w:szCs w:val="22"/>
        </w:rPr>
        <w:t xml:space="preserve">320 MHz</w:t>
      </w:r>
      <w:r>
        <w:rPr>
          <w:rFonts w:ascii="Arial" w:cs="Arial" w:eastAsia="Arial" w:hAnsi="Arial"/>
          <w:sz w:val="22"/>
          <w:szCs w:val="22"/>
        </w:rPr>
        <w:t xml:space="preserve">. Intel et Broadcom résument cela par une métaphore : </w:t>
      </w:r>
      <w:r>
        <w:rPr>
          <w:rFonts w:ascii="Arial" w:cs="Arial" w:eastAsia="Arial" w:hAnsi="Arial"/>
          <w:i/>
          <w:iCs/>
          <w:color w:val="595959"/>
          <w:sz w:val="22"/>
          <w:szCs w:val="22"/>
        </w:rPr>
        <w:t xml:space="preserve">« utiliser un semi-remorque plutôt qu’une camionnette pour déplacer des boîtes »</w:t>
      </w:r>
      <w:r>
        <w:rPr>
          <w:rFonts w:ascii="Arial" w:cs="Arial" w:eastAsia="Arial" w:hAnsi="Arial"/>
          <w:sz w:val="22"/>
          <w:szCs w:val="22"/>
        </w:rPr>
        <w:t xml:space="preserve">. La modulation passe également de 1024-QAM à </w:t>
      </w:r>
      <w:r>
        <w:rPr>
          <w:rFonts w:ascii="Arial" w:cs="Arial" w:eastAsia="Arial" w:hAnsi="Arial"/>
          <w:b/>
          <w:bCs/>
          <w:color w:val="000000"/>
          <w:sz w:val="22"/>
          <w:szCs w:val="22"/>
        </w:rPr>
        <w:t xml:space="preserve">4096-QAM</w:t>
      </w:r>
      <w:r>
        <w:rPr>
          <w:rFonts w:ascii="Arial" w:cs="Arial" w:eastAsia="Arial" w:hAnsi="Arial"/>
          <w:sz w:val="22"/>
          <w:szCs w:val="22"/>
        </w:rPr>
        <w:t xml:space="preserve">, encodant davantage d’informations par cycle de signal (+20 % de débit utile en conditions favorables).</w:t>
      </w:r>
    </w:p>
    <w:p>
      <w:pPr>
        <w:spacing w:after="0" w:before="40"/>
        <w:ind w:left="720"/>
      </w:pPr>
      <w:r>
        <w:rPr>
          <w:rFonts w:ascii="Arial" w:cs="Arial" w:eastAsia="Arial" w:hAnsi="Arial"/>
          <w:i/>
          <w:iCs/>
          <w:color w:val="595959"/>
          <w:sz w:val="18"/>
          <w:szCs w:val="18"/>
        </w:rPr>
        <w:t xml:space="preserve">ℹ Digital-Device.eu, « Wi-Fi 7 » — Février 2025</w:t>
      </w:r>
    </w:p>
    <w:p>
      <w:pPr>
        <w:spacing w:after="60" w:before="0"/>
        <w:ind w:left="720"/>
      </w:pPr>
      <w:r>
        <w:rPr>
          <w:rFonts w:ascii="Courier New" w:cs="Courier New" w:eastAsia="Courier New" w:hAnsi="Courier New"/>
          <w:color w:val="1155CC"/>
          <w:sz w:val="17"/>
          <w:szCs w:val="17"/>
        </w:rPr>
        <w:t xml:space="preserve">https://www.digital-device.eu/index.php/2025/02/03/wi-fi-7-lavenir-de-la-connectivite-sans-fil-des-2025/</w:t>
      </w:r>
    </w:p>
    <w:p>
      <w:pPr>
        <w:spacing w:after="0" w:before="80"/>
      </w:pPr>
      <w:r>
        <w:t xml:space="preserve"/>
      </w:r>
    </w:p>
    <w:p>
      <w:pPr>
        <w:pStyle w:val="Heading3"/>
        <w:spacing w:after="80" w:before="200"/>
      </w:pPr>
      <w:r>
        <w:rPr>
          <w:rFonts w:ascii="Arial" w:cs="Arial" w:eastAsia="Arial" w:hAnsi="Arial"/>
          <w:b/>
          <w:bCs/>
          <w:color w:val="1F4E79"/>
          <w:sz w:val="24"/>
          <w:szCs w:val="24"/>
        </w:rPr>
        <w:t xml:space="preserve">c) Preamble Puncturing</w:t>
      </w:r>
    </w:p>
    <w:p>
      <w:pPr>
        <w:spacing w:after="100" w:before="60"/>
      </w:pPr>
      <w:r>
        <w:rPr>
          <w:rFonts w:ascii="Arial" w:cs="Arial" w:eastAsia="Arial" w:hAnsi="Arial"/>
          <w:sz w:val="22"/>
          <w:szCs w:val="22"/>
        </w:rPr>
        <w:t xml:space="preserve">Le </w:t>
      </w:r>
      <w:r>
        <w:rPr>
          <w:rFonts w:ascii="Arial" w:cs="Arial" w:eastAsia="Arial" w:hAnsi="Arial"/>
          <w:b/>
          <w:bCs/>
          <w:color w:val="000000"/>
          <w:sz w:val="22"/>
          <w:szCs w:val="22"/>
        </w:rPr>
        <w:t xml:space="preserve">Preamble Puncturing</w:t>
      </w:r>
      <w:r>
        <w:rPr>
          <w:rFonts w:ascii="Arial" w:cs="Arial" w:eastAsia="Arial" w:hAnsi="Arial"/>
          <w:sz w:val="22"/>
          <w:szCs w:val="22"/>
        </w:rPr>
        <w:t xml:space="preserve"> permet au Wi-Fi 7 de « découper » la portion d’un canal interféré par un réseau voisin, et de continuer à utiliser le reste. Les versions antérieures abandonnaient le canal entier. En milieu urbain dense, cela améliore considérablement la qualité de connexion.</w:t>
      </w:r>
    </w:p>
    <w:p>
      <w:pPr>
        <w:spacing w:after="0" w:before="40"/>
        <w:ind w:left="720"/>
      </w:pPr>
      <w:r>
        <w:rPr>
          <w:rFonts w:ascii="Arial" w:cs="Arial" w:eastAsia="Arial" w:hAnsi="Arial"/>
          <w:i/>
          <w:iCs/>
          <w:color w:val="595959"/>
          <w:sz w:val="18"/>
          <w:szCs w:val="18"/>
        </w:rPr>
        <w:t xml:space="preserve">ℹ NETGEAR, « Preamble Puncturing » — Consulté octobre 2025</w:t>
      </w:r>
    </w:p>
    <w:p>
      <w:pPr>
        <w:spacing w:after="60" w:before="0"/>
        <w:ind w:left="720"/>
      </w:pPr>
      <w:r>
        <w:rPr>
          <w:rFonts w:ascii="Courier New" w:cs="Courier New" w:eastAsia="Courier New" w:hAnsi="Courier New"/>
          <w:color w:val="1155CC"/>
          <w:sz w:val="17"/>
          <w:szCs w:val="17"/>
        </w:rPr>
        <w:t xml:space="preserve">https://www.netgear.com/fr/home/discover/wifi7/</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00"/>
            </w:tcMar>
            <w:vAlign w:val="center"/>
          </w:tcPr>
          <w:p>
            <w:pPr>
              <w:spacing w:after="0" w:before="0"/>
            </w:pPr>
            <w:r>
              <w:rPr>
                <w:rFonts w:ascii="Arial" w:cs="Arial" w:eastAsia="Arial" w:hAnsi="Arial"/>
                <w:b/>
                <w:bCs/>
                <w:color w:val="FFFFFF"/>
                <w:sz w:val="22"/>
                <w:szCs w:val="22"/>
              </w:rPr>
              <w:t xml:space="preserve">Novembre 2025</w:t>
            </w:r>
          </w:p>
        </w:tc>
        <w:tc>
          <w:tcPr>
            <w:tcW w:type="dxa" w:w="71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00"/>
            </w:tcMar>
            <w:vAlign w:val="center"/>
          </w:tcPr>
          <w:p>
            <w:pPr>
              <w:spacing w:after="0" w:before="0"/>
            </w:pPr>
            <w:r>
              <w:rPr>
                <w:rFonts w:ascii="Arial" w:cs="Arial" w:eastAsia="Arial" w:hAnsi="Arial"/>
                <w:color w:val="1F4E79"/>
                <w:sz w:val="22"/>
                <w:szCs w:val="22"/>
              </w:rPr>
              <w:t xml:space="preserve">Comparatif générations &amp; déploiement en France</w:t>
            </w:r>
          </w:p>
        </w:tc>
      </w:tr>
    </w:tbl>
    <w:p>
      <w:pPr>
        <w:spacing w:after="0" w:before="120"/>
      </w:pPr>
      <w:r>
        <w:t xml:space="preserve"/>
      </w:r>
    </w:p>
    <w:p>
      <w:pPr>
        <w:pStyle w:val="Heading2"/>
        <w:spacing w:after="100" w:before="280"/>
      </w:pPr>
      <w:r>
        <w:rPr>
          <w:rFonts w:ascii="Arial" w:cs="Arial" w:eastAsia="Arial" w:hAnsi="Arial"/>
          <w:b/>
          <w:bCs/>
          <w:color w:val="0070C0"/>
          <w:sz w:val="28"/>
          <w:szCs w:val="28"/>
        </w:rPr>
        <w:t xml:space="preserve">1.3 Comparatif des générations Wi-Fi</w:t>
      </w:r>
    </w:p>
    <w:p>
      <w:pPr>
        <w:spacing w:after="100" w:before="60"/>
      </w:pPr>
      <w:r>
        <w:rPr>
          <w:rFonts w:ascii="Arial" w:cs="Arial" w:eastAsia="Arial" w:hAnsi="Arial"/>
          <w:sz w:val="22"/>
          <w:szCs w:val="22"/>
        </w:rPr>
        <w:t xml:space="preserve">J’ai consolidé mes connaissances en réalisant ce tableau comparatif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jc w:val="center"/>
            </w:pPr>
            <w:r>
              <w:rPr>
                <w:rFonts w:ascii="Arial" w:cs="Arial" w:eastAsia="Arial" w:hAnsi="Arial"/>
                <w:b/>
                <w:bCs/>
                <w:color w:val="FFFFFF"/>
                <w:sz w:val="20"/>
                <w:szCs w:val="20"/>
              </w:rPr>
              <w:t xml:space="preserve">Génération</w:t>
            </w:r>
          </w:p>
        </w:tc>
        <w:tc>
          <w:tcPr>
            <w:tcW w:type="dxa" w:w="1805"/>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jc w:val="center"/>
            </w:pPr>
            <w:r>
              <w:rPr>
                <w:rFonts w:ascii="Arial" w:cs="Arial" w:eastAsia="Arial" w:hAnsi="Arial"/>
                <w:b/>
                <w:bCs/>
                <w:color w:val="FFFFFF"/>
                <w:sz w:val="20"/>
                <w:szCs w:val="20"/>
              </w:rPr>
              <w:t xml:space="preserve">Norme IEEE</w:t>
            </w:r>
          </w:p>
        </w:tc>
        <w:tc>
          <w:tcPr>
            <w:tcW w:type="dxa" w:w="1805"/>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jc w:val="center"/>
            </w:pPr>
            <w:r>
              <w:rPr>
                <w:rFonts w:ascii="Arial" w:cs="Arial" w:eastAsia="Arial" w:hAnsi="Arial"/>
                <w:b/>
                <w:bCs/>
                <w:color w:val="FFFFFF"/>
                <w:sz w:val="20"/>
                <w:szCs w:val="20"/>
              </w:rPr>
              <w:t xml:space="preserve">Débit max. théorique</w:t>
            </w:r>
          </w:p>
        </w:tc>
        <w:tc>
          <w:tcPr>
            <w:tcW w:type="dxa" w:w="1805"/>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jc w:val="center"/>
            </w:pPr>
            <w:r>
              <w:rPr>
                <w:rFonts w:ascii="Arial" w:cs="Arial" w:eastAsia="Arial" w:hAnsi="Arial"/>
                <w:b/>
                <w:bCs/>
                <w:color w:val="FFFFFF"/>
                <w:sz w:val="20"/>
                <w:szCs w:val="20"/>
              </w:rPr>
              <w:t xml:space="preserve">Bandes</w:t>
            </w:r>
          </w:p>
        </w:tc>
        <w:tc>
          <w:tcPr>
            <w:tcW w:type="dxa" w:w="1805"/>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jc w:val="center"/>
            </w:pPr>
            <w:r>
              <w:rPr>
                <w:rFonts w:ascii="Arial" w:cs="Arial" w:eastAsia="Arial" w:hAnsi="Arial"/>
                <w:b/>
                <w:bCs/>
                <w:color w:val="FFFFFF"/>
                <w:sz w:val="20"/>
                <w:szCs w:val="20"/>
              </w:rPr>
              <w:t xml:space="preserve">Modulation</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left"/>
            </w:pPr>
            <w:r>
              <w:rPr>
                <w:rFonts w:ascii="Arial" w:cs="Arial" w:eastAsia="Arial" w:hAnsi="Arial"/>
                <w:b/>
                <w:bCs/>
                <w:color w:val="1F4E79"/>
                <w:sz w:val="20"/>
                <w:szCs w:val="20"/>
              </w:rPr>
              <w:t xml:space="preserve">Wi-Fi 5</w:t>
            </w:r>
          </w:p>
        </w:tc>
        <w:tc>
          <w:tcPr>
            <w:tcW w:type="dxa" w:w="1805"/>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802.11ac</w:t>
            </w:r>
          </w:p>
        </w:tc>
        <w:tc>
          <w:tcPr>
            <w:tcW w:type="dxa" w:w="1805"/>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3,5 Gb/s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5 GHz</w:t>
            </w:r>
          </w:p>
        </w:tc>
        <w:tc>
          <w:tcPr>
            <w:tcW w:type="dxa" w:w="1805"/>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256-QAM</w:t>
            </w:r>
          </w:p>
        </w:tc>
      </w:tr>
      <w:tr>
        <w:tc>
          <w:tcPr>
            <w:tcW w:type="dxa" w:w="1805"/>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left"/>
            </w:pPr>
            <w:r>
              <w:rPr>
                <w:rFonts w:ascii="Arial" w:cs="Arial" w:eastAsia="Arial" w:hAnsi="Arial"/>
                <w:b/>
                <w:bCs/>
                <w:color w:val="1F4E79"/>
                <w:sz w:val="20"/>
                <w:szCs w:val="20"/>
              </w:rPr>
              <w:t xml:space="preserve">Wi-Fi 6</w:t>
            </w:r>
          </w:p>
        </w:tc>
        <w:tc>
          <w:tcPr>
            <w:tcW w:type="dxa" w:w="1805"/>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802.11ax</w:t>
            </w:r>
          </w:p>
        </w:tc>
        <w:tc>
          <w:tcPr>
            <w:tcW w:type="dxa" w:w="1805"/>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9,6 Gb/s</w:t>
            </w:r>
          </w:p>
        </w:tc>
        <w:tc>
          <w:tcPr>
            <w:tcW w:type="dxa" w:w="1805"/>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2,4 / 5 GHz</w:t>
            </w:r>
          </w:p>
        </w:tc>
        <w:tc>
          <w:tcPr>
            <w:tcW w:type="dxa" w:w="1805"/>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1024-QAM</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left"/>
            </w:pPr>
            <w:r>
              <w:rPr>
                <w:rFonts w:ascii="Arial" w:cs="Arial" w:eastAsia="Arial" w:hAnsi="Arial"/>
                <w:b/>
                <w:bCs/>
                <w:color w:val="1F4E79"/>
                <w:sz w:val="20"/>
                <w:szCs w:val="20"/>
              </w:rPr>
              <w:t xml:space="preserve">Wi-Fi 6E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802.11ax</w:t>
            </w:r>
          </w:p>
        </w:tc>
        <w:tc>
          <w:tcPr>
            <w:tcW w:type="dxa" w:w="1805"/>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9,6 Gb/s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2,4 / 5 / 6 GHz</w:t>
            </w:r>
          </w:p>
        </w:tc>
        <w:tc>
          <w:tcPr>
            <w:tcW w:type="dxa" w:w="1805"/>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1024-QAM</w:t>
            </w:r>
          </w:p>
        </w:tc>
      </w:tr>
      <w:tr>
        <w:tc>
          <w:tcPr>
            <w:tcW w:type="dxa" w:w="1805"/>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left"/>
            </w:pPr>
            <w:r>
              <w:rPr>
                <w:rFonts w:ascii="Arial" w:cs="Arial" w:eastAsia="Arial" w:hAnsi="Arial"/>
                <w:b/>
                <w:bCs/>
                <w:color w:val="1F4E79"/>
                <w:sz w:val="20"/>
                <w:szCs w:val="20"/>
              </w:rPr>
              <w:t xml:space="preserve">Wi-Fi 7</w:t>
            </w:r>
          </w:p>
        </w:tc>
        <w:tc>
          <w:tcPr>
            <w:tcW w:type="dxa" w:w="1805"/>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802.11be</w:t>
            </w:r>
          </w:p>
        </w:tc>
        <w:tc>
          <w:tcPr>
            <w:tcW w:type="dxa" w:w="1805"/>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46 Gb/s</w:t>
            </w:r>
          </w:p>
        </w:tc>
        <w:tc>
          <w:tcPr>
            <w:tcW w:type="dxa" w:w="1805"/>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2,4 / 5 / 6 GHz</w:t>
            </w:r>
          </w:p>
        </w:tc>
        <w:tc>
          <w:tcPr>
            <w:tcW w:type="dxa" w:w="1805"/>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4096-QAM</w:t>
            </w:r>
          </w:p>
        </w:tc>
      </w:tr>
    </w:tbl>
    <w:p>
      <w:pPr>
        <w:spacing w:after="0" w:before="80"/>
      </w:pPr>
      <w:r>
        <w:t xml:space="preserve"/>
      </w:r>
    </w:p>
    <w:p>
      <w:pPr>
        <w:spacing w:after="0" w:before="40"/>
        <w:ind w:left="720"/>
      </w:pPr>
      <w:r>
        <w:rPr>
          <w:rFonts w:ascii="Arial" w:cs="Arial" w:eastAsia="Arial" w:hAnsi="Arial"/>
          <w:i/>
          <w:iCs/>
          <w:color w:val="595959"/>
          <w:sz w:val="18"/>
          <w:szCs w:val="18"/>
        </w:rPr>
        <w:t xml:space="preserve">ℹ LB-LINK, « Wi-Fi 7 : guide 2025 » — Avril 2025</w:t>
      </w:r>
    </w:p>
    <w:p>
      <w:pPr>
        <w:spacing w:after="60" w:before="0"/>
        <w:ind w:left="720"/>
      </w:pPr>
      <w:r>
        <w:rPr>
          <w:rFonts w:ascii="Courier New" w:cs="Courier New" w:eastAsia="Courier New" w:hAnsi="Courier New"/>
          <w:color w:val="1155CC"/>
          <w:sz w:val="17"/>
          <w:szCs w:val="17"/>
        </w:rPr>
        <w:t xml:space="preserve">https://www.lb-link.com/fr/What-is-WiFi-7-The-2025-Guide-to-Speed-Efficiency-Real-World-Applications-id40077316.html</w:t>
      </w:r>
    </w:p>
    <w:p>
      <w:pPr>
        <w:spacing w:after="0" w:before="80"/>
      </w:pPr>
      <w:r>
        <w:t xml:space="preserve"/>
      </w:r>
    </w:p>
    <w:p>
      <w:pPr>
        <w:pStyle w:val="Heading2"/>
        <w:spacing w:after="100" w:before="280"/>
      </w:pPr>
      <w:r>
        <w:rPr>
          <w:rFonts w:ascii="Arial" w:cs="Arial" w:eastAsia="Arial" w:hAnsi="Arial"/>
          <w:b/>
          <w:bCs/>
          <w:color w:val="0070C0"/>
          <w:sz w:val="28"/>
          <w:szCs w:val="28"/>
        </w:rPr>
        <w:t xml:space="preserve">1.4 Déploiement en France</w:t>
      </w:r>
    </w:p>
    <w:p>
      <w:pPr>
        <w:spacing w:after="100" w:before="60"/>
      </w:pPr>
      <w:r>
        <w:rPr>
          <w:rFonts w:ascii="Arial" w:cs="Arial" w:eastAsia="Arial" w:hAnsi="Arial"/>
          <w:sz w:val="22"/>
          <w:szCs w:val="22"/>
        </w:rPr>
        <w:t xml:space="preserve">En France, le Wi-Fi 7 a été autorisé fin 2023. En novembre 2025, j’ai constaté que plusieurs opérateurs proposaient déjà des offres compatibles :</w:t>
      </w:r>
    </w:p>
    <w:p>
      <w:pPr>
        <w:pStyle w:val="ListParagraph"/>
        <w:numPr>
          <w:ilvl w:val="0"/>
          <w:numId w:val="2"/>
        </w:numPr>
        <w:spacing w:after="40" w:before="40"/>
      </w:pPr>
      <w:r>
        <w:rPr>
          <w:rFonts w:ascii="Arial" w:cs="Arial" w:eastAsia="Arial" w:hAnsi="Arial"/>
          <w:b/>
          <w:bCs/>
          <w:color w:val="000000"/>
          <w:sz w:val="22"/>
          <w:szCs w:val="22"/>
        </w:rPr>
        <w:t xml:space="preserve">Free — Freebox Ultra : </w:t>
      </w:r>
      <w:r>
        <w:rPr>
          <w:rFonts w:ascii="Arial" w:cs="Arial" w:eastAsia="Arial" w:hAnsi="Arial"/>
          <w:sz w:val="22"/>
          <w:szCs w:val="22"/>
        </w:rPr>
        <w:t xml:space="preserve">premier opérateur français, lancé en janvier 2024.</w:t>
      </w:r>
    </w:p>
    <w:p>
      <w:pPr>
        <w:pStyle w:val="ListParagraph"/>
        <w:numPr>
          <w:ilvl w:val="0"/>
          <w:numId w:val="2"/>
        </w:numPr>
        <w:spacing w:after="40" w:before="40"/>
      </w:pPr>
      <w:r>
        <w:rPr>
          <w:rFonts w:ascii="Arial" w:cs="Arial" w:eastAsia="Arial" w:hAnsi="Arial"/>
          <w:b/>
          <w:bCs/>
          <w:color w:val="000000"/>
          <w:sz w:val="22"/>
          <w:szCs w:val="22"/>
        </w:rPr>
        <w:t xml:space="preserve">Bouygues — Bbox Ultym &amp; B&amp;YOU Pure : </w:t>
      </w:r>
      <w:r>
        <w:rPr>
          <w:rFonts w:ascii="Arial" w:cs="Arial" w:eastAsia="Arial" w:hAnsi="Arial"/>
          <w:sz w:val="22"/>
          <w:szCs w:val="22"/>
        </w:rPr>
        <w:t xml:space="preserve">Wi-Fi 7 disponible depuis 2024.</w:t>
      </w:r>
    </w:p>
    <w:p>
      <w:pPr>
        <w:pStyle w:val="ListParagraph"/>
        <w:numPr>
          <w:ilvl w:val="0"/>
          <w:numId w:val="2"/>
        </w:numPr>
        <w:spacing w:after="40" w:before="40"/>
      </w:pPr>
      <w:r>
        <w:rPr>
          <w:rFonts w:ascii="Arial" w:cs="Arial" w:eastAsia="Arial" w:hAnsi="Arial"/>
          <w:b/>
          <w:bCs/>
          <w:color w:val="000000"/>
          <w:sz w:val="22"/>
          <w:szCs w:val="22"/>
        </w:rPr>
        <w:t xml:space="preserve">SFR — Box 10+ (offre Premium) : </w:t>
      </w:r>
      <w:r>
        <w:rPr>
          <w:rFonts w:ascii="Arial" w:cs="Arial" w:eastAsia="Arial" w:hAnsi="Arial"/>
          <w:sz w:val="22"/>
          <w:szCs w:val="22"/>
        </w:rPr>
        <w:t xml:space="preserve">Wi-Fi 7 intégré depuis 2024.</w:t>
      </w:r>
    </w:p>
    <w:p>
      <w:pPr>
        <w:pStyle w:val="ListParagraph"/>
        <w:numPr>
          <w:ilvl w:val="0"/>
          <w:numId w:val="2"/>
        </w:numPr>
        <w:spacing w:after="40" w:before="40"/>
      </w:pPr>
      <w:r>
        <w:rPr>
          <w:rFonts w:ascii="Arial" w:cs="Arial" w:eastAsia="Arial" w:hAnsi="Arial"/>
          <w:b/>
          <w:bCs/>
          <w:color w:val="000000"/>
          <w:sz w:val="22"/>
          <w:szCs w:val="22"/>
        </w:rPr>
        <w:t xml:space="preserve">Orange : </w:t>
      </w:r>
      <w:r>
        <w:rPr>
          <w:rFonts w:ascii="Arial" w:cs="Arial" w:eastAsia="Arial" w:hAnsi="Arial"/>
          <w:sz w:val="22"/>
          <w:szCs w:val="22"/>
        </w:rPr>
        <w:t xml:space="preserve">mise à jour Wi-Fi 7 de la Livebox 7 annoncée pour 2025.</w:t>
      </w:r>
    </w:p>
    <w:p>
      <w:pPr>
        <w:spacing w:after="0" w:before="80"/>
      </w:pPr>
      <w:r>
        <w:t xml:space="preserve"/>
      </w:r>
    </w:p>
    <w:p>
      <w:pPr>
        <w:spacing w:after="0" w:before="40"/>
        <w:ind w:left="720"/>
      </w:pPr>
      <w:r>
        <w:rPr>
          <w:rFonts w:ascii="Arial" w:cs="Arial" w:eastAsia="Arial" w:hAnsi="Arial"/>
          <w:i/>
          <w:iCs/>
          <w:color w:val="595959"/>
          <w:sz w:val="18"/>
          <w:szCs w:val="18"/>
        </w:rPr>
        <w:t xml:space="preserve">ℹ Choisir.com, « Arrivée du Wi-Fi 7 en 2025 » — Novembre 2025</w:t>
      </w:r>
    </w:p>
    <w:p>
      <w:pPr>
        <w:spacing w:after="60" w:before="0"/>
        <w:ind w:left="720"/>
      </w:pPr>
      <w:r>
        <w:rPr>
          <w:rFonts w:ascii="Courier New" w:cs="Courier New" w:eastAsia="Courier New" w:hAnsi="Courier New"/>
          <w:color w:val="1155CC"/>
          <w:sz w:val="17"/>
          <w:szCs w:val="17"/>
        </w:rPr>
        <w:t xml:space="preserve">https://www.choisir.com/box-internet/articles/216482/arrivee-du-wi-fi-7-en-2025-ou-en-sommes-nous-vraiment</w:t>
      </w:r>
    </w:p>
    <w:p>
      <w:pPr>
        <w:spacing w:after="0" w:before="40"/>
        <w:ind w:left="720"/>
      </w:pPr>
      <w:r>
        <w:rPr>
          <w:rFonts w:ascii="Arial" w:cs="Arial" w:eastAsia="Arial" w:hAnsi="Arial"/>
          <w:i/>
          <w:iCs/>
          <w:color w:val="595959"/>
          <w:sz w:val="18"/>
          <w:szCs w:val="18"/>
        </w:rPr>
        <w:t xml:space="preserve">ℹ Ariase, « Quelle box permet d’avoir le Wi-Fi 7 » — Mis à jour septembre 2025</w:t>
      </w:r>
    </w:p>
    <w:p>
      <w:pPr>
        <w:spacing w:after="60" w:before="0"/>
        <w:ind w:left="720"/>
      </w:pPr>
      <w:r>
        <w:rPr>
          <w:rFonts w:ascii="Courier New" w:cs="Courier New" w:eastAsia="Courier New" w:hAnsi="Courier New"/>
          <w:color w:val="1155CC"/>
          <w:sz w:val="17"/>
          <w:szCs w:val="17"/>
        </w:rPr>
        <w:t xml:space="preserve">https://www.ariase.com/box/dossiers/wifi-7</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00"/>
            </w:tcMar>
            <w:vAlign w:val="center"/>
          </w:tcPr>
          <w:p>
            <w:pPr>
              <w:spacing w:after="0" w:before="0"/>
            </w:pPr>
            <w:r>
              <w:rPr>
                <w:rFonts w:ascii="Arial" w:cs="Arial" w:eastAsia="Arial" w:hAnsi="Arial"/>
                <w:b/>
                <w:bCs/>
                <w:color w:val="FFFFFF"/>
                <w:sz w:val="22"/>
                <w:szCs w:val="22"/>
              </w:rPr>
              <w:t xml:space="preserve">Décembre 2025 – Janvier 2026</w:t>
            </w:r>
          </w:p>
        </w:tc>
        <w:tc>
          <w:tcPr>
            <w:tcW w:type="dxa" w:w="71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00"/>
            </w:tcMar>
            <w:vAlign w:val="center"/>
          </w:tcPr>
          <w:p>
            <w:pPr>
              <w:spacing w:after="0" w:before="0"/>
            </w:pPr>
            <w:r>
              <w:rPr>
                <w:rFonts w:ascii="Arial" w:cs="Arial" w:eastAsia="Arial" w:hAnsi="Arial"/>
                <w:color w:val="1F4E79"/>
                <w:sz w:val="22"/>
                <w:szCs w:val="22"/>
              </w:rPr>
              <w:t xml:space="preserve">Usages professionnels, limites et appareils compatibles</w:t>
            </w:r>
          </w:p>
        </w:tc>
      </w:tr>
    </w:tbl>
    <w:p>
      <w:pPr>
        <w:spacing w:after="0" w:before="120"/>
      </w:pPr>
      <w:r>
        <w:t xml:space="preserve"/>
      </w:r>
    </w:p>
    <w:p>
      <w:pPr>
        <w:pStyle w:val="Heading2"/>
        <w:spacing w:after="100" w:before="280"/>
      </w:pPr>
      <w:r>
        <w:rPr>
          <w:rFonts w:ascii="Arial" w:cs="Arial" w:eastAsia="Arial" w:hAnsi="Arial"/>
          <w:b/>
          <w:bCs/>
          <w:color w:val="0070C0"/>
          <w:sz w:val="28"/>
          <w:szCs w:val="28"/>
        </w:rPr>
        <w:t xml:space="preserve">1.5 Usages professionnels et limites</w:t>
      </w:r>
    </w:p>
    <w:p>
      <w:pPr>
        <w:spacing w:after="100" w:before="60"/>
      </w:pPr>
      <w:r>
        <w:rPr>
          <w:rFonts w:ascii="Arial" w:cs="Arial" w:eastAsia="Arial" w:hAnsi="Arial"/>
          <w:sz w:val="22"/>
          <w:szCs w:val="22"/>
        </w:rPr>
        <w:t xml:space="preserve">J’ai exploré les cas d’usage concrets du Wi-Fi 7 :</w:t>
      </w:r>
    </w:p>
    <w:p>
      <w:pPr>
        <w:pStyle w:val="ListParagraph"/>
        <w:numPr>
          <w:ilvl w:val="0"/>
          <w:numId w:val="2"/>
        </w:numPr>
        <w:spacing w:after="40" w:before="40"/>
      </w:pPr>
      <w:r>
        <w:rPr>
          <w:rFonts w:ascii="Arial" w:cs="Arial" w:eastAsia="Arial" w:hAnsi="Arial"/>
          <w:b/>
          <w:bCs/>
          <w:color w:val="000000"/>
          <w:sz w:val="22"/>
          <w:szCs w:val="22"/>
        </w:rPr>
        <w:t xml:space="preserve">Streaming 8K et réalité virtuelle : </w:t>
      </w:r>
      <w:r>
        <w:rPr>
          <w:rFonts w:ascii="Arial" w:cs="Arial" w:eastAsia="Arial" w:hAnsi="Arial"/>
          <w:sz w:val="22"/>
          <w:szCs w:val="22"/>
        </w:rPr>
        <w:t xml:space="preserve">débits réels jusqu’à 3,8 Gb/s mesurés.</w:t>
      </w:r>
    </w:p>
    <w:p>
      <w:pPr>
        <w:pStyle w:val="ListParagraph"/>
        <w:numPr>
          <w:ilvl w:val="0"/>
          <w:numId w:val="2"/>
        </w:numPr>
        <w:spacing w:after="40" w:before="40"/>
      </w:pPr>
      <w:r>
        <w:rPr>
          <w:rFonts w:ascii="Arial" w:cs="Arial" w:eastAsia="Arial" w:hAnsi="Arial"/>
          <w:b/>
          <w:bCs/>
          <w:color w:val="000000"/>
          <w:sz w:val="22"/>
          <w:szCs w:val="22"/>
        </w:rPr>
        <w:t xml:space="preserve">Gaming compétitif : </w:t>
      </w:r>
      <w:r>
        <w:rPr>
          <w:rFonts w:ascii="Arial" w:cs="Arial" w:eastAsia="Arial" w:hAnsi="Arial"/>
          <w:sz w:val="22"/>
          <w:szCs w:val="22"/>
        </w:rPr>
        <w:t xml:space="preserve">latence quasi nulle grâce au MLO.</w:t>
      </w:r>
    </w:p>
    <w:p>
      <w:pPr>
        <w:pStyle w:val="ListParagraph"/>
        <w:numPr>
          <w:ilvl w:val="0"/>
          <w:numId w:val="2"/>
        </w:numPr>
        <w:spacing w:after="40" w:before="40"/>
      </w:pPr>
      <w:r>
        <w:rPr>
          <w:rFonts w:ascii="Arial" w:cs="Arial" w:eastAsia="Arial" w:hAnsi="Arial"/>
          <w:b/>
          <w:bCs/>
          <w:color w:val="000000"/>
          <w:sz w:val="22"/>
          <w:szCs w:val="22"/>
        </w:rPr>
        <w:t xml:space="preserve">Environnements denses : </w:t>
      </w:r>
      <w:r>
        <w:rPr>
          <w:rFonts w:ascii="Arial" w:cs="Arial" w:eastAsia="Arial" w:hAnsi="Arial"/>
          <w:sz w:val="22"/>
          <w:szCs w:val="22"/>
        </w:rPr>
        <w:t xml:space="preserve">aéroports, stades, open spaces — stable pour des centaines d’appareils.</w:t>
      </w:r>
    </w:p>
    <w:p>
      <w:pPr>
        <w:pStyle w:val="ListParagraph"/>
        <w:numPr>
          <w:ilvl w:val="0"/>
          <w:numId w:val="2"/>
        </w:numPr>
        <w:spacing w:after="40" w:before="40"/>
      </w:pPr>
      <w:r>
        <w:rPr>
          <w:rFonts w:ascii="Arial" w:cs="Arial" w:eastAsia="Arial" w:hAnsi="Arial"/>
          <w:b/>
          <w:bCs/>
          <w:color w:val="000000"/>
          <w:sz w:val="22"/>
          <w:szCs w:val="22"/>
        </w:rPr>
        <w:t xml:space="preserve">Santé &amp; IoT : </w:t>
      </w:r>
      <w:r>
        <w:rPr>
          <w:rFonts w:ascii="Arial" w:cs="Arial" w:eastAsia="Arial" w:hAnsi="Arial"/>
          <w:sz w:val="22"/>
          <w:szCs w:val="22"/>
        </w:rPr>
        <w:t xml:space="preserve">efficacité énergétique améliorée pour capteurs médicaux et industriels.</w:t>
      </w:r>
    </w:p>
    <w:p>
      <w:pPr>
        <w:pStyle w:val="ListParagraph"/>
        <w:numPr>
          <w:ilvl w:val="0"/>
          <w:numId w:val="2"/>
        </w:numPr>
        <w:spacing w:after="40" w:before="40"/>
      </w:pPr>
      <w:r>
        <w:rPr>
          <w:rFonts w:ascii="Arial" w:cs="Arial" w:eastAsia="Arial" w:hAnsi="Arial"/>
          <w:b/>
          <w:bCs/>
          <w:color w:val="000000"/>
          <w:sz w:val="22"/>
          <w:szCs w:val="22"/>
        </w:rPr>
        <w:t xml:space="preserve">Appareils compatibles : </w:t>
      </w:r>
      <w:r>
        <w:rPr>
          <w:rFonts w:ascii="Arial" w:cs="Arial" w:eastAsia="Arial" w:hAnsi="Arial"/>
          <w:sz w:val="22"/>
          <w:szCs w:val="22"/>
        </w:rPr>
        <w:t xml:space="preserve">Samsung Galaxy S24+, iPhone 16, PC avec puce Intel Wi-Fi 7 BE200. Un appareil non compatible se connecte en Wi-Fi 5 ou 6 seulement.</w:t>
      </w:r>
    </w:p>
    <w:p>
      <w:pPr>
        <w:spacing w:after="0" w:before="80"/>
      </w:pPr>
      <w:r>
        <w:t xml:space="preserve"/>
      </w:r>
    </w:p>
    <w:p>
      <w:pPr>
        <w:spacing w:after="0" w:before="40"/>
        <w:ind w:left="720"/>
      </w:pPr>
      <w:r>
        <w:rPr>
          <w:rFonts w:ascii="Arial" w:cs="Arial" w:eastAsia="Arial" w:hAnsi="Arial"/>
          <w:i/>
          <w:iCs/>
          <w:color w:val="595959"/>
          <w:sz w:val="18"/>
          <w:szCs w:val="18"/>
        </w:rPr>
        <w:t xml:space="preserve">ℹ LB-LINK, « Applications réelles du Wi-Fi 7 » — Avril 2025</w:t>
      </w:r>
    </w:p>
    <w:p>
      <w:pPr>
        <w:spacing w:after="60" w:before="0"/>
        <w:ind w:left="720"/>
      </w:pPr>
      <w:r>
        <w:rPr>
          <w:rFonts w:ascii="Courier New" w:cs="Courier New" w:eastAsia="Courier New" w:hAnsi="Courier New"/>
          <w:color w:val="1155CC"/>
          <w:sz w:val="17"/>
          <w:szCs w:val="17"/>
        </w:rPr>
        <w:t xml:space="preserve">https://www.lb-link.com/fr/What-is-WiFi-7-The-2025-Guide-to-Speed-Efficiency-Real-World-Applications-id40077316.html</w:t>
      </w:r>
    </w:p>
    <w:p>
      <w:pPr>
        <w:spacing w:after="0" w:before="40"/>
        <w:ind w:left="720"/>
      </w:pPr>
      <w:r>
        <w:rPr>
          <w:rFonts w:ascii="Arial" w:cs="Arial" w:eastAsia="Arial" w:hAnsi="Arial"/>
          <w:i/>
          <w:iCs/>
          <w:color w:val="595959"/>
          <w:sz w:val="18"/>
          <w:szCs w:val="18"/>
        </w:rPr>
        <w:t xml:space="preserve">ℹ NETGEAR, « WiFi 7 : usages et compatibilité » — Consulté janvier 2026</w:t>
      </w:r>
    </w:p>
    <w:p>
      <w:pPr>
        <w:spacing w:after="60" w:before="0"/>
        <w:ind w:left="720"/>
      </w:pPr>
      <w:r>
        <w:rPr>
          <w:rFonts w:ascii="Courier New" w:cs="Courier New" w:eastAsia="Courier New" w:hAnsi="Courier New"/>
          <w:color w:val="1155CC"/>
          <w:sz w:val="17"/>
          <w:szCs w:val="17"/>
        </w:rPr>
        <w:t xml:space="preserve">https://www.netgear.com/fr/home/discover/wifi7/</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1"/>
              <w:left w:val="thick" w:color="C55A11" w:sz="12"/>
              <w:bottom w:val="single" w:color="C55A11" w:sz="1"/>
              <w:right w:val="single" w:color="C55A11" w:sz="1"/>
            </w:tcBorders>
            <w:shd w:fill="FCE4D6" w:val="clear"/>
            <w:tcMar>
              <w:top w:type="dxa" w:w="100"/>
              <w:left w:type="dxa" w:w="180"/>
              <w:bottom w:type="dxa" w:w="100"/>
              <w:right w:type="dxa" w:w="120"/>
            </w:tcMar>
          </w:tcPr>
          <w:p>
            <w:pPr>
              <w:spacing w:after="40" w:before="0"/>
            </w:pPr>
            <w:r>
              <w:rPr>
                <w:rFonts w:ascii="Arial" w:cs="Arial" w:eastAsia="Arial" w:hAnsi="Arial"/>
                <w:b/>
                <w:bCs/>
                <w:color w:val="C55A11"/>
                <w:sz w:val="22"/>
                <w:szCs w:val="22"/>
              </w:rPr>
              <w:t xml:space="preserve">⚠  Limites à retenir</w:t>
            </w:r>
          </w:p>
          <w:p>
            <w:pPr>
              <w:spacing w:after="0" w:before="0"/>
            </w:pPr>
            <w:r>
              <w:rPr>
                <w:rFonts w:ascii="Arial" w:cs="Arial" w:eastAsia="Arial" w:hAnsi="Arial"/>
                <w:color w:val="4D3800"/>
                <w:sz w:val="20"/>
                <w:szCs w:val="20"/>
              </w:rPr>
              <w:t xml:space="preserve">Coût matériel élevé — Compatibilité encore limitée des appareils — Nécessite une offre fibre multi-gigabit — Le Wi-Fi 6/6E reste un excellent choix pour la majorité des usages actuels. Adoption massive attendue après 2026.</w:t>
            </w:r>
          </w:p>
        </w:tc>
      </w:tr>
    </w:tbl>
    <w:p>
      <w:pPr>
        <w:spacing w:after="0" w:before="80"/>
      </w:pPr>
      <w:r>
        <w:t xml:space="preserve"/>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shd w:fill="1F4E79" w:val="clear"/>
            <w:tcMar>
              <w:top w:type="dxa" w:w="80"/>
              <w:left w:type="dxa" w:w="100"/>
              <w:bottom w:type="dxa" w:w="80"/>
              <w:right w:type="dxa" w:w="100"/>
            </w:tcMar>
          </w:tcPr>
          <w:p>
            <w:pPr>
              <w:spacing w:after="0" w:before="0"/>
              <w:jc w:val="center"/>
            </w:pPr>
            <w:r>
              <w:rPr>
                <w:rFonts w:ascii="Arial" w:cs="Arial" w:eastAsia="Arial" w:hAnsi="Arial"/>
                <w:b/>
                <w:bCs/>
                <w:color w:val="FFFFFF"/>
                <w:sz w:val="20"/>
                <w:szCs w:val="20"/>
              </w:rPr>
              <w:t xml:space="preserve">Février – Mai 2026</w:t>
            </w:r>
          </w:p>
        </w:tc>
        <w:tc>
          <w:tcPr>
            <w:tcW w:type="dxa" w:w="7126"/>
            <w:shd w:fill="D6E4F0" w:val="clear"/>
            <w:tcMar>
              <w:top w:type="dxa" w:w="80"/>
              <w:left w:type="dxa" w:w="100"/>
              <w:bottom w:type="dxa" w:w="80"/>
              <w:right w:type="dxa" w:w="100"/>
            </w:tcMar>
          </w:tcPr>
          <w:p>
            <w:pPr>
              <w:spacing w:after="0" w:before="0"/>
            </w:pPr>
            <w:r>
              <w:rPr>
                <w:rFonts w:ascii="Arial" w:cs="Arial" w:eastAsia="Arial" w:hAnsi="Arial"/>
                <w:b/>
                <w:bCs/>
                <w:sz w:val="20"/>
                <w:szCs w:val="20"/>
              </w:rPr>
              <w:t xml:space="preserve">Bilan 2026 — état du déploiement &amp; nouvelles compatibilités</w:t>
            </w:r>
          </w:p>
        </w:tc>
      </w:tr>
    </w:tbl>
    <w:p>
      <w:pPr>
        <w:pStyle w:val="Heading2"/>
        <w:spacing w:after="100" w:before="280"/>
      </w:pPr>
      <w:r>
        <w:rPr>
          <w:rFonts w:ascii="Arial" w:cs="Arial" w:eastAsia="Arial" w:hAnsi="Arial"/>
          <w:b/>
          <w:bCs/>
          <w:color w:val="0070C0"/>
          <w:sz w:val="28"/>
          <w:szCs w:val="28"/>
        </w:rPr>
        <w:t xml:space="preserve">1.6 Wi-Fi 7 en 2026 : déploiement généralisé et nouveaux appareils</w:t>
      </w:r>
    </w:p>
    <w:p>
      <w:pPr>
        <w:spacing w:after="100" w:before="60"/>
      </w:pPr>
      <w:r>
        <w:rPr>
          <w:rFonts w:ascii="Arial" w:cs="Arial" w:eastAsia="Arial" w:hAnsi="Arial"/>
          <w:sz w:val="22"/>
          <w:szCs w:val="22"/>
        </w:rPr>
        <w:t xml:space="preserve">En février 2026, j’ai constaté que le Wi-Fi 7 avait franchi un cap majeur : il n’est plus une technologie émergente mais le nouveau standard pour les projets de connectivité haute performance. En France, la quasi-totalité des box fibre moyen et haut de gamme intègrent désormais la norme, avec des débits réels pouvant atteindre 6 à 8 Gb/s sur la bande 6 GHz. Les réseaux XGS-PON (10 Gb/s symétriques) déployés massivement par les FAI depuis fin 2025 permettent d’exploiter pleinement ces performances.</w:t>
      </w:r>
    </w:p>
    <w:p>
      <w:pPr>
        <w:pStyle w:val="Heading3"/>
        <w:spacing w:after="80" w:before="200"/>
      </w:pPr>
      <w:r>
        <w:rPr>
          <w:rFonts w:ascii="Arial" w:cs="Arial" w:eastAsia="Arial" w:hAnsi="Arial"/>
          <w:b/>
          <w:bCs/>
          <w:color w:val="1F4E79"/>
          <w:sz w:val="24"/>
          <w:szCs w:val="24"/>
        </w:rPr>
        <w:t xml:space="preserve">a) Nouveaux appareils compatibles Wi-Fi 7 (2026)</w:t>
      </w:r>
    </w:p>
    <w:p>
      <w:pPr>
        <w:spacing w:after="100" w:before="60"/>
      </w:pPr>
      <w:r>
        <w:rPr>
          <w:rFonts w:ascii="Arial" w:cs="Arial" w:eastAsia="Arial" w:hAnsi="Arial"/>
          <w:sz w:val="22"/>
          <w:szCs w:val="22"/>
        </w:rPr>
        <w:t xml:space="preserve">Le parc d’appareils compatibles Wi-Fi 7 s’est considérablement élargi en 2026. Côté smartphones, la série Samsung Galaxy S26 exploite le MLO de façon native, et toutes les gammes iPhone 16 et iPhone 17 (2025) supportent la norme, grâce à la nouvelle puce Apple N1 conçue en interne pour gérer le Wi-Fi et le Bluetooth. Le MacBook Air M5, commercialisé depuis mars 2026, est également Wi-Fi 7. Google Pixel 10 utilise la faible latence du Wi-Fi 7 pour optimiser ses requêtes vers l’IA Gemini. À noter : certains appareils récents comme l’iPhone 17e ou l’iPad mini restent limités au Wi-Fi 6E.</w:t>
      </w:r>
    </w:p>
    <w:p>
      <w:pPr>
        <w:pStyle w:val="Heading3"/>
        <w:spacing w:after="80" w:before="200"/>
      </w:pPr>
      <w:r>
        <w:rPr>
          <w:rFonts w:ascii="Arial" w:cs="Arial" w:eastAsia="Arial" w:hAnsi="Arial"/>
          <w:b/>
          <w:bCs/>
          <w:color w:val="1F4E79"/>
          <w:sz w:val="24"/>
          <w:szCs w:val="24"/>
        </w:rPr>
        <w:t xml:space="preserve">b) Wi-Fi 7 en entreprise : exigences et limites pratiques</w:t>
      </w:r>
    </w:p>
    <w:p>
      <w:pPr>
        <w:spacing w:after="100" w:before="60"/>
      </w:pPr>
      <w:r>
        <w:rPr>
          <w:rFonts w:ascii="Arial" w:cs="Arial" w:eastAsia="Arial" w:hAnsi="Arial"/>
          <w:sz w:val="22"/>
          <w:szCs w:val="22"/>
        </w:rPr>
        <w:t xml:space="preserve">En environnement professionnel (campus, open spaces, centres de soins), les débits observés se situent entre 1 et 5 Gb/s selon la configuration. Le Wi-Fi 7 généralise le chiffrement WPA3, ce qui simplifie la mise en conformité des accès sans fil pour les organisations certifiées ISO 27001. En revanche, les points d’accès Wi-Fi 7 requièrent souvent du PoE+ ou PoE++ (consommation énergétique accrue). Les entreprises ayant récemment déployé du Wi-Fi 6E n’ont généralement pas intérêt à migrer immédiatement.</w:t>
      </w:r>
    </w:p>
    <w:p>
      <w:pPr>
        <w:spacing w:after="0" w:before="40"/>
        <w:ind w:left="720"/>
      </w:pPr>
      <w:r>
        <w:rPr>
          <w:rFonts w:ascii="Arial" w:cs="Arial" w:eastAsia="Arial" w:hAnsi="Arial"/>
          <w:i/>
          <w:iCs/>
          <w:color w:val="595959"/>
          <w:sz w:val="18"/>
          <w:szCs w:val="18"/>
        </w:rPr>
        <w:t xml:space="preserve">ℹ Cachem, « Wi-Fi 7 : faut-il vraiment passer à la nouvelle norme ? » — Avril 2026</w:t>
      </w:r>
    </w:p>
    <w:p>
      <w:pPr>
        <w:spacing w:after="60" w:before="0"/>
        <w:ind w:left="720"/>
      </w:pPr>
      <w:r>
        <w:rPr>
          <w:rFonts w:ascii="Courier New" w:cs="Courier New" w:eastAsia="Courier New" w:hAnsi="Courier New"/>
          <w:color w:val="1155CC"/>
          <w:sz w:val="17"/>
          <w:szCs w:val="17"/>
        </w:rPr>
        <w:t xml:space="preserve">https://www.cachem.fr/wifi-7-2026/</w:t>
      </w:r>
    </w:p>
    <w:p>
      <w:pPr>
        <w:spacing w:after="0" w:before="40"/>
        <w:ind w:left="720"/>
      </w:pPr>
      <w:r>
        <w:rPr>
          <w:rFonts w:ascii="Arial" w:cs="Arial" w:eastAsia="Arial" w:hAnsi="Arial"/>
          <w:i/>
          <w:iCs/>
          <w:color w:val="595959"/>
          <w:sz w:val="18"/>
          <w:szCs w:val="18"/>
        </w:rPr>
        <w:t xml:space="preserve">ℹ Wifirst, « Tout savoir sur le WiFi 7 » — Février 2026</w:t>
      </w:r>
    </w:p>
    <w:p>
      <w:pPr>
        <w:spacing w:after="60" w:before="0"/>
        <w:ind w:left="720"/>
      </w:pPr>
      <w:r>
        <w:rPr>
          <w:rFonts w:ascii="Courier New" w:cs="Courier New" w:eastAsia="Courier New" w:hAnsi="Courier New"/>
          <w:color w:val="1155CC"/>
          <w:sz w:val="17"/>
          <w:szCs w:val="17"/>
        </w:rPr>
        <w:t xml:space="preserve">https://www.wifirst.com/fr/blog/tout-savoir-sur-le-wifi-7</w:t>
      </w:r>
    </w:p>
    <w:p>
      <w:pPr>
        <w:spacing w:after="0" w:before="40"/>
        <w:ind w:left="720"/>
      </w:pPr>
      <w:r>
        <w:rPr>
          <w:rFonts w:ascii="Arial" w:cs="Arial" w:eastAsia="Arial" w:hAnsi="Arial"/>
          <w:i/>
          <w:iCs/>
          <w:color w:val="595959"/>
          <w:sz w:val="18"/>
          <w:szCs w:val="18"/>
        </w:rPr>
        <w:t xml:space="preserve">ℹ MacBookCity, « Apple Wi-Fi 7 : iPhone, Mac et iPad compatibles » — Avril 2026</w:t>
      </w:r>
    </w:p>
    <w:p>
      <w:pPr>
        <w:spacing w:after="60" w:before="0"/>
        <w:ind w:left="720"/>
      </w:pPr>
      <w:r>
        <w:rPr>
          <w:rFonts w:ascii="Courier New" w:cs="Courier New" w:eastAsia="Courier New" w:hAnsi="Courier New"/>
          <w:color w:val="1155CC"/>
          <w:sz w:val="17"/>
          <w:szCs w:val="17"/>
        </w:rPr>
        <w:t xml:space="preserve">https://www.macbookcity.fr/astuces/14616/apple-wi-fi-7-macbook-iphone-ipad-compatibles</w:t>
      </w:r>
    </w:p>
    <w:p>
      <w:pPr>
        <w:spacing w:after="0" w:before="40"/>
        <w:ind w:left="720"/>
      </w:pPr>
      <w:r>
        <w:rPr>
          <w:rFonts w:ascii="Arial" w:cs="Arial" w:eastAsia="Arial" w:hAnsi="Arial"/>
          <w:i/>
          <w:iCs/>
          <w:color w:val="595959"/>
          <w:sz w:val="18"/>
          <w:szCs w:val="18"/>
        </w:rPr>
        <w:t xml:space="preserve">ℹ LeMagIT, « Déploiement du Wi-Fi 7 : par où commencer ? » — Février 2026</w:t>
      </w:r>
    </w:p>
    <w:p>
      <w:pPr>
        <w:spacing w:after="60" w:before="0"/>
        <w:ind w:left="720"/>
      </w:pPr>
      <w:r>
        <w:rPr>
          <w:rFonts w:ascii="Courier New" w:cs="Courier New" w:eastAsia="Courier New" w:hAnsi="Courier New"/>
          <w:color w:val="1155CC"/>
          <w:sz w:val="17"/>
          <w:szCs w:val="17"/>
        </w:rPr>
        <w:t xml:space="preserve">https://www.lemagit.fr/conseil/Reseau-Comment-bien-commencer-le-deploiement-du-Wifi-7</w:t>
      </w:r>
    </w:p>
    <w:p>
      <w:pPr>
        <w:spacing w:after="0" w:before="20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Partie 2 — Veille Cybersécurité (sept. 2025 – mai 2026)</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00"/>
            </w:tcMar>
            <w:vAlign w:val="center"/>
          </w:tcPr>
          <w:p>
            <w:pPr>
              <w:spacing w:after="0" w:before="0"/>
            </w:pPr>
            <w:r>
              <w:rPr>
                <w:rFonts w:ascii="Arial" w:cs="Arial" w:eastAsia="Arial" w:hAnsi="Arial"/>
                <w:b/>
                <w:bCs/>
                <w:color w:val="FFFFFF"/>
                <w:sz w:val="22"/>
                <w:szCs w:val="22"/>
              </w:rPr>
              <w:t xml:space="preserve">Septembre 2025</w:t>
            </w:r>
          </w:p>
        </w:tc>
        <w:tc>
          <w:tcPr>
            <w:tcW w:type="dxa" w:w="71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00"/>
            </w:tcMar>
            <w:vAlign w:val="center"/>
          </w:tcPr>
          <w:p>
            <w:pPr>
              <w:spacing w:after="0" w:before="0"/>
            </w:pPr>
            <w:r>
              <w:rPr>
                <w:rFonts w:ascii="Arial" w:cs="Arial" w:eastAsia="Arial" w:hAnsi="Arial"/>
                <w:color w:val="1F4E79"/>
                <w:sz w:val="22"/>
                <w:szCs w:val="22"/>
              </w:rPr>
              <w:t xml:space="preserve">Premiers chiffres des cybermenaces en France</w:t>
            </w:r>
          </w:p>
        </w:tc>
      </w:tr>
    </w:tbl>
    <w:p>
      <w:pPr>
        <w:spacing w:after="0" w:before="120"/>
      </w:pPr>
      <w:r>
        <w:t xml:space="preserve"/>
      </w:r>
    </w:p>
    <w:p>
      <w:pPr>
        <w:pStyle w:val="Heading2"/>
        <w:spacing w:after="100" w:before="280"/>
      </w:pPr>
      <w:r>
        <w:rPr>
          <w:rFonts w:ascii="Arial" w:cs="Arial" w:eastAsia="Arial" w:hAnsi="Arial"/>
          <w:b/>
          <w:bCs/>
          <w:color w:val="0070C0"/>
          <w:sz w:val="28"/>
          <w:szCs w:val="28"/>
        </w:rPr>
        <w:t xml:space="preserve">2.1 État des menaces cyber en France — chiffres 2024</w:t>
      </w:r>
    </w:p>
    <w:p>
      <w:pPr>
        <w:spacing w:after="100" w:before="60"/>
      </w:pPr>
      <w:r>
        <w:rPr>
          <w:rFonts w:ascii="Arial" w:cs="Arial" w:eastAsia="Arial" w:hAnsi="Arial"/>
          <w:sz w:val="22"/>
          <w:szCs w:val="22"/>
        </w:rPr>
        <w:t xml:space="preserve">Dès le début de ma veille, j’ai consulté les rapports disponibles sur la cybermenace en France. Les données publiées par l’</w:t>
      </w:r>
      <w:r>
        <w:rPr>
          <w:rFonts w:ascii="Arial" w:cs="Arial" w:eastAsia="Arial" w:hAnsi="Arial"/>
          <w:b/>
          <w:bCs/>
          <w:color w:val="000000"/>
          <w:sz w:val="22"/>
          <w:szCs w:val="22"/>
        </w:rPr>
        <w:t xml:space="preserve">ANSSI</w:t>
      </w:r>
      <w:r>
        <w:rPr>
          <w:rFonts w:ascii="Arial" w:cs="Arial" w:eastAsia="Arial" w:hAnsi="Arial"/>
          <w:sz w:val="22"/>
          <w:szCs w:val="22"/>
        </w:rPr>
        <w:t xml:space="preserve"> et la </w:t>
      </w:r>
      <w:r>
        <w:rPr>
          <w:rFonts w:ascii="Arial" w:cs="Arial" w:eastAsia="Arial" w:hAnsi="Arial"/>
          <w:b/>
          <w:bCs/>
          <w:color w:val="000000"/>
          <w:sz w:val="22"/>
          <w:szCs w:val="22"/>
        </w:rPr>
        <w:t xml:space="preserve">CNIL</w:t>
      </w:r>
      <w:r>
        <w:rPr>
          <w:rFonts w:ascii="Arial" w:cs="Arial" w:eastAsia="Arial" w:hAnsi="Arial"/>
          <w:sz w:val="22"/>
          <w:szCs w:val="22"/>
        </w:rPr>
        <w:t xml:space="preserve"> sur l’année 2024 dressent un tableau alarmant : la France subit une pression cyber croissante et constante, avec des secteurs clés particulièrement exposés.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FDDBD8" w:val="clear"/>
            <w:tcMar>
              <w:top w:type="dxa" w:w="120"/>
              <w:left w:type="dxa" w:w="100"/>
              <w:bottom w:type="dxa" w:w="120"/>
              <w:right w:type="dxa" w:w="100"/>
            </w:tcMar>
            <w:vAlign w:val="center"/>
          </w:tcPr>
          <w:p>
            <w:pPr>
              <w:spacing w:after="40" w:before="0"/>
              <w:jc w:val="center"/>
            </w:pPr>
            <w:r>
              <w:rPr>
                <w:rFonts w:ascii="Arial" w:cs="Arial" w:eastAsia="Arial" w:hAnsi="Arial"/>
                <w:b/>
                <w:bCs/>
                <w:color w:val="C00000"/>
                <w:sz w:val="40"/>
                <w:szCs w:val="40"/>
              </w:rPr>
              <w:t xml:space="preserve">5 629</w:t>
            </w:r>
          </w:p>
          <w:p>
            <w:pPr>
              <w:spacing w:after="0" w:before="0"/>
              <w:jc w:val="center"/>
            </w:pPr>
            <w:r>
              <w:rPr>
                <w:rFonts w:ascii="Arial" w:cs="Arial" w:eastAsia="Arial" w:hAnsi="Arial"/>
                <w:color w:val="595959"/>
                <w:sz w:val="17"/>
                <w:szCs w:val="17"/>
              </w:rPr>
              <w:t xml:space="preserve">violations de données CNIL (2024)</w:t>
            </w:r>
          </w:p>
        </w:tc>
        <w:tc>
          <w:tcPr>
            <w:tcW w:type="dxa" w:w="3008"/>
            <w:tcBorders>
              <w:top w:val="single" w:color="CCCCCC" w:sz="1"/>
              <w:left w:val="single" w:color="CCCCCC" w:sz="1"/>
              <w:bottom w:val="single" w:color="CCCCCC" w:sz="1"/>
              <w:right w:val="single" w:color="CCCCCC" w:sz="1"/>
            </w:tcBorders>
            <w:shd w:fill="FCE4D6" w:val="clear"/>
            <w:tcMar>
              <w:top w:type="dxa" w:w="120"/>
              <w:left w:type="dxa" w:w="100"/>
              <w:bottom w:type="dxa" w:w="120"/>
              <w:right w:type="dxa" w:w="100"/>
            </w:tcMar>
            <w:vAlign w:val="center"/>
          </w:tcPr>
          <w:p>
            <w:pPr>
              <w:spacing w:after="40" w:before="0"/>
              <w:jc w:val="center"/>
            </w:pPr>
            <w:r>
              <w:rPr>
                <w:rFonts w:ascii="Arial" w:cs="Arial" w:eastAsia="Arial" w:hAnsi="Arial"/>
                <w:b/>
                <w:bCs/>
                <w:color w:val="C55A11"/>
                <w:sz w:val="40"/>
                <w:szCs w:val="40"/>
              </w:rPr>
              <w:t xml:space="preserve">15/j</w:t>
            </w:r>
          </w:p>
          <w:p>
            <w:pPr>
              <w:spacing w:after="0" w:before="0"/>
              <w:jc w:val="center"/>
            </w:pPr>
            <w:r>
              <w:rPr>
                <w:rFonts w:ascii="Arial" w:cs="Arial" w:eastAsia="Arial" w:hAnsi="Arial"/>
                <w:color w:val="595959"/>
                <w:sz w:val="17"/>
                <w:szCs w:val="17"/>
              </w:rPr>
              <w:t xml:space="preserve">notifications/jour en moyenne</w:t>
            </w:r>
          </w:p>
        </w:tc>
        <w:tc>
          <w:tcPr>
            <w:tcW w:type="dxa" w:w="3008"/>
            <w:tcBorders>
              <w:top w:val="single" w:color="CCCCCC" w:sz="1"/>
              <w:left w:val="single" w:color="CCCCCC" w:sz="1"/>
              <w:bottom w:val="single" w:color="CCCCCC" w:sz="1"/>
              <w:right w:val="single" w:color="CCCCCC" w:sz="1"/>
            </w:tcBorders>
            <w:shd w:fill="D5E8F0" w:val="clear"/>
            <w:tcMar>
              <w:top w:type="dxa" w:w="120"/>
              <w:left w:type="dxa" w:w="100"/>
              <w:bottom w:type="dxa" w:w="120"/>
              <w:right w:type="dxa" w:w="100"/>
            </w:tcMar>
            <w:vAlign w:val="center"/>
          </w:tcPr>
          <w:p>
            <w:pPr>
              <w:spacing w:after="40" w:before="0"/>
              <w:jc w:val="center"/>
            </w:pPr>
            <w:r>
              <w:rPr>
                <w:rFonts w:ascii="Arial" w:cs="Arial" w:eastAsia="Arial" w:hAnsi="Arial"/>
                <w:b/>
                <w:bCs/>
                <w:color w:val="1F4E79"/>
                <w:sz w:val="40"/>
                <w:szCs w:val="40"/>
              </w:rPr>
              <w:t xml:space="preserve">+20 %</w:t>
            </w:r>
          </w:p>
          <w:p>
            <w:pPr>
              <w:spacing w:after="0" w:before="0"/>
              <w:jc w:val="center"/>
            </w:pPr>
            <w:r>
              <w:rPr>
                <w:rFonts w:ascii="Arial" w:cs="Arial" w:eastAsia="Arial" w:hAnsi="Arial"/>
                <w:color w:val="595959"/>
                <w:sz w:val="17"/>
                <w:szCs w:val="17"/>
              </w:rPr>
              <w:t xml:space="preserve">hausse vs 2023</w:t>
            </w:r>
          </w:p>
        </w:tc>
      </w:tr>
    </w:tbl>
    <w:p>
      <w:pPr>
        <w:spacing w:after="0" w:before="80"/>
      </w:pPr>
      <w:r>
        <w:t xml:space="preserve"/>
      </w:r>
    </w:p>
    <w:p>
      <w:pPr>
        <w:spacing w:after="100" w:before="60"/>
      </w:pPr>
      <w:r>
        <w:rPr>
          <w:rFonts w:ascii="Arial" w:cs="Arial" w:eastAsia="Arial" w:hAnsi="Arial"/>
          <w:b/>
          <w:bCs/>
          <w:color w:val="000000"/>
          <w:sz w:val="22"/>
          <w:szCs w:val="22"/>
        </w:rPr>
        <w:t xml:space="preserve">Secteurs les plus ciblés (source ANSSI) :</w:t>
      </w:r>
    </w:p>
    <w:p>
      <w:pPr>
        <w:pStyle w:val="ListParagraph"/>
        <w:numPr>
          <w:ilvl w:val="0"/>
          <w:numId w:val="2"/>
        </w:numPr>
        <w:spacing w:after="40" w:before="40"/>
      </w:pPr>
      <w:r>
        <w:rPr>
          <w:rFonts w:ascii="Arial" w:cs="Arial" w:eastAsia="Arial" w:hAnsi="Arial"/>
          <w:b/>
          <w:bCs/>
          <w:color w:val="000000"/>
          <w:sz w:val="22"/>
          <w:szCs w:val="22"/>
        </w:rPr>
        <w:t xml:space="preserve">Éducation &amp; recherche (34 %) : </w:t>
      </w:r>
      <w:r>
        <w:rPr>
          <w:rFonts w:ascii="Arial" w:cs="Arial" w:eastAsia="Arial" w:hAnsi="Arial"/>
          <w:sz w:val="22"/>
          <w:szCs w:val="22"/>
        </w:rPr>
        <w:t xml:space="preserve">universités, lycées, ransomwares et vols de données.</w:t>
      </w:r>
    </w:p>
    <w:p>
      <w:pPr>
        <w:pStyle w:val="ListParagraph"/>
        <w:numPr>
          <w:ilvl w:val="0"/>
          <w:numId w:val="2"/>
        </w:numPr>
        <w:spacing w:after="40" w:before="40"/>
      </w:pPr>
      <w:r>
        <w:rPr>
          <w:rFonts w:ascii="Arial" w:cs="Arial" w:eastAsia="Arial" w:hAnsi="Arial"/>
          <w:b/>
          <w:bCs/>
          <w:color w:val="000000"/>
          <w:sz w:val="22"/>
          <w:szCs w:val="22"/>
        </w:rPr>
        <w:t xml:space="preserve">Ministères &amp; collectivités (24 %) : </w:t>
      </w:r>
      <w:r>
        <w:rPr>
          <w:rFonts w:ascii="Arial" w:cs="Arial" w:eastAsia="Arial" w:hAnsi="Arial"/>
          <w:sz w:val="22"/>
          <w:szCs w:val="22"/>
        </w:rPr>
        <w:t xml:space="preserve">administrations publiques et collectivités territoriales.</w:t>
      </w:r>
    </w:p>
    <w:p>
      <w:pPr>
        <w:pStyle w:val="ListParagraph"/>
        <w:numPr>
          <w:ilvl w:val="0"/>
          <w:numId w:val="2"/>
        </w:numPr>
        <w:spacing w:after="40" w:before="40"/>
      </w:pPr>
      <w:r>
        <w:rPr>
          <w:rFonts w:ascii="Arial" w:cs="Arial" w:eastAsia="Arial" w:hAnsi="Arial"/>
          <w:b/>
          <w:bCs/>
          <w:color w:val="000000"/>
          <w:sz w:val="22"/>
          <w:szCs w:val="22"/>
        </w:rPr>
        <w:t xml:space="preserve">Santé (10 %) : </w:t>
      </w:r>
      <w:r>
        <w:rPr>
          <w:rFonts w:ascii="Arial" w:cs="Arial" w:eastAsia="Arial" w:hAnsi="Arial"/>
          <w:sz w:val="22"/>
          <w:szCs w:val="22"/>
        </w:rPr>
        <w:t xml:space="preserve">hôpitaux, cibles de choix pour les ransomwares.</w:t>
      </w:r>
    </w:p>
    <w:p>
      <w:pPr>
        <w:pStyle w:val="ListParagraph"/>
        <w:numPr>
          <w:ilvl w:val="0"/>
          <w:numId w:val="2"/>
        </w:numPr>
        <w:spacing w:after="40" w:before="40"/>
      </w:pPr>
      <w:r>
        <w:rPr>
          <w:rFonts w:ascii="Arial" w:cs="Arial" w:eastAsia="Arial" w:hAnsi="Arial"/>
          <w:b/>
          <w:bCs/>
          <w:color w:val="000000"/>
          <w:sz w:val="22"/>
          <w:szCs w:val="22"/>
        </w:rPr>
        <w:t xml:space="preserve">Télécommunications : </w:t>
      </w:r>
      <w:r>
        <w:rPr>
          <w:rFonts w:ascii="Arial" w:cs="Arial" w:eastAsia="Arial" w:hAnsi="Arial"/>
          <w:sz w:val="22"/>
          <w:szCs w:val="22"/>
        </w:rPr>
        <w:t xml:space="preserve">attaques visant les opérateurs réseau.</w:t>
      </w:r>
    </w:p>
    <w:p>
      <w:pPr>
        <w:spacing w:after="0" w:before="80"/>
      </w:pPr>
      <w:r>
        <w:t xml:space="preserve"/>
      </w:r>
    </w:p>
    <w:p>
      <w:pPr>
        <w:spacing w:after="0" w:before="40"/>
        <w:ind w:left="720"/>
      </w:pPr>
      <w:r>
        <w:rPr>
          <w:rFonts w:ascii="Arial" w:cs="Arial" w:eastAsia="Arial" w:hAnsi="Arial"/>
          <w:i/>
          <w:iCs/>
          <w:color w:val="595959"/>
          <w:sz w:val="18"/>
          <w:szCs w:val="18"/>
        </w:rPr>
        <w:t xml:space="preserve">ℹ CNIL, bilan des violations de données 2024 — 2025</w:t>
      </w:r>
    </w:p>
    <w:p>
      <w:pPr>
        <w:spacing w:after="60" w:before="0"/>
        <w:ind w:left="720"/>
      </w:pPr>
      <w:r>
        <w:rPr>
          <w:rFonts w:ascii="Courier New" w:cs="Courier New" w:eastAsia="Courier New" w:hAnsi="Courier New"/>
          <w:color w:val="1155CC"/>
          <w:sz w:val="17"/>
          <w:szCs w:val="17"/>
        </w:rPr>
        <w:t xml:space="preserve">https://www.cnil.fr</w:t>
      </w:r>
    </w:p>
    <w:p>
      <w:pPr>
        <w:spacing w:after="0" w:before="40"/>
        <w:ind w:left="720"/>
      </w:pPr>
      <w:r>
        <w:rPr>
          <w:rFonts w:ascii="Arial" w:cs="Arial" w:eastAsia="Arial" w:hAnsi="Arial"/>
          <w:i/>
          <w:iCs/>
          <w:color w:val="595959"/>
          <w:sz w:val="18"/>
          <w:szCs w:val="18"/>
        </w:rPr>
        <w:t xml:space="preserve">ℹ Oodrive, « Top 10 des cyberattaques 2025 » — Juin 2025</w:t>
      </w:r>
    </w:p>
    <w:p>
      <w:pPr>
        <w:spacing w:after="60" w:before="0"/>
        <w:ind w:left="720"/>
      </w:pPr>
      <w:r>
        <w:rPr>
          <w:rFonts w:ascii="Courier New" w:cs="Courier New" w:eastAsia="Courier New" w:hAnsi="Courier New"/>
          <w:color w:val="1155CC"/>
          <w:sz w:val="17"/>
          <w:szCs w:val="17"/>
        </w:rPr>
        <w:t xml:space="preserve">https://www.oodrive.com/fr/blog/securite/cybersecurite/top-10-des-cyberattaques-2025/</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00"/>
            </w:tcMar>
            <w:vAlign w:val="center"/>
          </w:tcPr>
          <w:p>
            <w:pPr>
              <w:spacing w:after="0" w:before="0"/>
            </w:pPr>
            <w:r>
              <w:rPr>
                <w:rFonts w:ascii="Arial" w:cs="Arial" w:eastAsia="Arial" w:hAnsi="Arial"/>
                <w:b/>
                <w:bCs/>
                <w:color w:val="FFFFFF"/>
                <w:sz w:val="22"/>
                <w:szCs w:val="22"/>
              </w:rPr>
              <w:t xml:space="preserve">Octobre 2025</w:t>
            </w:r>
          </w:p>
        </w:tc>
        <w:tc>
          <w:tcPr>
            <w:tcW w:type="dxa" w:w="71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00"/>
            </w:tcMar>
            <w:vAlign w:val="center"/>
          </w:tcPr>
          <w:p>
            <w:pPr>
              <w:spacing w:after="0" w:before="0"/>
            </w:pPr>
            <w:r>
              <w:rPr>
                <w:rFonts w:ascii="Arial" w:cs="Arial" w:eastAsia="Arial" w:hAnsi="Arial"/>
                <w:color w:val="1F4E79"/>
                <w:sz w:val="22"/>
                <w:szCs w:val="22"/>
              </w:rPr>
              <w:t xml:space="preserve">Nouvelles menaces : phishing IA et fraudes financières</w:t>
            </w:r>
          </w:p>
        </w:tc>
      </w:tr>
    </w:tbl>
    <w:p>
      <w:pPr>
        <w:spacing w:after="0" w:before="120"/>
      </w:pPr>
      <w:r>
        <w:t xml:space="preserve"/>
      </w:r>
    </w:p>
    <w:p>
      <w:pPr>
        <w:pStyle w:val="Heading2"/>
        <w:spacing w:after="100" w:before="280"/>
      </w:pPr>
      <w:r>
        <w:rPr>
          <w:rFonts w:ascii="Arial" w:cs="Arial" w:eastAsia="Arial" w:hAnsi="Arial"/>
          <w:b/>
          <w:bCs/>
          <w:color w:val="0070C0"/>
          <w:sz w:val="28"/>
          <w:szCs w:val="28"/>
        </w:rPr>
        <w:t xml:space="preserve">2.2 Phishing amplifié par l’IA et fraudes en hausse</w:t>
      </w:r>
    </w:p>
    <w:p>
      <w:pPr>
        <w:spacing w:after="100" w:before="60"/>
      </w:pPr>
      <w:r>
        <w:rPr>
          <w:rFonts w:ascii="Arial" w:cs="Arial" w:eastAsia="Arial" w:hAnsi="Arial"/>
          <w:sz w:val="22"/>
          <w:szCs w:val="22"/>
        </w:rPr>
        <w:t xml:space="preserve">En octobre 2025, j’ai approfondi l’analyse des nouvelles formes de cyberattaques. Le </w:t>
      </w:r>
      <w:r>
        <w:rPr>
          <w:rFonts w:ascii="Arial" w:cs="Arial" w:eastAsia="Arial" w:hAnsi="Arial"/>
          <w:b/>
          <w:bCs/>
          <w:color w:val="000000"/>
          <w:sz w:val="22"/>
          <w:szCs w:val="22"/>
        </w:rPr>
        <w:t xml:space="preserve">phishing</w:t>
      </w:r>
      <w:r>
        <w:rPr>
          <w:rFonts w:ascii="Arial" w:cs="Arial" w:eastAsia="Arial" w:hAnsi="Arial"/>
          <w:sz w:val="22"/>
          <w:szCs w:val="22"/>
        </w:rPr>
        <w:t xml:space="preserve"> reste la menace la plus fréquente, mais il a profondément évolué : les attaques sont désormais rédigées par des IA capables de personnaliser finement les messages. Apparition du </w:t>
      </w:r>
      <w:r>
        <w:rPr>
          <w:rFonts w:ascii="Arial" w:cs="Arial" w:eastAsia="Arial" w:hAnsi="Arial"/>
          <w:b/>
          <w:bCs/>
          <w:color w:val="000000"/>
          <w:sz w:val="22"/>
          <w:szCs w:val="22"/>
        </w:rPr>
        <w:t xml:space="preserve">« deep phishing »</w:t>
      </w:r>
      <w:r>
        <w:rPr>
          <w:rFonts w:ascii="Arial" w:cs="Arial" w:eastAsia="Arial" w:hAnsi="Arial"/>
          <w:sz w:val="22"/>
          <w:szCs w:val="22"/>
        </w:rPr>
        <w:t xml:space="preserve"> : deepfakes audio/vidéo imitant en temps réel la voix de dirigeants pour valider de faux virements.</w:t>
      </w:r>
    </w:p>
    <w:p>
      <w:pPr>
        <w:spacing w:after="100" w:before="60"/>
      </w:pPr>
      <w:r>
        <w:rPr>
          <w:rFonts w:ascii="Arial" w:cs="Arial" w:eastAsia="Arial" w:hAnsi="Arial"/>
          <w:sz w:val="22"/>
          <w:szCs w:val="22"/>
        </w:rPr>
        <w:t xml:space="preserve">Hausse des fraudes financières numériques observée en 2025 :</w:t>
      </w:r>
    </w:p>
    <w:p>
      <w:pPr>
        <w:pStyle w:val="ListParagraph"/>
        <w:numPr>
          <w:ilvl w:val="0"/>
          <w:numId w:val="2"/>
        </w:numPr>
        <w:spacing w:after="40" w:before="40"/>
      </w:pPr>
      <w:r>
        <w:rPr>
          <w:rFonts w:ascii="Arial" w:cs="Arial" w:eastAsia="Arial" w:hAnsi="Arial"/>
          <w:b/>
          <w:bCs/>
          <w:color w:val="000000"/>
          <w:sz w:val="22"/>
          <w:szCs w:val="22"/>
        </w:rPr>
        <w:t xml:space="preserve">Fraudes au virement : </w:t>
      </w:r>
      <w:r>
        <w:rPr>
          <w:rFonts w:ascii="Arial" w:cs="Arial" w:eastAsia="Arial" w:hAnsi="Arial"/>
          <w:sz w:val="22"/>
          <w:szCs w:val="22"/>
        </w:rPr>
        <w:t xml:space="preserve">forte augmentation, extension à la facturation électronique et à la gestion de paie.</w:t>
      </w:r>
    </w:p>
    <w:p>
      <w:pPr>
        <w:pStyle w:val="ListParagraph"/>
        <w:numPr>
          <w:ilvl w:val="0"/>
          <w:numId w:val="2"/>
        </w:numPr>
        <w:spacing w:after="40" w:before="40"/>
      </w:pPr>
      <w:r>
        <w:rPr>
          <w:rFonts w:ascii="Arial" w:cs="Arial" w:eastAsia="Arial" w:hAnsi="Arial"/>
          <w:b/>
          <w:bCs/>
          <w:color w:val="000000"/>
          <w:sz w:val="22"/>
          <w:szCs w:val="22"/>
        </w:rPr>
        <w:t xml:space="preserve">Faux conseiller bancaire : </w:t>
      </w:r>
      <w:r>
        <w:rPr>
          <w:rFonts w:ascii="Arial" w:cs="Arial" w:eastAsia="Arial" w:hAnsi="Arial"/>
          <w:sz w:val="22"/>
          <w:szCs w:val="22"/>
        </w:rPr>
        <w:t xml:space="preserve">WhatsApp utilisé comme vecteur principal d’arnaque.</w:t>
      </w:r>
    </w:p>
    <w:p>
      <w:pPr>
        <w:pStyle w:val="ListParagraph"/>
        <w:numPr>
          <w:ilvl w:val="0"/>
          <w:numId w:val="2"/>
        </w:numPr>
        <w:spacing w:after="40" w:before="40"/>
      </w:pPr>
      <w:r>
        <w:rPr>
          <w:rFonts w:ascii="Arial" w:cs="Arial" w:eastAsia="Arial" w:hAnsi="Arial"/>
          <w:b/>
          <w:bCs/>
          <w:color w:val="000000"/>
          <w:sz w:val="22"/>
          <w:szCs w:val="22"/>
        </w:rPr>
        <w:t xml:space="preserve">Faux placement financier : </w:t>
      </w:r>
      <w:r>
        <w:rPr>
          <w:rFonts w:ascii="Arial" w:cs="Arial" w:eastAsia="Arial" w:hAnsi="Arial"/>
          <w:sz w:val="22"/>
          <w:szCs w:val="22"/>
        </w:rPr>
        <w:t xml:space="preserve">faux sites professionnels et groupes d’« investisseurs » sur les réseaux sociaux.</w:t>
      </w:r>
    </w:p>
    <w:p>
      <w:pPr>
        <w:spacing w:after="0" w:before="80"/>
      </w:pPr>
      <w:r>
        <w:t xml:space="preserve"/>
      </w:r>
    </w:p>
    <w:p>
      <w:pPr>
        <w:spacing w:after="0" w:before="40"/>
        <w:ind w:left="720"/>
      </w:pPr>
      <w:r>
        <w:rPr>
          <w:rFonts w:ascii="Arial" w:cs="Arial" w:eastAsia="Arial" w:hAnsi="Arial"/>
          <w:i/>
          <w:iCs/>
          <w:color w:val="595959"/>
          <w:sz w:val="18"/>
          <w:szCs w:val="18"/>
        </w:rPr>
        <w:t xml:space="preserve">ℹ Oodrive, « Top 10 des cyberattaques 2025 » — Juin 2025</w:t>
      </w:r>
    </w:p>
    <w:p>
      <w:pPr>
        <w:spacing w:after="60" w:before="0"/>
        <w:ind w:left="720"/>
      </w:pPr>
      <w:r>
        <w:rPr>
          <w:rFonts w:ascii="Courier New" w:cs="Courier New" w:eastAsia="Courier New" w:hAnsi="Courier New"/>
          <w:color w:val="1155CC"/>
          <w:sz w:val="17"/>
          <w:szCs w:val="17"/>
        </w:rPr>
        <w:t xml:space="preserve">https://www.oodrive.com/fr/blog/securite/cybersecurite/top-10-des-cyberattaques-2025/</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00"/>
            </w:tcMar>
            <w:vAlign w:val="center"/>
          </w:tcPr>
          <w:p>
            <w:pPr>
              <w:spacing w:after="0" w:before="0"/>
            </w:pPr>
            <w:r>
              <w:rPr>
                <w:rFonts w:ascii="Arial" w:cs="Arial" w:eastAsia="Arial" w:hAnsi="Arial"/>
                <w:b/>
                <w:bCs/>
                <w:color w:val="FFFFFF"/>
                <w:sz w:val="22"/>
                <w:szCs w:val="22"/>
              </w:rPr>
              <w:t xml:space="preserve">Novembre 2025</w:t>
            </w:r>
          </w:p>
        </w:tc>
        <w:tc>
          <w:tcPr>
            <w:tcW w:type="dxa" w:w="71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00"/>
            </w:tcMar>
            <w:vAlign w:val="center"/>
          </w:tcPr>
          <w:p>
            <w:pPr>
              <w:spacing w:after="0" w:before="0"/>
            </w:pPr>
            <w:r>
              <w:rPr>
                <w:rFonts w:ascii="Arial" w:cs="Arial" w:eastAsia="Arial" w:hAnsi="Arial"/>
                <w:color w:val="1F4E79"/>
                <w:sz w:val="22"/>
                <w:szCs w:val="22"/>
              </w:rPr>
              <w:t xml:space="preserve">Incident France Travail — analyse d’un cas réel</w:t>
            </w:r>
          </w:p>
        </w:tc>
      </w:tr>
    </w:tbl>
    <w:p>
      <w:pPr>
        <w:spacing w:after="0" w:before="120"/>
      </w:pPr>
      <w:r>
        <w:t xml:space="preserve"/>
      </w:r>
    </w:p>
    <w:p>
      <w:pPr>
        <w:pStyle w:val="Heading2"/>
        <w:spacing w:after="100" w:before="280"/>
      </w:pPr>
      <w:r>
        <w:rPr>
          <w:rFonts w:ascii="Arial" w:cs="Arial" w:eastAsia="Arial" w:hAnsi="Arial"/>
          <w:b/>
          <w:bCs/>
          <w:color w:val="0070C0"/>
          <w:sz w:val="28"/>
          <w:szCs w:val="28"/>
        </w:rPr>
        <w:t xml:space="preserve">2.3 Incident majeur : France Travail (2024–2025)</w:t>
      </w:r>
    </w:p>
    <w:p>
      <w:pPr>
        <w:spacing w:after="100" w:before="60"/>
      </w:pPr>
      <w:r>
        <w:rPr>
          <w:rFonts w:ascii="Arial" w:cs="Arial" w:eastAsia="Arial" w:hAnsi="Arial"/>
          <w:sz w:val="22"/>
          <w:szCs w:val="22"/>
        </w:rPr>
        <w:t xml:space="preserve">En novembre 2025, l’actualité met en avant une nouvelle intrusion chez </w:t>
      </w:r>
      <w:r>
        <w:rPr>
          <w:rFonts w:ascii="Arial" w:cs="Arial" w:eastAsia="Arial" w:hAnsi="Arial"/>
          <w:b/>
          <w:bCs/>
          <w:color w:val="000000"/>
          <w:sz w:val="22"/>
          <w:szCs w:val="22"/>
        </w:rPr>
        <w:t xml:space="preserve">France Travail</w:t>
      </w:r>
      <w:r>
        <w:rPr>
          <w:rFonts w:ascii="Arial" w:cs="Arial" w:eastAsia="Arial" w:hAnsi="Arial"/>
          <w:sz w:val="22"/>
          <w:szCs w:val="22"/>
        </w:rPr>
        <w:t xml:space="preserve">. J’ai analysé ce cas comme illustration concrète des risques sur les services publics.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jc w:val="center"/>
            </w:pPr>
            <w:r>
              <w:rPr>
                <w:rFonts w:ascii="Arial" w:cs="Arial" w:eastAsia="Arial" w:hAnsi="Arial"/>
                <w:b/>
                <w:bCs/>
                <w:color w:val="FFFFFF"/>
                <w:sz w:val="20"/>
                <w:szCs w:val="20"/>
              </w:rPr>
              <w:t xml:space="preserve">Période</w:t>
            </w:r>
          </w:p>
        </w:tc>
        <w:tc>
          <w:tcPr>
            <w:tcW w:type="dxa" w:w="3008"/>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jc w:val="center"/>
            </w:pPr>
            <w:r>
              <w:rPr>
                <w:rFonts w:ascii="Arial" w:cs="Arial" w:eastAsia="Arial" w:hAnsi="Arial"/>
                <w:b/>
                <w:bCs/>
                <w:color w:val="FFFFFF"/>
                <w:sz w:val="20"/>
                <w:szCs w:val="20"/>
              </w:rPr>
              <w:t xml:space="preserve">Nature de l’attaque</w:t>
            </w:r>
          </w:p>
        </w:tc>
        <w:tc>
          <w:tcPr>
            <w:tcW w:type="dxa" w:w="3008"/>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jc w:val="center"/>
            </w:pPr>
            <w:r>
              <w:rPr>
                <w:rFonts w:ascii="Arial" w:cs="Arial" w:eastAsia="Arial" w:hAnsi="Arial"/>
                <w:b/>
                <w:bCs/>
                <w:color w:val="FFFFFF"/>
                <w:sz w:val="20"/>
                <w:szCs w:val="20"/>
              </w:rPr>
              <w:t xml:space="preserve">Impact</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left"/>
            </w:pPr>
            <w:r>
              <w:rPr>
                <w:rFonts w:ascii="Arial" w:cs="Arial" w:eastAsia="Arial" w:hAnsi="Arial"/>
                <w:b/>
                <w:bCs/>
                <w:color w:val="1F4E79"/>
                <w:sz w:val="20"/>
                <w:szCs w:val="20"/>
              </w:rPr>
              <w:t xml:space="preserve">Mars 2024</w:t>
            </w:r>
          </w:p>
        </w:tc>
        <w:tc>
          <w:tcPr>
            <w:tcW w:type="dxa" w:w="300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Exfiltration massive de données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43 millions de dossiers potentiellement exfiltrés</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left"/>
            </w:pPr>
            <w:r>
              <w:rPr>
                <w:rFonts w:ascii="Arial" w:cs="Arial" w:eastAsia="Arial" w:hAnsi="Arial"/>
                <w:b/>
                <w:bCs/>
                <w:color w:val="1F4E79"/>
                <w:sz w:val="20"/>
                <w:szCs w:val="20"/>
              </w:rPr>
              <w:t xml:space="preserve">Fin 2025</w:t>
            </w:r>
          </w:p>
        </w:tc>
        <w:tc>
          <w:tcPr>
            <w:tcW w:type="dxa" w:w="3008"/>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Nouvelle intrusion — Missions Locales</w:t>
            </w:r>
          </w:p>
        </w:tc>
        <w:tc>
          <w:tcPr>
            <w:tcW w:type="dxa" w:w="3008"/>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1,6 million de jeunes touchés</w:t>
            </w:r>
          </w:p>
        </w:tc>
      </w:tr>
    </w:tbl>
    <w:p>
      <w:pPr>
        <w:spacing w:after="0" w:before="80"/>
      </w:pPr>
      <w:r>
        <w:t xml:space="preserve"/>
      </w:r>
    </w:p>
    <w:p>
      <w:pPr>
        <w:spacing w:after="100" w:before="60"/>
      </w:pPr>
      <w:r>
        <w:rPr>
          <w:rFonts w:ascii="Arial" w:cs="Arial" w:eastAsia="Arial" w:hAnsi="Arial"/>
          <w:sz w:val="22"/>
          <w:szCs w:val="22"/>
        </w:rPr>
        <w:t xml:space="preserve">Ces incidents répétés démontrent que la cybersécurité ne peut pas être traitée comme un chantier ponctuel post-crise. La CNIL a ouvert un audit sur l’organisme.</w:t>
      </w:r>
    </w:p>
    <w:p>
      <w:pPr>
        <w:spacing w:after="0" w:before="80"/>
      </w:pPr>
      <w:r>
        <w:t xml:space="preserve"/>
      </w:r>
    </w:p>
    <w:p>
      <w:pPr>
        <w:spacing w:after="0" w:before="40"/>
        <w:ind w:left="720"/>
      </w:pPr>
      <w:r>
        <w:rPr>
          <w:rFonts w:ascii="Arial" w:cs="Arial" w:eastAsia="Arial" w:hAnsi="Arial"/>
          <w:i/>
          <w:iCs/>
          <w:color w:val="595959"/>
          <w:sz w:val="18"/>
          <w:szCs w:val="18"/>
        </w:rPr>
        <w:t xml:space="preserve">ℹ RM3A Cybersécurité, « Bilan cyberattaques France 2024–2025 » — Décembre 2025</w:t>
      </w:r>
    </w:p>
    <w:p>
      <w:pPr>
        <w:spacing w:after="60" w:before="0"/>
        <w:ind w:left="720"/>
      </w:pPr>
      <w:r>
        <w:rPr>
          <w:rFonts w:ascii="Courier New" w:cs="Courier New" w:eastAsia="Courier New" w:hAnsi="Courier New"/>
          <w:color w:val="1155CC"/>
          <w:sz w:val="17"/>
          <w:szCs w:val="17"/>
        </w:rPr>
        <w:t xml:space="preserve">https://rm3a.fr/bilan-des-cyberattaques-en-france-2024-2025-rm3a-cybersecurite/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00"/>
            </w:tcMar>
            <w:vAlign w:val="center"/>
          </w:tcPr>
          <w:p>
            <w:pPr>
              <w:spacing w:after="0" w:before="0"/>
            </w:pPr>
            <w:r>
              <w:rPr>
                <w:rFonts w:ascii="Arial" w:cs="Arial" w:eastAsia="Arial" w:hAnsi="Arial"/>
                <w:b/>
                <w:bCs/>
                <w:color w:val="FFFFFF"/>
                <w:sz w:val="22"/>
                <w:szCs w:val="22"/>
              </w:rPr>
              <w:t xml:space="preserve">Décembre 2025</w:t>
            </w:r>
          </w:p>
        </w:tc>
        <w:tc>
          <w:tcPr>
            <w:tcW w:type="dxa" w:w="71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00"/>
            </w:tcMar>
            <w:vAlign w:val="center"/>
          </w:tcPr>
          <w:p>
            <w:pPr>
              <w:spacing w:after="0" w:before="0"/>
            </w:pPr>
            <w:r>
              <w:rPr>
                <w:rFonts w:ascii="Arial" w:cs="Arial" w:eastAsia="Arial" w:hAnsi="Arial"/>
                <w:color w:val="1F4E79"/>
                <w:sz w:val="22"/>
                <w:szCs w:val="22"/>
              </w:rPr>
              <w:t xml:space="preserve">Industrialisation des attaques — infostealers &amp; supply chain</w:t>
            </w:r>
          </w:p>
        </w:tc>
      </w:tr>
    </w:tbl>
    <w:p>
      <w:pPr>
        <w:spacing w:after="0" w:before="120"/>
      </w:pPr>
      <w:r>
        <w:t xml:space="preserve"/>
      </w:r>
    </w:p>
    <w:p>
      <w:pPr>
        <w:pStyle w:val="Heading2"/>
        <w:spacing w:after="100" w:before="280"/>
      </w:pPr>
      <w:r>
        <w:rPr>
          <w:rFonts w:ascii="Arial" w:cs="Arial" w:eastAsia="Arial" w:hAnsi="Arial"/>
          <w:b/>
          <w:bCs/>
          <w:color w:val="0070C0"/>
          <w:sz w:val="28"/>
          <w:szCs w:val="28"/>
        </w:rPr>
        <w:t xml:space="preserve">2.4 Industrialisation de la chaîne d’attaque</w:t>
      </w:r>
    </w:p>
    <w:p>
      <w:pPr>
        <w:spacing w:after="100" w:before="60"/>
      </w:pPr>
      <w:r>
        <w:rPr>
          <w:rFonts w:ascii="Arial" w:cs="Arial" w:eastAsia="Arial" w:hAnsi="Arial"/>
          <w:sz w:val="22"/>
          <w:szCs w:val="22"/>
        </w:rPr>
        <w:t xml:space="preserve">En décembre 2025, mes recherches ont mis en lumière l’émergence d’un écosystème criminel organisé. La chaîne d’attaque </w:t>
      </w:r>
      <w:r>
        <w:rPr>
          <w:rFonts w:ascii="Arial" w:cs="Arial" w:eastAsia="Arial" w:hAnsi="Arial"/>
          <w:b/>
          <w:bCs/>
          <w:color w:val="000000"/>
          <w:sz w:val="22"/>
          <w:szCs w:val="22"/>
        </w:rPr>
        <w:t xml:space="preserve">infostealer → accès initial → ransomware</w:t>
      </w:r>
      <w:r>
        <w:rPr>
          <w:rFonts w:ascii="Arial" w:cs="Arial" w:eastAsia="Arial" w:hAnsi="Arial"/>
          <w:sz w:val="22"/>
          <w:szCs w:val="22"/>
        </w:rPr>
        <w:t xml:space="preserve"> s’industrialise : les logiciels voleurs de credentials se propagent via malvertising ou SEO poisoning, les accès volés sont revendus sur des marketplaces souterraines, puis exploités par des groupes spécialisés. La technique du </w:t>
      </w:r>
      <w:r>
        <w:rPr>
          <w:rFonts w:ascii="Arial" w:cs="Arial" w:eastAsia="Arial" w:hAnsi="Arial"/>
          <w:b/>
          <w:bCs/>
          <w:color w:val="000000"/>
          <w:sz w:val="22"/>
          <w:szCs w:val="22"/>
        </w:rPr>
        <w:t xml:space="preserve">« vol de tokens de session »</w:t>
      </w:r>
      <w:r>
        <w:rPr>
          <w:rFonts w:ascii="Arial" w:cs="Arial" w:eastAsia="Arial" w:hAnsi="Arial"/>
          <w:sz w:val="22"/>
          <w:szCs w:val="22"/>
        </w:rPr>
        <w:t xml:space="preserve"> permet de contourner le MFA, rendant cette défense seule insuffisante.</w:t>
      </w:r>
    </w:p>
    <w:p>
      <w:pPr>
        <w:spacing w:after="0" w:before="80"/>
      </w:pPr>
      <w:r>
        <w:t xml:space="preserve"/>
      </w:r>
    </w:p>
    <w:p>
      <w:pPr>
        <w:spacing w:after="100" w:before="60"/>
      </w:pPr>
      <w:r>
        <w:rPr>
          <w:rFonts w:ascii="Arial" w:cs="Arial" w:eastAsia="Arial" w:hAnsi="Arial"/>
          <w:b/>
          <w:bCs/>
          <w:color w:val="000000"/>
          <w:sz w:val="22"/>
          <w:szCs w:val="22"/>
        </w:rPr>
        <w:t xml:space="preserve">France : 2e cible européenne. </w:t>
      </w:r>
      <w:r>
        <w:rPr>
          <w:rFonts w:ascii="Arial" w:cs="Arial" w:eastAsia="Arial" w:hAnsi="Arial"/>
          <w:sz w:val="22"/>
          <w:szCs w:val="22"/>
        </w:rPr>
        <w:t xml:space="preserve">Selon les analyses disponibles fin 2025, plus de </w:t>
      </w:r>
      <w:r>
        <w:rPr>
          <w:rFonts w:ascii="Arial" w:cs="Arial" w:eastAsia="Arial" w:hAnsi="Arial"/>
          <w:b/>
          <w:bCs/>
          <w:color w:val="000000"/>
          <w:sz w:val="22"/>
          <w:szCs w:val="22"/>
        </w:rPr>
        <w:t xml:space="preserve">50 organisations majeures</w:t>
      </w:r>
      <w:r>
        <w:rPr>
          <w:rFonts w:ascii="Arial" w:cs="Arial" w:eastAsia="Arial" w:hAnsi="Arial"/>
          <w:sz w:val="22"/>
          <w:szCs w:val="22"/>
        </w:rPr>
        <w:t xml:space="preserve"> ont été victimes sur 2024–2025, avec un coût estimé à plus de </w:t>
      </w:r>
      <w:r>
        <w:rPr>
          <w:rFonts w:ascii="Arial" w:cs="Arial" w:eastAsia="Arial" w:hAnsi="Arial"/>
          <w:b/>
          <w:bCs/>
          <w:color w:val="000000"/>
          <w:sz w:val="22"/>
          <w:szCs w:val="22"/>
        </w:rPr>
        <w:t xml:space="preserve">100 milliards d’euros</w:t>
      </w:r>
      <w:r>
        <w:rPr>
          <w:rFonts w:ascii="Arial" w:cs="Arial" w:eastAsia="Arial" w:hAnsi="Arial"/>
          <w:sz w:val="22"/>
          <w:szCs w:val="22"/>
        </w:rPr>
        <w:t xml:space="preserve">.</w:t>
      </w:r>
    </w:p>
    <w:p>
      <w:pPr>
        <w:spacing w:after="0" w:before="80"/>
      </w:pPr>
      <w:r>
        <w:t xml:space="preserve"/>
      </w:r>
    </w:p>
    <w:p>
      <w:pPr>
        <w:spacing w:after="0" w:before="40"/>
        <w:ind w:left="720"/>
      </w:pPr>
      <w:r>
        <w:rPr>
          <w:rFonts w:ascii="Arial" w:cs="Arial" w:eastAsia="Arial" w:hAnsi="Arial"/>
          <w:i/>
          <w:iCs/>
          <w:color w:val="595959"/>
          <w:sz w:val="18"/>
          <w:szCs w:val="18"/>
        </w:rPr>
        <w:t xml:space="preserve">ℹ RM3A Cybersécurité, « Bilan France 2024–2025 » — Décembre 2025</w:t>
      </w:r>
    </w:p>
    <w:p>
      <w:pPr>
        <w:spacing w:after="60" w:before="0"/>
        <w:ind w:left="720"/>
      </w:pPr>
      <w:r>
        <w:rPr>
          <w:rFonts w:ascii="Courier New" w:cs="Courier New" w:eastAsia="Courier New" w:hAnsi="Courier New"/>
          <w:color w:val="1155CC"/>
          <w:sz w:val="17"/>
          <w:szCs w:val="17"/>
        </w:rPr>
        <w:t xml:space="preserve">https://rm3a.fr/bilan-des-cyberattaques-en-france-2024-2025-rm3a-cybersecurite/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00"/>
            </w:tcMar>
            <w:vAlign w:val="center"/>
          </w:tcPr>
          <w:p>
            <w:pPr>
              <w:spacing w:after="0" w:before="0"/>
            </w:pPr>
            <w:r>
              <w:rPr>
                <w:rFonts w:ascii="Arial" w:cs="Arial" w:eastAsia="Arial" w:hAnsi="Arial"/>
                <w:b/>
                <w:bCs/>
                <w:color w:val="FFFFFF"/>
                <w:sz w:val="22"/>
                <w:szCs w:val="22"/>
              </w:rPr>
              <w:t xml:space="preserve">Janvier – Février 2026</w:t>
            </w:r>
          </w:p>
        </w:tc>
        <w:tc>
          <w:tcPr>
            <w:tcW w:type="dxa" w:w="71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00"/>
            </w:tcMar>
            <w:vAlign w:val="center"/>
          </w:tcPr>
          <w:p>
            <w:pPr>
              <w:spacing w:after="0" w:before="0"/>
            </w:pPr>
            <w:r>
              <w:rPr>
                <w:rFonts w:ascii="Arial" w:cs="Arial" w:eastAsia="Arial" w:hAnsi="Arial"/>
                <w:color w:val="1F4E79"/>
                <w:sz w:val="22"/>
                <w:szCs w:val="22"/>
              </w:rPr>
              <w:t xml:space="preserve">Rapport ANSSI &amp; menace hybride sur infrastructures</w:t>
            </w:r>
          </w:p>
        </w:tc>
      </w:tr>
    </w:tbl>
    <w:p>
      <w:pPr>
        <w:spacing w:after="0" w:before="120"/>
      </w:pPr>
      <w:r>
        <w:t xml:space="preserve"/>
      </w:r>
    </w:p>
    <w:p>
      <w:pPr>
        <w:pStyle w:val="Heading2"/>
        <w:spacing w:after="100" w:before="280"/>
      </w:pPr>
      <w:r>
        <w:rPr>
          <w:rFonts w:ascii="Arial" w:cs="Arial" w:eastAsia="Arial" w:hAnsi="Arial"/>
          <w:b/>
          <w:bCs/>
          <w:color w:val="0070C0"/>
          <w:sz w:val="28"/>
          <w:szCs w:val="28"/>
        </w:rPr>
        <w:t xml:space="preserve">2.5 Bilan ANSSI 2025 et menace hybride</w:t>
      </w:r>
    </w:p>
    <w:p>
      <w:pPr>
        <w:spacing w:after="100" w:before="60"/>
      </w:pPr>
      <w:r>
        <w:rPr>
          <w:rFonts w:ascii="Arial" w:cs="Arial" w:eastAsia="Arial" w:hAnsi="Arial"/>
          <w:sz w:val="22"/>
          <w:szCs w:val="22"/>
        </w:rPr>
        <w:t xml:space="preserve">En janvier 2026, l’ANSSI a publié son bilan préliminaire de l’année 2025. Elle a traité </w:t>
      </w:r>
      <w:r>
        <w:rPr>
          <w:rFonts w:ascii="Arial" w:cs="Arial" w:eastAsia="Arial" w:hAnsi="Arial"/>
          <w:b/>
          <w:bCs/>
          <w:color w:val="000000"/>
          <w:sz w:val="22"/>
          <w:szCs w:val="22"/>
        </w:rPr>
        <w:t xml:space="preserve">3 586 événements de sécurité</w:t>
      </w:r>
      <w:r>
        <w:rPr>
          <w:rFonts w:ascii="Arial" w:cs="Arial" w:eastAsia="Arial" w:hAnsi="Arial"/>
          <w:sz w:val="22"/>
          <w:szCs w:val="22"/>
        </w:rPr>
        <w:t xml:space="preserve">, soit −18 % par rapport à 2024 (pic JO). Par ailleurs, des </w:t>
      </w:r>
      <w:r>
        <w:rPr>
          <w:rFonts w:ascii="Arial" w:cs="Arial" w:eastAsia="Arial" w:hAnsi="Arial"/>
          <w:b/>
          <w:bCs/>
          <w:color w:val="000000"/>
          <w:sz w:val="22"/>
          <w:szCs w:val="22"/>
        </w:rPr>
        <w:t xml:space="preserve">attaques coordonnées contre les infrastructures électriques polonaises</w:t>
      </w:r>
      <w:r>
        <w:rPr>
          <w:rFonts w:ascii="Arial" w:cs="Arial" w:eastAsia="Arial" w:hAnsi="Arial"/>
          <w:sz w:val="22"/>
          <w:szCs w:val="22"/>
        </w:rPr>
        <w:t xml:space="preserve"> fin 2025 ont alerté toute l’Europe. L’ANSSI identifie ce type de scénario hybride comme le plus redouté pour la France d’ici 2030 : attaque simultanée visant hôpitaux, électricité, télécommunications et transports.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120"/>
              <w:left w:type="dxa" w:w="100"/>
              <w:bottom w:type="dxa" w:w="120"/>
              <w:right w:type="dxa" w:w="100"/>
            </w:tcMar>
            <w:vAlign w:val="center"/>
          </w:tcPr>
          <w:p>
            <w:pPr>
              <w:spacing w:after="40" w:before="0"/>
              <w:jc w:val="center"/>
            </w:pPr>
            <w:r>
              <w:rPr>
                <w:rFonts w:ascii="Arial" w:cs="Arial" w:eastAsia="Arial" w:hAnsi="Arial"/>
                <w:b/>
                <w:bCs/>
                <w:color w:val="1F4E79"/>
                <w:sz w:val="40"/>
                <w:szCs w:val="40"/>
              </w:rPr>
              <w:t xml:space="preserve">3 586</w:t>
            </w:r>
          </w:p>
          <w:p>
            <w:pPr>
              <w:spacing w:after="0" w:before="0"/>
              <w:jc w:val="center"/>
            </w:pPr>
            <w:r>
              <w:rPr>
                <w:rFonts w:ascii="Arial" w:cs="Arial" w:eastAsia="Arial" w:hAnsi="Arial"/>
                <w:color w:val="595959"/>
                <w:sz w:val="17"/>
                <w:szCs w:val="17"/>
              </w:rPr>
              <w:t xml:space="preserve">événements ANSSI 2025</w:t>
            </w:r>
          </w:p>
        </w:tc>
        <w:tc>
          <w:tcPr>
            <w:tcW w:type="dxa" w:w="3008"/>
            <w:tcBorders>
              <w:top w:val="single" w:color="CCCCCC" w:sz="1"/>
              <w:left w:val="single" w:color="CCCCCC" w:sz="1"/>
              <w:bottom w:val="single" w:color="CCCCCC" w:sz="1"/>
              <w:right w:val="single" w:color="CCCCCC" w:sz="1"/>
            </w:tcBorders>
            <w:shd w:fill="F2F2F2" w:val="clear"/>
            <w:tcMar>
              <w:top w:type="dxa" w:w="120"/>
              <w:left w:type="dxa" w:w="100"/>
              <w:bottom w:type="dxa" w:w="120"/>
              <w:right w:type="dxa" w:w="100"/>
            </w:tcMar>
            <w:vAlign w:val="center"/>
          </w:tcPr>
          <w:p>
            <w:pPr>
              <w:spacing w:after="40" w:before="0"/>
              <w:jc w:val="center"/>
            </w:pPr>
            <w:r>
              <w:rPr>
                <w:rFonts w:ascii="Arial" w:cs="Arial" w:eastAsia="Arial" w:hAnsi="Arial"/>
                <w:b/>
                <w:bCs/>
                <w:color w:val="0070C0"/>
                <w:sz w:val="40"/>
                <w:szCs w:val="40"/>
              </w:rPr>
              <w:t xml:space="preserve">1 366</w:t>
            </w:r>
          </w:p>
          <w:p>
            <w:pPr>
              <w:spacing w:after="0" w:before="0"/>
              <w:jc w:val="center"/>
            </w:pPr>
            <w:r>
              <w:rPr>
                <w:rFonts w:ascii="Arial" w:cs="Arial" w:eastAsia="Arial" w:hAnsi="Arial"/>
                <w:color w:val="595959"/>
                <w:sz w:val="17"/>
                <w:szCs w:val="17"/>
              </w:rPr>
              <w:t xml:space="preserve">incidents confirmés</w:t>
            </w:r>
          </w:p>
        </w:tc>
        <w:tc>
          <w:tcPr>
            <w:tcW w:type="dxa" w:w="3008"/>
            <w:tcBorders>
              <w:top w:val="single" w:color="CCCCCC" w:sz="1"/>
              <w:left w:val="single" w:color="CCCCCC" w:sz="1"/>
              <w:bottom w:val="single" w:color="CCCCCC" w:sz="1"/>
              <w:right w:val="single" w:color="CCCCCC" w:sz="1"/>
            </w:tcBorders>
            <w:shd w:fill="FCE4D6" w:val="clear"/>
            <w:tcMar>
              <w:top w:type="dxa" w:w="120"/>
              <w:left w:type="dxa" w:w="100"/>
              <w:bottom w:type="dxa" w:w="120"/>
              <w:right w:type="dxa" w:w="100"/>
            </w:tcMar>
            <w:vAlign w:val="center"/>
          </w:tcPr>
          <w:p>
            <w:pPr>
              <w:spacing w:after="40" w:before="0"/>
              <w:jc w:val="center"/>
            </w:pPr>
            <w:r>
              <w:rPr>
                <w:rFonts w:ascii="Arial" w:cs="Arial" w:eastAsia="Arial" w:hAnsi="Arial"/>
                <w:b/>
                <w:bCs/>
                <w:color w:val="C55A11"/>
                <w:sz w:val="40"/>
                <w:szCs w:val="40"/>
              </w:rPr>
              <w:t xml:space="preserve">+500k</w:t>
            </w:r>
          </w:p>
          <w:p>
            <w:pPr>
              <w:spacing w:after="0" w:before="0"/>
              <w:jc w:val="center"/>
            </w:pPr>
            <w:r>
              <w:rPr>
                <w:rFonts w:ascii="Arial" w:cs="Arial" w:eastAsia="Arial" w:hAnsi="Arial"/>
                <w:color w:val="595959"/>
                <w:sz w:val="17"/>
                <w:szCs w:val="17"/>
              </w:rPr>
              <w:t xml:space="preserve">victimes assistées (+20 %)</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6B3C" w:sz="1"/>
              <w:left w:val="thick" w:color="1E6B3C" w:sz="12"/>
              <w:bottom w:val="single" w:color="1E6B3C" w:sz="1"/>
              <w:right w:val="single" w:color="1E6B3C" w:sz="1"/>
            </w:tcBorders>
            <w:shd w:fill="D9F0E3" w:val="clear"/>
            <w:tcMar>
              <w:top w:type="dxa" w:w="100"/>
              <w:left w:type="dxa" w:w="180"/>
              <w:bottom w:type="dxa" w:w="100"/>
              <w:right w:type="dxa" w:w="120"/>
            </w:tcMar>
          </w:tcPr>
          <w:p>
            <w:pPr>
              <w:spacing w:after="40" w:before="0"/>
            </w:pPr>
            <w:r>
              <w:rPr>
                <w:rFonts w:ascii="Arial" w:cs="Arial" w:eastAsia="Arial" w:hAnsi="Arial"/>
                <w:b/>
                <w:bCs/>
                <w:color w:val="1E6B3C"/>
                <w:sz w:val="22"/>
                <w:szCs w:val="22"/>
              </w:rPr>
              <w:t xml:space="preserve">✅  Recommandations clés (ANSSI jan. 2026)</w:t>
            </w:r>
          </w:p>
          <w:p>
            <w:pPr>
              <w:pStyle w:val="ListParagraph"/>
              <w:numPr>
                <w:ilvl w:val="0"/>
                <w:numId w:val="2"/>
              </w:numPr>
              <w:spacing w:after="30" w:before="30"/>
            </w:pPr>
            <w:r>
              <w:rPr>
                <w:rFonts w:ascii="Arial" w:cs="Arial" w:eastAsia="Arial" w:hAnsi="Arial"/>
                <w:color w:val="0D3D21"/>
                <w:sz w:val="20"/>
                <w:szCs w:val="20"/>
              </w:rPr>
              <w:t xml:space="preserve">Adopter une MFA résistante au phishing : FIDO2 / passkeys sur les comptes sensibles</w:t>
            </w:r>
          </w:p>
          <w:p>
            <w:pPr>
              <w:pStyle w:val="ListParagraph"/>
              <w:numPr>
                <w:ilvl w:val="0"/>
                <w:numId w:val="2"/>
              </w:numPr>
              <w:spacing w:after="30" w:before="30"/>
            </w:pPr>
            <w:r>
              <w:rPr>
                <w:rFonts w:ascii="Arial" w:cs="Arial" w:eastAsia="Arial" w:hAnsi="Arial"/>
                <w:color w:val="0D3D21"/>
                <w:sz w:val="20"/>
                <w:szCs w:val="20"/>
              </w:rPr>
              <w:t xml:space="preserve">Réduire les sessions longues et sécuriser les tokens (Conditional Access)</w:t>
            </w:r>
          </w:p>
          <w:p>
            <w:pPr>
              <w:pStyle w:val="ListParagraph"/>
              <w:numPr>
                <w:ilvl w:val="0"/>
                <w:numId w:val="2"/>
              </w:numPr>
              <w:spacing w:after="30" w:before="30"/>
            </w:pPr>
            <w:r>
              <w:rPr>
                <w:rFonts w:ascii="Arial" w:cs="Arial" w:eastAsia="Arial" w:hAnsi="Arial"/>
                <w:color w:val="0D3D21"/>
                <w:sz w:val="20"/>
                <w:szCs w:val="20"/>
              </w:rPr>
              <w:t xml:space="preserve">Former régulièrement les collaborateurs à la détection du phishing</w:t>
            </w:r>
          </w:p>
          <w:p>
            <w:pPr>
              <w:pStyle w:val="ListParagraph"/>
              <w:numPr>
                <w:ilvl w:val="0"/>
                <w:numId w:val="2"/>
              </w:numPr>
              <w:spacing w:after="30" w:before="30"/>
            </w:pPr>
            <w:r>
              <w:rPr>
                <w:rFonts w:ascii="Arial" w:cs="Arial" w:eastAsia="Arial" w:hAnsi="Arial"/>
                <w:color w:val="0D3D21"/>
                <w:sz w:val="20"/>
                <w:szCs w:val="20"/>
              </w:rPr>
              <w:t xml:space="preserve">Mettre en place et tester un PRA/PCA (Plan de Reprise d’Activité)</w:t>
            </w:r>
          </w:p>
          <w:p>
            <w:pPr>
              <w:pStyle w:val="ListParagraph"/>
              <w:numPr>
                <w:ilvl w:val="0"/>
                <w:numId w:val="2"/>
              </w:numPr>
              <w:spacing w:after="30" w:before="30"/>
            </w:pPr>
            <w:r>
              <w:rPr>
                <w:rFonts w:ascii="Arial" w:cs="Arial" w:eastAsia="Arial" w:hAnsi="Arial"/>
                <w:color w:val="0D3D21"/>
                <w:sz w:val="20"/>
                <w:szCs w:val="20"/>
              </w:rPr>
              <w:t xml:space="preserve">S’enregistrer sur MonEspaceNIS2 : https://club.ssi.gouv.fr</w:t>
            </w:r>
          </w:p>
        </w:tc>
      </w:tr>
    </w:tbl>
    <w:p>
      <w:pPr>
        <w:spacing w:after="0" w:before="80"/>
      </w:pPr>
      <w:r>
        <w:t xml:space="preserve"/>
      </w:r>
    </w:p>
    <w:p>
      <w:pPr>
        <w:spacing w:after="0" w:before="40"/>
        <w:ind w:left="720"/>
      </w:pPr>
      <w:r>
        <w:rPr>
          <w:rFonts w:ascii="Arial" w:cs="Arial" w:eastAsia="Arial" w:hAnsi="Arial"/>
          <w:i/>
          <w:iCs/>
          <w:color w:val="595959"/>
          <w:sz w:val="18"/>
          <w:szCs w:val="18"/>
        </w:rPr>
        <w:t xml:space="preserve">ℹ Mailinblack, « 5 tendances cyber 2026 » — Janvier 2026</w:t>
      </w:r>
    </w:p>
    <w:p>
      <w:pPr>
        <w:spacing w:after="60" w:before="0"/>
        <w:ind w:left="720"/>
      </w:pPr>
      <w:r>
        <w:rPr>
          <w:rFonts w:ascii="Courier New" w:cs="Courier New" w:eastAsia="Courier New" w:hAnsi="Courier New"/>
          <w:color w:val="1155CC"/>
          <w:sz w:val="17"/>
          <w:szCs w:val="17"/>
        </w:rPr>
        <w:t xml:space="preserve">https://www.mailinblack.com/ressources/blog/5-tendances-cyber-2026/</w:t>
      </w:r>
    </w:p>
    <w:p>
      <w:pPr>
        <w:spacing w:after="0" w:before="40"/>
        <w:ind w:left="720"/>
      </w:pPr>
      <w:r>
        <w:rPr>
          <w:rFonts w:ascii="Arial" w:cs="Arial" w:eastAsia="Arial" w:hAnsi="Arial"/>
          <w:i/>
          <w:iCs/>
          <w:color w:val="595959"/>
          <w:sz w:val="18"/>
          <w:szCs w:val="18"/>
        </w:rPr>
        <w:t xml:space="preserve">ℹ L’Usine Digitale, « Les cyberattaques qui ont marqué 2025 » — Janvier 2026</w:t>
      </w:r>
    </w:p>
    <w:p>
      <w:pPr>
        <w:spacing w:after="60" w:before="0"/>
        <w:ind w:left="720"/>
      </w:pPr>
      <w:r>
        <w:rPr>
          <w:rFonts w:ascii="Courier New" w:cs="Courier New" w:eastAsia="Courier New" w:hAnsi="Courier New"/>
          <w:color w:val="1155CC"/>
          <w:sz w:val="17"/>
          <w:szCs w:val="17"/>
        </w:rPr>
        <w:t xml:space="preserve">https://www.usine-digitale.fr/cybersecurite/les-cyberattaques-qui-ont-marque-lannee-2025-et-les-lecons-a-en-tirer.MLPTV4YZ2JGDDM4ERBAMBMYY6Q.html</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00"/>
            </w:tcMar>
            <w:vAlign w:val="center"/>
          </w:tcPr>
          <w:p>
            <w:pPr>
              <w:spacing w:after="0" w:before="0"/>
            </w:pPr>
            <w:r>
              <w:rPr>
                <w:rFonts w:ascii="Arial" w:cs="Arial" w:eastAsia="Arial" w:hAnsi="Arial"/>
                <w:b/>
                <w:bCs/>
                <w:color w:val="FFFFFF"/>
                <w:sz w:val="22"/>
                <w:szCs w:val="22"/>
              </w:rPr>
              <w:t xml:space="preserve">Mars – Avril 2026</w:t>
            </w:r>
          </w:p>
        </w:tc>
        <w:tc>
          <w:tcPr>
            <w:tcW w:type="dxa" w:w="71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00"/>
            </w:tcMar>
            <w:vAlign w:val="center"/>
          </w:tcPr>
          <w:p>
            <w:pPr>
              <w:spacing w:after="0" w:before="0"/>
            </w:pPr>
            <w:r>
              <w:rPr>
                <w:rFonts w:ascii="Arial" w:cs="Arial" w:eastAsia="Arial" w:hAnsi="Arial"/>
                <w:color w:val="1F4E79"/>
                <w:sz w:val="22"/>
                <w:szCs w:val="22"/>
              </w:rPr>
              <w:t xml:space="preserve">Panorama officiel ANSSI 2025 &amp; rapport Cybermalveillance</w:t>
            </w:r>
          </w:p>
        </w:tc>
      </w:tr>
    </w:tbl>
    <w:p>
      <w:pPr>
        <w:spacing w:after="0" w:before="120"/>
      </w:pPr>
      <w:r>
        <w:t xml:space="preserve"/>
      </w:r>
    </w:p>
    <w:p>
      <w:pPr>
        <w:pStyle w:val="Heading2"/>
        <w:spacing w:after="100" w:before="280"/>
      </w:pPr>
      <w:r>
        <w:rPr>
          <w:rFonts w:ascii="Arial" w:cs="Arial" w:eastAsia="Arial" w:hAnsi="Arial"/>
          <w:b/>
          <w:bCs/>
          <w:color w:val="0070C0"/>
          <w:sz w:val="28"/>
          <w:szCs w:val="28"/>
        </w:rPr>
        <w:t xml:space="preserve">2.6 Publications officielles — bilans définitifs 2025</w:t>
      </w:r>
    </w:p>
    <w:p>
      <w:pPr>
        <w:spacing w:after="100" w:before="60"/>
      </w:pPr>
      <w:r>
        <w:rPr>
          <w:rFonts w:ascii="Arial" w:cs="Arial" w:eastAsia="Arial" w:hAnsi="Arial"/>
          <w:sz w:val="22"/>
          <w:szCs w:val="22"/>
        </w:rPr>
        <w:t xml:space="preserve">En mars 2026, l’ANSSI a publié son </w:t>
      </w:r>
      <w:r>
        <w:rPr>
          <w:rFonts w:ascii="Arial" w:cs="Arial" w:eastAsia="Arial" w:hAnsi="Arial"/>
          <w:b/>
          <w:bCs/>
          <w:color w:val="000000"/>
          <w:sz w:val="22"/>
          <w:szCs w:val="22"/>
        </w:rPr>
        <w:t xml:space="preserve">Panorama de la cybermenace 2025</w:t>
      </w:r>
      <w:r>
        <w:rPr>
          <w:rFonts w:ascii="Arial" w:cs="Arial" w:eastAsia="Arial" w:hAnsi="Arial"/>
          <w:sz w:val="22"/>
          <w:szCs w:val="22"/>
        </w:rPr>
        <w:t xml:space="preserve"> définitif. En avril 2026, Cybermalveillance.gouv.fr a publié son rapport d’activité. Ces documents confirment et précisent les tendances observées tout au long de l’année. Cybermalveillance.gouv.fr a dépassé les </w:t>
      </w:r>
      <w:r>
        <w:rPr>
          <w:rFonts w:ascii="Arial" w:cs="Arial" w:eastAsia="Arial" w:hAnsi="Arial"/>
          <w:b/>
          <w:bCs/>
          <w:color w:val="000000"/>
          <w:sz w:val="22"/>
          <w:szCs w:val="22"/>
        </w:rPr>
        <w:t xml:space="preserve">500 000 victimes assistées</w:t>
      </w:r>
      <w:r>
        <w:rPr>
          <w:rFonts w:ascii="Arial" w:cs="Arial" w:eastAsia="Arial" w:hAnsi="Arial"/>
          <w:sz w:val="22"/>
          <w:szCs w:val="22"/>
        </w:rPr>
        <w:t xml:space="preserve"> (+20 % vs 2024), et le phishing a progressé de </w:t>
      </w:r>
      <w:r>
        <w:rPr>
          <w:rFonts w:ascii="Arial" w:cs="Arial" w:eastAsia="Arial" w:hAnsi="Arial"/>
          <w:b/>
          <w:bCs/>
          <w:color w:val="000000"/>
          <w:sz w:val="22"/>
          <w:szCs w:val="22"/>
        </w:rPr>
        <w:t xml:space="preserve">+70 %</w:t>
      </w:r>
      <w:r>
        <w:rPr>
          <w:rFonts w:ascii="Arial" w:cs="Arial" w:eastAsia="Arial" w:hAnsi="Arial"/>
          <w:sz w:val="22"/>
          <w:szCs w:val="22"/>
        </w:rPr>
        <w:t xml:space="preserve">. Les fraudes au virement ont bondi de +170 %, les faux conseillers bancaires de +159 % et les faux placements financiers de +277 %.</w:t>
      </w:r>
    </w:p>
    <w:p>
      <w:pPr>
        <w:spacing w:after="0" w:before="80"/>
      </w:pPr>
      <w:r>
        <w:t xml:space="preserve"/>
      </w:r>
    </w:p>
    <w:p>
      <w:pPr>
        <w:spacing w:after="0" w:before="40"/>
        <w:ind w:left="720"/>
      </w:pPr>
      <w:r>
        <w:rPr>
          <w:rFonts w:ascii="Arial" w:cs="Arial" w:eastAsia="Arial" w:hAnsi="Arial"/>
          <w:i/>
          <w:iCs/>
          <w:color w:val="595959"/>
          <w:sz w:val="18"/>
          <w:szCs w:val="18"/>
        </w:rPr>
        <w:t xml:space="preserve">ℹ ANSSI, « Panorama de la cybermenace 2025 » — Mars 2026</w:t>
      </w:r>
    </w:p>
    <w:p>
      <w:pPr>
        <w:spacing w:after="60" w:before="0"/>
        <w:ind w:left="720"/>
      </w:pPr>
      <w:r>
        <w:rPr>
          <w:rFonts w:ascii="Courier New" w:cs="Courier New" w:eastAsia="Courier New" w:hAnsi="Courier New"/>
          <w:color w:val="1155CC"/>
          <w:sz w:val="17"/>
          <w:szCs w:val="17"/>
        </w:rPr>
        <w:t xml:space="preserve">https://cyber.gouv.fr/actualites/panorama-de-la-cybermenace-2025/</w:t>
      </w:r>
    </w:p>
    <w:p>
      <w:pPr>
        <w:spacing w:after="0" w:before="40"/>
        <w:ind w:left="720"/>
      </w:pPr>
      <w:r>
        <w:rPr>
          <w:rFonts w:ascii="Arial" w:cs="Arial" w:eastAsia="Arial" w:hAnsi="Arial"/>
          <w:i/>
          <w:iCs/>
          <w:color w:val="595959"/>
          <w:sz w:val="18"/>
          <w:szCs w:val="18"/>
        </w:rPr>
        <w:t xml:space="preserve">ℹ Cybermalveillance.gouv.fr, « Rapport d’activité 2025 » — Avril 2026</w:t>
      </w:r>
    </w:p>
    <w:p>
      <w:pPr>
        <w:spacing w:after="60" w:before="0"/>
        <w:ind w:left="720"/>
      </w:pPr>
      <w:r>
        <w:rPr>
          <w:rFonts w:ascii="Courier New" w:cs="Courier New" w:eastAsia="Courier New" w:hAnsi="Courier New"/>
          <w:color w:val="1155CC"/>
          <w:sz w:val="17"/>
          <w:szCs w:val="17"/>
        </w:rPr>
        <w:t xml:space="preserve">https://www.cybermalveillance.gouv.fr/tous-nos-contenus/actualites/rapport-activite-2025</w:t>
      </w:r>
    </w:p>
    <w:p>
      <w:pPr>
        <w:spacing w:after="0" w:before="80"/>
      </w:pPr>
      <w:r>
        <w:t xml:space="preserve"/>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shd w:fill="1F4E79" w:val="clear"/>
            <w:tcMar>
              <w:top w:type="dxa" w:w="80"/>
              <w:left w:type="dxa" w:w="100"/>
              <w:bottom w:type="dxa" w:w="80"/>
              <w:right w:type="dxa" w:w="100"/>
            </w:tcMar>
          </w:tcPr>
          <w:p>
            <w:pPr>
              <w:spacing w:after="0" w:before="0"/>
              <w:jc w:val="center"/>
            </w:pPr>
            <w:r>
              <w:rPr>
                <w:rFonts w:ascii="Arial" w:cs="Arial" w:eastAsia="Arial" w:hAnsi="Arial"/>
                <w:b/>
                <w:bCs/>
                <w:color w:val="FFFFFF"/>
                <w:sz w:val="20"/>
                <w:szCs w:val="20"/>
              </w:rPr>
              <w:t xml:space="preserve">Février – Mai 2026</w:t>
            </w:r>
          </w:p>
        </w:tc>
        <w:tc>
          <w:tcPr>
            <w:tcW w:type="dxa" w:w="7126"/>
            <w:shd w:fill="D6E4F0" w:val="clear"/>
            <w:tcMar>
              <w:top w:type="dxa" w:w="80"/>
              <w:left w:type="dxa" w:w="100"/>
              <w:bottom w:type="dxa" w:w="80"/>
              <w:right w:type="dxa" w:w="100"/>
            </w:tcMar>
          </w:tcPr>
          <w:p>
            <w:pPr>
              <w:spacing w:after="0" w:before="0"/>
            </w:pPr>
            <w:r>
              <w:rPr>
                <w:rFonts w:ascii="Arial" w:cs="Arial" w:eastAsia="Arial" w:hAnsi="Arial"/>
                <w:b/>
                <w:bCs/>
                <w:sz w:val="20"/>
                <w:szCs w:val="20"/>
              </w:rPr>
              <w:t xml:space="preserve">Nouvelles menaces 2026 : IA offensive, Zero Trust &amp; stratégie nationale</w:t>
            </w:r>
          </w:p>
        </w:tc>
      </w:tr>
    </w:tbl>
    <w:p>
      <w:pPr>
        <w:pStyle w:val="Heading2"/>
        <w:spacing w:after="100" w:before="280"/>
      </w:pPr>
      <w:r>
        <w:rPr>
          <w:rFonts w:ascii="Arial" w:cs="Arial" w:eastAsia="Arial" w:hAnsi="Arial"/>
          <w:b/>
          <w:bCs/>
          <w:color w:val="0070C0"/>
          <w:sz w:val="28"/>
          <w:szCs w:val="28"/>
        </w:rPr>
        <w:t xml:space="preserve">2.7 Nouvelles menaces en 2026 : IA offensive, supply chain et Zero Trust</w:t>
      </w:r>
    </w:p>
    <w:p>
      <w:pPr>
        <w:spacing w:after="100" w:before="60"/>
      </w:pPr>
      <w:r>
        <w:rPr>
          <w:rFonts w:ascii="Arial" w:cs="Arial" w:eastAsia="Arial" w:hAnsi="Arial"/>
          <w:sz w:val="22"/>
          <w:szCs w:val="22"/>
        </w:rPr>
        <w:t xml:space="preserve">En 2026, les cybermenaces se sont considérablement complexifiées, portées par l’industrialisation de l’intelligence artificielle générative au service des attaquants. Trois tendances majeures ont retenu mon attention lors de cette dernière phase de veille.</w:t>
      </w:r>
    </w:p>
    <w:p>
      <w:pPr>
        <w:pStyle w:val="Heading3"/>
        <w:spacing w:after="80" w:before="200"/>
      </w:pPr>
      <w:r>
        <w:rPr>
          <w:rFonts w:ascii="Arial" w:cs="Arial" w:eastAsia="Arial" w:hAnsi="Arial"/>
          <w:b/>
          <w:bCs/>
          <w:color w:val="1F4E79"/>
          <w:sz w:val="24"/>
          <w:szCs w:val="24"/>
        </w:rPr>
        <w:t xml:space="preserve">a) L’IA générative, nouvel outil offensif</w:t>
      </w:r>
    </w:p>
    <w:p>
      <w:pPr>
        <w:spacing w:after="100" w:before="60"/>
      </w:pPr>
      <w:r>
        <w:rPr>
          <w:rFonts w:ascii="Arial" w:cs="Arial" w:eastAsia="Arial" w:hAnsi="Arial"/>
          <w:sz w:val="22"/>
          <w:szCs w:val="22"/>
        </w:rPr>
        <w:t xml:space="preserve">En 2026, des agents IA autonomes sont capables de cartographier une surface d’attaque en quelques minutes, d’enchaîner plusieurs vulnérabilités et de générer des campagnes de spear-phishing personnalisées à grande échelle. L’IA contourne également les outils de détection en modifiant dynamiquement le code malveillant. Selon l’ENISA Threat Landscape 2025, 75 % des RSSI estiment que le « Shadow IA » — l’usage d’outils IA non autorisés par les collaborateurs — constitue un risque majeur pour les entreprises. Les deepfakes audio/vidéo, déjà présents en 2025, se sont encore perfectionnés, rendant la détection traditionnelle obsolète.</w:t>
      </w:r>
    </w:p>
    <w:p>
      <w:pPr>
        <w:pStyle w:val="Heading3"/>
        <w:spacing w:after="80" w:before="200"/>
      </w:pPr>
      <w:r>
        <w:rPr>
          <w:rFonts w:ascii="Arial" w:cs="Arial" w:eastAsia="Arial" w:hAnsi="Arial"/>
          <w:b/>
          <w:bCs/>
          <w:color w:val="1F4E79"/>
          <w:sz w:val="24"/>
          <w:szCs w:val="24"/>
        </w:rPr>
        <w:t xml:space="preserve">b) La supply chain, cible prioritaire</w:t>
      </w:r>
    </w:p>
    <w:p>
      <w:pPr>
        <w:spacing w:after="100" w:before="60"/>
      </w:pPr>
      <w:r>
        <w:rPr>
          <w:rFonts w:ascii="Arial" w:cs="Arial" w:eastAsia="Arial" w:hAnsi="Arial"/>
          <w:sz w:val="22"/>
          <w:szCs w:val="22"/>
        </w:rPr>
        <w:t xml:space="preserve">Selon le Baromètre CESIN 2026, plus de 30 % des incidents cyber majeurs proviennent d’un tiers (fournisseur, prestataire). Plutôt qu’attaquer frontalement une entreprise, les cybercriminels ciblent ses partenaires numériques : la compromission d’un seul prestataire peut permettre d’infecter des centaines d’entreprises simultanément. Les « identités machines » (clés d’API, bots) représentent un vecteur clé : on compte en moyenne 144 identités machines pour une seule identité humaine, constituant autant de points d’entrée potentiels pour les attaquants.</w:t>
      </w:r>
    </w:p>
    <w:p>
      <w:pPr>
        <w:pStyle w:val="Heading3"/>
        <w:spacing w:after="80" w:before="200"/>
      </w:pPr>
      <w:r>
        <w:rPr>
          <w:rFonts w:ascii="Arial" w:cs="Arial" w:eastAsia="Arial" w:hAnsi="Arial"/>
          <w:b/>
          <w:bCs/>
          <w:color w:val="1F4E79"/>
          <w:sz w:val="24"/>
          <w:szCs w:val="24"/>
        </w:rPr>
        <w:t xml:space="preserve">c) Le Zero Trust, nouvelle norme de référence</w:t>
      </w:r>
    </w:p>
    <w:p>
      <w:pPr>
        <w:spacing w:after="100" w:before="60"/>
      </w:pPr>
      <w:r>
        <w:rPr>
          <w:rFonts w:ascii="Arial" w:cs="Arial" w:eastAsia="Arial" w:hAnsi="Arial"/>
          <w:sz w:val="22"/>
          <w:szCs w:val="22"/>
        </w:rPr>
        <w:t xml:space="preserve">Face à la complexité croissante des systèmes, le modèle « Zero Trust » s’impose : ne faire confiance à aucun utilisateur ou appareil par défaut, vérifier chaque accès en continu selon le contexte et le comportement. L’ANSSI recommande explicitement l’adoption de ce modèle. Parallèlement, le gouvernement a publié en janvier 2026 la nouvelle stratégie nationale de cybrosécurité 2026–2030, qui prévoit notamment une plateforme nationale de prévention du risque numérique, sur le modèle des campagnes de prévention routière. Le rôle du RSSI a également muta : il n’est plus le « pompier » du SI, mais l’architecte de la continuité métier.</w:t>
      </w:r>
    </w:p>
    <w:p>
      <w:pPr>
        <w:spacing w:after="0" w:before="40"/>
        <w:ind w:left="720"/>
      </w:pPr>
      <w:r>
        <w:rPr>
          <w:rFonts w:ascii="Arial" w:cs="Arial" w:eastAsia="Arial" w:hAnsi="Arial"/>
          <w:i/>
          <w:iCs/>
          <w:color w:val="595959"/>
          <w:sz w:val="18"/>
          <w:szCs w:val="18"/>
        </w:rPr>
        <w:t xml:space="preserve">ℹ Orange Pro, « Cybrosécurité : les principales menaces en 2026 » — Février 2026</w:t>
      </w:r>
    </w:p>
    <w:p>
      <w:pPr>
        <w:spacing w:after="60" w:before="0"/>
        <w:ind w:left="720"/>
      </w:pPr>
      <w:r>
        <w:rPr>
          <w:rFonts w:ascii="Courier New" w:cs="Courier New" w:eastAsia="Courier New" w:hAnsi="Courier New"/>
          <w:color w:val="1155CC"/>
          <w:sz w:val="17"/>
          <w:szCs w:val="17"/>
        </w:rPr>
        <w:t xml:space="preserve">https://pro.orange.fr/lemag/cybersecurite-quelles-sont-les-principales-menaces-en-2026-CNT000002n9XAX.html</w:t>
      </w:r>
    </w:p>
    <w:p>
      <w:pPr>
        <w:spacing w:after="0" w:before="40"/>
        <w:ind w:left="720"/>
      </w:pPr>
      <w:r>
        <w:rPr>
          <w:rFonts w:ascii="Arial" w:cs="Arial" w:eastAsia="Arial" w:hAnsi="Arial"/>
          <w:i/>
          <w:iCs/>
          <w:color w:val="595959"/>
          <w:sz w:val="18"/>
          <w:szCs w:val="18"/>
        </w:rPr>
        <w:t xml:space="preserve">ℹ Jamespot, « Cybrosécurité 2026 : les 5 tendances » — Mars 2026</w:t>
      </w:r>
    </w:p>
    <w:p>
      <w:pPr>
        <w:spacing w:after="60" w:before="0"/>
        <w:ind w:left="720"/>
      </w:pPr>
      <w:r>
        <w:rPr>
          <w:rFonts w:ascii="Courier New" w:cs="Courier New" w:eastAsia="Courier New" w:hAnsi="Courier New"/>
          <w:color w:val="1155CC"/>
          <w:sz w:val="17"/>
          <w:szCs w:val="17"/>
        </w:rPr>
        <w:t xml:space="preserve">https://jamespot.com/blog/securite-souverainete/cybersecurite-2026-tendances-resilience/</w:t>
      </w:r>
    </w:p>
    <w:p>
      <w:pPr>
        <w:spacing w:after="0" w:before="40"/>
        <w:ind w:left="720"/>
      </w:pPr>
      <w:r>
        <w:rPr>
          <w:rFonts w:ascii="Arial" w:cs="Arial" w:eastAsia="Arial" w:hAnsi="Arial"/>
          <w:i/>
          <w:iCs/>
          <w:color w:val="595959"/>
          <w:sz w:val="18"/>
          <w:szCs w:val="18"/>
        </w:rPr>
        <w:t xml:space="preserve">ℹ Cybermalveillance.gouv.fr, « Stratégie nationale cybrosécurité 2026–2030 » — Janvier 2026</w:t>
      </w:r>
    </w:p>
    <w:p>
      <w:pPr>
        <w:spacing w:after="60" w:before="0"/>
        <w:ind w:left="720"/>
      </w:pPr>
      <w:r>
        <w:rPr>
          <w:rFonts w:ascii="Courier New" w:cs="Courier New" w:eastAsia="Courier New" w:hAnsi="Courier New"/>
          <w:color w:val="1155CC"/>
          <w:sz w:val="17"/>
          <w:szCs w:val="17"/>
        </w:rPr>
        <w:t xml:space="preserve">https://www.cybermalveillance.gouv.fr/tous-nos-contenus/actualites/strategie-nationale-cybersecurite-2026-2030</w:t>
      </w:r>
    </w:p>
    <w:p>
      <w:pPr>
        <w:spacing w:after="0" w:before="20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Partie 3 — Réglementation : directive NIS 2 en France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00"/>
            </w:tcMar>
            <w:vAlign w:val="center"/>
          </w:tcPr>
          <w:p>
            <w:pPr>
              <w:spacing w:after="0" w:before="0"/>
            </w:pPr>
            <w:r>
              <w:rPr>
                <w:rFonts w:ascii="Arial" w:cs="Arial" w:eastAsia="Arial" w:hAnsi="Arial"/>
                <w:b/>
                <w:bCs/>
                <w:color w:val="FFFFFF"/>
                <w:sz w:val="22"/>
                <w:szCs w:val="22"/>
              </w:rPr>
              <w:t xml:space="preserve">Novembre 2025</w:t>
            </w:r>
          </w:p>
        </w:tc>
        <w:tc>
          <w:tcPr>
            <w:tcW w:type="dxa" w:w="71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00"/>
            </w:tcMar>
            <w:vAlign w:val="center"/>
          </w:tcPr>
          <w:p>
            <w:pPr>
              <w:spacing w:after="0" w:before="0"/>
            </w:pPr>
            <w:r>
              <w:rPr>
                <w:rFonts w:ascii="Arial" w:cs="Arial" w:eastAsia="Arial" w:hAnsi="Arial"/>
                <w:color w:val="1F4E79"/>
                <w:sz w:val="22"/>
                <w:szCs w:val="22"/>
              </w:rPr>
              <w:t xml:space="preserve">Découverte de NIS 2 dans le cadre du stage</w:t>
            </w:r>
          </w:p>
        </w:tc>
      </w:tr>
    </w:tbl>
    <w:p>
      <w:pPr>
        <w:spacing w:after="0" w:before="120"/>
      </w:pPr>
      <w:r>
        <w:t xml:space="preserve"/>
      </w:r>
    </w:p>
    <w:p>
      <w:pPr>
        <w:pStyle w:val="Heading2"/>
        <w:spacing w:after="100" w:before="280"/>
      </w:pPr>
      <w:r>
        <w:rPr>
          <w:rFonts w:ascii="Arial" w:cs="Arial" w:eastAsia="Arial" w:hAnsi="Arial"/>
          <w:b/>
          <w:bCs/>
          <w:color w:val="0070C0"/>
          <w:sz w:val="28"/>
          <w:szCs w:val="28"/>
        </w:rPr>
        <w:t xml:space="preserve">3.1 Présentation de la directive NIS 2</w:t>
      </w:r>
    </w:p>
    <w:p>
      <w:pPr>
        <w:spacing w:after="100" w:before="60"/>
      </w:pPr>
      <w:r>
        <w:rPr>
          <w:rFonts w:ascii="Arial" w:cs="Arial" w:eastAsia="Arial" w:hAnsi="Arial"/>
          <w:sz w:val="22"/>
          <w:szCs w:val="22"/>
        </w:rPr>
        <w:t xml:space="preserve">En novembre 2025, dans le cadre de mon analyse des politiques de cybersécurité de Danone, j’ai approfondi la directive </w:t>
      </w:r>
      <w:r>
        <w:rPr>
          <w:rFonts w:ascii="Arial" w:cs="Arial" w:eastAsia="Arial" w:hAnsi="Arial"/>
          <w:b/>
          <w:bCs/>
          <w:color w:val="000000"/>
          <w:sz w:val="22"/>
          <w:szCs w:val="22"/>
        </w:rPr>
        <w:t xml:space="preserve">NIS 2 (Network and Information Security 2)</w:t>
      </w:r>
      <w:r>
        <w:rPr>
          <w:rFonts w:ascii="Arial" w:cs="Arial" w:eastAsia="Arial" w:hAnsi="Arial"/>
          <w:sz w:val="22"/>
          <w:szCs w:val="22"/>
        </w:rPr>
        <w:t xml:space="preserve">, directive (UE) 2022/2555 adoptée le 14 décembre 2022. Elle remplace NIS 1 en élargissant le périmètre de 7 à </w:t>
      </w:r>
      <w:r>
        <w:rPr>
          <w:rFonts w:ascii="Arial" w:cs="Arial" w:eastAsia="Arial" w:hAnsi="Arial"/>
          <w:b/>
          <w:bCs/>
          <w:color w:val="000000"/>
          <w:sz w:val="22"/>
          <w:szCs w:val="22"/>
        </w:rPr>
        <w:t xml:space="preserve">18 secteurs</w:t>
      </w:r>
      <w:r>
        <w:rPr>
          <w:rFonts w:ascii="Arial" w:cs="Arial" w:eastAsia="Arial" w:hAnsi="Arial"/>
          <w:sz w:val="22"/>
          <w:szCs w:val="22"/>
        </w:rPr>
        <w:t xml:space="preserve"> et de ~300 à </w:t>
      </w:r>
      <w:r>
        <w:rPr>
          <w:rFonts w:ascii="Arial" w:cs="Arial" w:eastAsia="Arial" w:hAnsi="Arial"/>
          <w:b/>
          <w:bCs/>
          <w:color w:val="000000"/>
          <w:sz w:val="22"/>
          <w:szCs w:val="22"/>
        </w:rPr>
        <w:t xml:space="preserve">~15 000 entités concernées en France</w:t>
      </w:r>
      <w:r>
        <w:rPr>
          <w:rFonts w:ascii="Arial" w:cs="Arial" w:eastAsia="Arial" w:hAnsi="Arial"/>
          <w:sz w:val="22"/>
          <w:szCs w:val="22"/>
        </w:rPr>
        <w:t xml:space="preserv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120"/>
              <w:left w:type="dxa" w:w="100"/>
              <w:bottom w:type="dxa" w:w="120"/>
              <w:right w:type="dxa" w:w="100"/>
            </w:tcMar>
            <w:vAlign w:val="center"/>
          </w:tcPr>
          <w:p>
            <w:pPr>
              <w:spacing w:after="40" w:before="0"/>
              <w:jc w:val="center"/>
            </w:pPr>
            <w:r>
              <w:rPr>
                <w:rFonts w:ascii="Arial" w:cs="Arial" w:eastAsia="Arial" w:hAnsi="Arial"/>
                <w:b/>
                <w:bCs/>
                <w:color w:val="1F4E79"/>
                <w:sz w:val="40"/>
                <w:szCs w:val="40"/>
              </w:rPr>
              <w:t xml:space="preserve">18</w:t>
            </w:r>
          </w:p>
          <w:p>
            <w:pPr>
              <w:spacing w:after="0" w:before="0"/>
              <w:jc w:val="center"/>
            </w:pPr>
            <w:r>
              <w:rPr>
                <w:rFonts w:ascii="Arial" w:cs="Arial" w:eastAsia="Arial" w:hAnsi="Arial"/>
                <w:color w:val="595959"/>
                <w:sz w:val="17"/>
                <w:szCs w:val="17"/>
              </w:rPr>
              <w:t xml:space="preserve">secteurs couverts (NIS 1 : 7)</w:t>
            </w:r>
          </w:p>
        </w:tc>
        <w:tc>
          <w:tcPr>
            <w:tcW w:type="dxa" w:w="3008"/>
            <w:tcBorders>
              <w:top w:val="single" w:color="CCCCCC" w:sz="1"/>
              <w:left w:val="single" w:color="CCCCCC" w:sz="1"/>
              <w:bottom w:val="single" w:color="CCCCCC" w:sz="1"/>
              <w:right w:val="single" w:color="CCCCCC" w:sz="1"/>
            </w:tcBorders>
            <w:shd w:fill="EDE7F6" w:val="clear"/>
            <w:tcMar>
              <w:top w:type="dxa" w:w="120"/>
              <w:left w:type="dxa" w:w="100"/>
              <w:bottom w:type="dxa" w:w="120"/>
              <w:right w:type="dxa" w:w="100"/>
            </w:tcMar>
            <w:vAlign w:val="center"/>
          </w:tcPr>
          <w:p>
            <w:pPr>
              <w:spacing w:after="40" w:before="0"/>
              <w:jc w:val="center"/>
            </w:pPr>
            <w:r>
              <w:rPr>
                <w:rFonts w:ascii="Arial" w:cs="Arial" w:eastAsia="Arial" w:hAnsi="Arial"/>
                <w:b/>
                <w:bCs/>
                <w:color w:val="5B2C8D"/>
                <w:sz w:val="40"/>
                <w:szCs w:val="40"/>
              </w:rPr>
              <w:t xml:space="preserve">~15 000</w:t>
            </w:r>
          </w:p>
          <w:p>
            <w:pPr>
              <w:spacing w:after="0" w:before="0"/>
              <w:jc w:val="center"/>
            </w:pPr>
            <w:r>
              <w:rPr>
                <w:rFonts w:ascii="Arial" w:cs="Arial" w:eastAsia="Arial" w:hAnsi="Arial"/>
                <w:color w:val="595959"/>
                <w:sz w:val="17"/>
                <w:szCs w:val="17"/>
              </w:rPr>
              <w:t xml:space="preserve">entités concernées en France</w:t>
            </w:r>
          </w:p>
        </w:tc>
        <w:tc>
          <w:tcPr>
            <w:tcW w:type="dxa" w:w="3008"/>
            <w:tcBorders>
              <w:top w:val="single" w:color="CCCCCC" w:sz="1"/>
              <w:left w:val="single" w:color="CCCCCC" w:sz="1"/>
              <w:bottom w:val="single" w:color="CCCCCC" w:sz="1"/>
              <w:right w:val="single" w:color="CCCCCC" w:sz="1"/>
            </w:tcBorders>
            <w:shd w:fill="FDDBD8" w:val="clear"/>
            <w:tcMar>
              <w:top w:type="dxa" w:w="120"/>
              <w:left w:type="dxa" w:w="100"/>
              <w:bottom w:type="dxa" w:w="120"/>
              <w:right w:type="dxa" w:w="100"/>
            </w:tcMar>
            <w:vAlign w:val="center"/>
          </w:tcPr>
          <w:p>
            <w:pPr>
              <w:spacing w:after="40" w:before="0"/>
              <w:jc w:val="center"/>
            </w:pPr>
            <w:r>
              <w:rPr>
                <w:rFonts w:ascii="Arial" w:cs="Arial" w:eastAsia="Arial" w:hAnsi="Arial"/>
                <w:b/>
                <w:bCs/>
                <w:color w:val="C00000"/>
                <w:sz w:val="40"/>
                <w:szCs w:val="40"/>
              </w:rPr>
              <w:t xml:space="preserve">10 M€</w:t>
            </w:r>
          </w:p>
          <w:p>
            <w:pPr>
              <w:spacing w:after="0" w:before="0"/>
              <w:jc w:val="center"/>
            </w:pPr>
            <w:r>
              <w:rPr>
                <w:rFonts w:ascii="Arial" w:cs="Arial" w:eastAsia="Arial" w:hAnsi="Arial"/>
                <w:color w:val="595959"/>
                <w:sz w:val="17"/>
                <w:szCs w:val="17"/>
              </w:rPr>
              <w:t xml:space="preserve">amende max. entités essentielles</w:t>
            </w:r>
          </w:p>
        </w:tc>
      </w:tr>
    </w:tbl>
    <w:p>
      <w:pPr>
        <w:spacing w:after="0" w:before="80"/>
      </w:pPr>
      <w:r>
        <w:t xml:space="preserve"/>
      </w:r>
    </w:p>
    <w:p>
      <w:pPr>
        <w:spacing w:after="0" w:before="40"/>
        <w:ind w:left="720"/>
      </w:pPr>
      <w:r>
        <w:rPr>
          <w:rFonts w:ascii="Arial" w:cs="Arial" w:eastAsia="Arial" w:hAnsi="Arial"/>
          <w:i/>
          <w:iCs/>
          <w:color w:val="595959"/>
          <w:sz w:val="18"/>
          <w:szCs w:val="18"/>
        </w:rPr>
        <w:t xml:space="preserve">ℹ SoSafe, « Guide NIS2 2025 » — Septembre 2025</w:t>
      </w:r>
    </w:p>
    <w:p>
      <w:pPr>
        <w:spacing w:after="60" w:before="0"/>
        <w:ind w:left="720"/>
      </w:pPr>
      <w:r>
        <w:rPr>
          <w:rFonts w:ascii="Courier New" w:cs="Courier New" w:eastAsia="Courier New" w:hAnsi="Courier New"/>
          <w:color w:val="1155CC"/>
          <w:sz w:val="17"/>
          <w:szCs w:val="17"/>
        </w:rPr>
        <w:t xml:space="preserve">https://sosafe-awareness.com/fr/blog/nis2-obligation-cybersecurite-strategie/</w:t>
      </w:r>
    </w:p>
    <w:p>
      <w:pPr>
        <w:spacing w:after="0" w:before="40"/>
        <w:ind w:left="720"/>
      </w:pPr>
      <w:r>
        <w:rPr>
          <w:rFonts w:ascii="Arial" w:cs="Arial" w:eastAsia="Arial" w:hAnsi="Arial"/>
          <w:i/>
          <w:iCs/>
          <w:color w:val="595959"/>
          <w:sz w:val="18"/>
          <w:szCs w:val="18"/>
        </w:rPr>
        <w:t xml:space="preserve">ℹ Orange Cyberdefense, « Tout sur NIS2 en 2025 » — 2025</w:t>
      </w:r>
    </w:p>
    <w:p>
      <w:pPr>
        <w:spacing w:after="60" w:before="0"/>
        <w:ind w:left="720"/>
      </w:pPr>
      <w:r>
        <w:rPr>
          <w:rFonts w:ascii="Courier New" w:cs="Courier New" w:eastAsia="Courier New" w:hAnsi="Courier New"/>
          <w:color w:val="1155CC"/>
          <w:sz w:val="17"/>
          <w:szCs w:val="17"/>
        </w:rPr>
        <w:t xml:space="preserve">https://www.orangecyberdefense.com/fr/insights/blog/nis-2-obligations-echeances-sanctions-et-mise-en-conformite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00"/>
            </w:tcMar>
            <w:vAlign w:val="center"/>
          </w:tcPr>
          <w:p>
            <w:pPr>
              <w:spacing w:after="0" w:before="0"/>
            </w:pPr>
            <w:r>
              <w:rPr>
                <w:rFonts w:ascii="Arial" w:cs="Arial" w:eastAsia="Arial" w:hAnsi="Arial"/>
                <w:b/>
                <w:bCs/>
                <w:color w:val="FFFFFF"/>
                <w:sz w:val="22"/>
                <w:szCs w:val="22"/>
              </w:rPr>
              <w:t xml:space="preserve">Décembre 2025</w:t>
            </w:r>
          </w:p>
        </w:tc>
        <w:tc>
          <w:tcPr>
            <w:tcW w:type="dxa" w:w="71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00"/>
            </w:tcMar>
            <w:vAlign w:val="center"/>
          </w:tcPr>
          <w:p>
            <w:pPr>
              <w:spacing w:after="0" w:before="0"/>
            </w:pPr>
            <w:r>
              <w:rPr>
                <w:rFonts w:ascii="Arial" w:cs="Arial" w:eastAsia="Arial" w:hAnsi="Arial"/>
                <w:color w:val="1F4E79"/>
                <w:sz w:val="22"/>
                <w:szCs w:val="22"/>
              </w:rPr>
              <w:t xml:space="preserve">Suivi du processus législatif français</w:t>
            </w:r>
          </w:p>
        </w:tc>
      </w:tr>
    </w:tbl>
    <w:p>
      <w:pPr>
        <w:spacing w:after="0" w:before="120"/>
      </w:pPr>
      <w:r>
        <w:t xml:space="preserve"/>
      </w:r>
    </w:p>
    <w:p>
      <w:pPr>
        <w:pStyle w:val="Heading2"/>
        <w:spacing w:after="100" w:before="280"/>
      </w:pPr>
      <w:r>
        <w:rPr>
          <w:rFonts w:ascii="Arial" w:cs="Arial" w:eastAsia="Arial" w:hAnsi="Arial"/>
          <w:b/>
          <w:bCs/>
          <w:color w:val="0070C0"/>
          <w:sz w:val="28"/>
          <w:szCs w:val="28"/>
        </w:rPr>
        <w:t xml:space="preserve">3.2 État de la transposition en France (fin 2025)</w:t>
      </w:r>
    </w:p>
    <w:p>
      <w:pPr>
        <w:spacing w:after="100" w:before="60"/>
      </w:pPr>
      <w:r>
        <w:rPr>
          <w:rFonts w:ascii="Arial" w:cs="Arial" w:eastAsia="Arial" w:hAnsi="Arial"/>
          <w:sz w:val="22"/>
          <w:szCs w:val="22"/>
        </w:rPr>
        <w:t xml:space="preserve">En décembre 2025, j’ai suivi l’avancement du projet de loi </w:t>
      </w:r>
      <w:r>
        <w:rPr>
          <w:rFonts w:ascii="Arial" w:cs="Arial" w:eastAsia="Arial" w:hAnsi="Arial"/>
          <w:b/>
          <w:bCs/>
          <w:color w:val="000000"/>
          <w:sz w:val="22"/>
          <w:szCs w:val="22"/>
        </w:rPr>
        <w:t xml:space="preserve">« Loi Résilience »</w:t>
      </w:r>
      <w:r>
        <w:rPr>
          <w:rFonts w:ascii="Arial" w:cs="Arial" w:eastAsia="Arial" w:hAnsi="Arial"/>
          <w:sz w:val="22"/>
          <w:szCs w:val="22"/>
        </w:rPr>
        <w:t xml:space="preserve">, qui vise à transposer simultanément NIS 2, DORA et le REC. La France a dépassé la deadline européenne d’octobre 2024, entraînant une procédure d’infraction.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jc w:val="center"/>
            </w:pPr>
            <w:r>
              <w:rPr>
                <w:rFonts w:ascii="Arial" w:cs="Arial" w:eastAsia="Arial" w:hAnsi="Arial"/>
                <w:b/>
                <w:bCs/>
                <w:color w:val="FFFFFF"/>
                <w:sz w:val="20"/>
                <w:szCs w:val="20"/>
              </w:rPr>
              <w:t xml:space="preserve">Période</w:t>
            </w:r>
          </w:p>
        </w:tc>
        <w:tc>
          <w:tcPr>
            <w:tcW w:type="dxa" w:w="3008"/>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jc w:val="center"/>
            </w:pPr>
            <w:r>
              <w:rPr>
                <w:rFonts w:ascii="Arial" w:cs="Arial" w:eastAsia="Arial" w:hAnsi="Arial"/>
                <w:b/>
                <w:bCs/>
                <w:color w:val="FFFFFF"/>
                <w:sz w:val="20"/>
                <w:szCs w:val="20"/>
              </w:rPr>
              <w:t xml:space="preserve">Événement</w:t>
            </w:r>
          </w:p>
        </w:tc>
        <w:tc>
          <w:tcPr>
            <w:tcW w:type="dxa" w:w="3008"/>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jc w:val="center"/>
            </w:pPr>
            <w:r>
              <w:rPr>
                <w:rFonts w:ascii="Arial" w:cs="Arial" w:eastAsia="Arial" w:hAnsi="Arial"/>
                <w:b/>
                <w:bCs/>
                <w:color w:val="FFFFFF"/>
                <w:sz w:val="20"/>
                <w:szCs w:val="20"/>
              </w:rPr>
              <w:t xml:space="preserve">Statut à fin 2025</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left"/>
            </w:pPr>
            <w:r>
              <w:rPr>
                <w:rFonts w:ascii="Arial" w:cs="Arial" w:eastAsia="Arial" w:hAnsi="Arial"/>
                <w:b/>
                <w:bCs/>
                <w:color w:val="1F4E79"/>
                <w:sz w:val="20"/>
                <w:szCs w:val="20"/>
              </w:rPr>
              <w:t xml:space="preserve">Déc. 2022</w:t>
            </w:r>
          </w:p>
        </w:tc>
        <w:tc>
          <w:tcPr>
            <w:tcW w:type="dxa" w:w="300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Adoption de NIS 2 au niveau européen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Accompli</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left"/>
            </w:pPr>
            <w:r>
              <w:rPr>
                <w:rFonts w:ascii="Arial" w:cs="Arial" w:eastAsia="Arial" w:hAnsi="Arial"/>
                <w:b/>
                <w:bCs/>
                <w:color w:val="1F4E79"/>
                <w:sz w:val="20"/>
                <w:szCs w:val="20"/>
              </w:rPr>
              <w:t xml:space="preserve">Oct. 2024</w:t>
            </w:r>
          </w:p>
        </w:tc>
        <w:tc>
          <w:tcPr>
            <w:tcW w:type="dxa" w:w="3008"/>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Deadline transposition (non respectée)</w:t>
            </w:r>
          </w:p>
        </w:tc>
        <w:tc>
          <w:tcPr>
            <w:tcW w:type="dxa" w:w="3008"/>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Dépassée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left"/>
            </w:pPr>
            <w:r>
              <w:rPr>
                <w:rFonts w:ascii="Arial" w:cs="Arial" w:eastAsia="Arial" w:hAnsi="Arial"/>
                <w:b/>
                <w:bCs/>
                <w:color w:val="1F4E79"/>
                <w:sz w:val="20"/>
                <w:szCs w:val="20"/>
              </w:rPr>
              <w:t xml:space="preserve">Nov. 2024</w:t>
            </w:r>
          </w:p>
        </w:tc>
        <w:tc>
          <w:tcPr>
            <w:tcW w:type="dxa" w:w="300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Procédures d’infraction (23 États)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En cours</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left"/>
            </w:pPr>
            <w:r>
              <w:rPr>
                <w:rFonts w:ascii="Arial" w:cs="Arial" w:eastAsia="Arial" w:hAnsi="Arial"/>
                <w:b/>
                <w:bCs/>
                <w:color w:val="1F4E79"/>
                <w:sz w:val="20"/>
                <w:szCs w:val="20"/>
              </w:rPr>
              <w:t xml:space="preserve">12 mars 2025</w:t>
            </w:r>
          </w:p>
        </w:tc>
        <w:tc>
          <w:tcPr>
            <w:tcW w:type="dxa" w:w="3008"/>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Vote au Sénat — Loi Résilience</w:t>
            </w:r>
          </w:p>
        </w:tc>
        <w:tc>
          <w:tcPr>
            <w:tcW w:type="dxa" w:w="3008"/>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Adopté Sénat</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left"/>
            </w:pPr>
            <w:r>
              <w:rPr>
                <w:rFonts w:ascii="Arial" w:cs="Arial" w:eastAsia="Arial" w:hAnsi="Arial"/>
                <w:b/>
                <w:bCs/>
                <w:color w:val="1F4E79"/>
                <w:sz w:val="20"/>
                <w:szCs w:val="20"/>
              </w:rPr>
              <w:t xml:space="preserve">7 mai 2025</w:t>
            </w:r>
          </w:p>
        </w:tc>
        <w:tc>
          <w:tcPr>
            <w:tcW w:type="dxa" w:w="300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Avis motivé Commission européenne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Notifié</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left"/>
            </w:pPr>
            <w:r>
              <w:rPr>
                <w:rFonts w:ascii="Arial" w:cs="Arial" w:eastAsia="Arial" w:hAnsi="Arial"/>
                <w:b/>
                <w:bCs/>
                <w:color w:val="1F4E79"/>
                <w:sz w:val="20"/>
                <w:szCs w:val="20"/>
              </w:rPr>
              <w:t xml:space="preserve">10 sept. 2025</w:t>
            </w:r>
          </w:p>
        </w:tc>
        <w:tc>
          <w:tcPr>
            <w:tcW w:type="dxa" w:w="3008"/>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Vote en commission Assemblée nationale</w:t>
            </w:r>
          </w:p>
        </w:tc>
        <w:tc>
          <w:tcPr>
            <w:tcW w:type="dxa" w:w="3008"/>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Voté</w:t>
            </w:r>
          </w:p>
        </w:tc>
      </w:tr>
    </w:tbl>
    <w:p>
      <w:pPr>
        <w:spacing w:after="0" w:before="80"/>
      </w:pPr>
      <w:r>
        <w:t xml:space="preserve"/>
      </w:r>
    </w:p>
    <w:p>
      <w:pPr>
        <w:spacing w:after="0" w:before="40"/>
        <w:ind w:left="720"/>
      </w:pPr>
      <w:r>
        <w:rPr>
          <w:rFonts w:ascii="Arial" w:cs="Arial" w:eastAsia="Arial" w:hAnsi="Arial"/>
          <w:i/>
          <w:iCs/>
          <w:color w:val="595959"/>
          <w:sz w:val="18"/>
          <w:szCs w:val="18"/>
        </w:rPr>
        <w:t xml:space="preserve">ℹ Infonet.fr, « NIS2 : défis en France » — Novembre 2025</w:t>
      </w:r>
    </w:p>
    <w:p>
      <w:pPr>
        <w:spacing w:after="60" w:before="0"/>
        <w:ind w:left="720"/>
      </w:pPr>
      <w:r>
        <w:rPr>
          <w:rFonts w:ascii="Courier New" w:cs="Courier New" w:eastAsia="Courier New" w:hAnsi="Courier New"/>
          <w:color w:val="1155CC"/>
          <w:sz w:val="17"/>
          <w:szCs w:val="17"/>
        </w:rPr>
        <w:t xml:space="preserve">https://infonet.fr/actualite/articles-sur-lactualite-technologique/nis2-implementation-defis-france/</w:t>
      </w:r>
    </w:p>
    <w:p>
      <w:pPr>
        <w:spacing w:after="0" w:before="40"/>
        <w:ind w:left="720"/>
      </w:pPr>
      <w:r>
        <w:rPr>
          <w:rFonts w:ascii="Arial" w:cs="Arial" w:eastAsia="Arial" w:hAnsi="Arial"/>
          <w:i/>
          <w:iCs/>
          <w:color w:val="595959"/>
          <w:sz w:val="18"/>
          <w:szCs w:val="18"/>
        </w:rPr>
        <w:t xml:space="preserve">ℹ PwC, « Directive NIS 2 : impacts pour les entreprises » — 2025</w:t>
      </w:r>
    </w:p>
    <w:p>
      <w:pPr>
        <w:spacing w:after="60" w:before="0"/>
        <w:ind w:left="720"/>
      </w:pPr>
      <w:r>
        <w:rPr>
          <w:rFonts w:ascii="Courier New" w:cs="Courier New" w:eastAsia="Courier New" w:hAnsi="Courier New"/>
          <w:color w:val="1155CC"/>
          <w:sz w:val="17"/>
          <w:szCs w:val="17"/>
        </w:rPr>
        <w:t xml:space="preserve">https://www.pwc.fr/fr/publications/cybersecurite/directive-nis-2.html</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00"/>
            </w:tcMar>
            <w:vAlign w:val="center"/>
          </w:tcPr>
          <w:p>
            <w:pPr>
              <w:spacing w:after="0" w:before="0"/>
            </w:pPr>
            <w:r>
              <w:rPr>
                <w:rFonts w:ascii="Arial" w:cs="Arial" w:eastAsia="Arial" w:hAnsi="Arial"/>
                <w:b/>
                <w:bCs/>
                <w:color w:val="FFFFFF"/>
                <w:sz w:val="22"/>
                <w:szCs w:val="22"/>
              </w:rPr>
              <w:t xml:space="preserve">Janvier – Février 2026</w:t>
            </w:r>
          </w:p>
        </w:tc>
        <w:tc>
          <w:tcPr>
            <w:tcW w:type="dxa" w:w="71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00"/>
            </w:tcMar>
            <w:vAlign w:val="center"/>
          </w:tcPr>
          <w:p>
            <w:pPr>
              <w:spacing w:after="0" w:before="0"/>
            </w:pPr>
            <w:r>
              <w:rPr>
                <w:rFonts w:ascii="Arial" w:cs="Arial" w:eastAsia="Arial" w:hAnsi="Arial"/>
                <w:color w:val="1F4E79"/>
                <w:sz w:val="22"/>
                <w:szCs w:val="22"/>
              </w:rPr>
              <w:t xml:space="preserve">Obligations concrètes — entités et responsabilité dirigeants</w:t>
            </w:r>
          </w:p>
        </w:tc>
      </w:tr>
    </w:tbl>
    <w:p>
      <w:pPr>
        <w:spacing w:after="0" w:before="120"/>
      </w:pPr>
      <w:r>
        <w:t xml:space="preserve"/>
      </w:r>
    </w:p>
    <w:p>
      <w:pPr>
        <w:pStyle w:val="Heading2"/>
        <w:spacing w:after="100" w:before="280"/>
      </w:pPr>
      <w:r>
        <w:rPr>
          <w:rFonts w:ascii="Arial" w:cs="Arial" w:eastAsia="Arial" w:hAnsi="Arial"/>
          <w:b/>
          <w:bCs/>
          <w:color w:val="0070C0"/>
          <w:sz w:val="28"/>
          <w:szCs w:val="28"/>
        </w:rPr>
        <w:t xml:space="preserve">3.3 Obligations concrètes de NIS 2</w:t>
      </w:r>
    </w:p>
    <w:p>
      <w:pPr>
        <w:pStyle w:val="Heading3"/>
        <w:spacing w:after="80" w:before="200"/>
      </w:pPr>
      <w:r>
        <w:rPr>
          <w:rFonts w:ascii="Arial" w:cs="Arial" w:eastAsia="Arial" w:hAnsi="Arial"/>
          <w:b/>
          <w:bCs/>
          <w:color w:val="1F4E79"/>
          <w:sz w:val="24"/>
          <w:szCs w:val="24"/>
        </w:rPr>
        <w:t xml:space="preserve">a) Deux catégories d’entités</w:t>
      </w:r>
    </w:p>
    <w:p>
      <w:pPr>
        <w:pStyle w:val="ListParagraph"/>
        <w:numPr>
          <w:ilvl w:val="0"/>
          <w:numId w:val="2"/>
        </w:numPr>
        <w:spacing w:after="40" w:before="40"/>
      </w:pPr>
      <w:r>
        <w:rPr>
          <w:rFonts w:ascii="Arial" w:cs="Arial" w:eastAsia="Arial" w:hAnsi="Arial"/>
          <w:b/>
          <w:bCs/>
          <w:color w:val="000000"/>
          <w:sz w:val="22"/>
          <w:szCs w:val="22"/>
        </w:rPr>
        <w:t xml:space="preserve">Entités Essentielles (EE) : </w:t>
      </w:r>
      <w:r>
        <w:rPr>
          <w:rFonts w:ascii="Arial" w:cs="Arial" w:eastAsia="Arial" w:hAnsi="Arial"/>
          <w:sz w:val="22"/>
          <w:szCs w:val="22"/>
        </w:rPr>
        <w:t xml:space="preserve">grandes organisations secteurs critiques. SOC obligatoire, gestion formalisée des risques. Amendes jusqu’à 10 M€ ou 2 % du CA mondial.</w:t>
      </w:r>
    </w:p>
    <w:p>
      <w:pPr>
        <w:pStyle w:val="ListParagraph"/>
        <w:numPr>
          <w:ilvl w:val="0"/>
          <w:numId w:val="2"/>
        </w:numPr>
        <w:spacing w:after="40" w:before="40"/>
      </w:pPr>
      <w:r>
        <w:rPr>
          <w:rFonts w:ascii="Arial" w:cs="Arial" w:eastAsia="Arial" w:hAnsi="Arial"/>
          <w:b/>
          <w:bCs/>
          <w:color w:val="000000"/>
          <w:sz w:val="22"/>
          <w:szCs w:val="22"/>
        </w:rPr>
        <w:t xml:space="preserve">Entités Importantes (EI) : </w:t>
      </w:r>
      <w:r>
        <w:rPr>
          <w:rFonts w:ascii="Arial" w:cs="Arial" w:eastAsia="Arial" w:hAnsi="Arial"/>
          <w:sz w:val="22"/>
          <w:szCs w:val="22"/>
        </w:rPr>
        <w:t xml:space="preserve">PME/ETI dans les secteurs importants. Obligations ~60 % de celles des EE. Amendes jusqu’à 7 M€ ou 1,4 % du CA.</w:t>
      </w:r>
    </w:p>
    <w:p>
      <w:pPr>
        <w:spacing w:after="0" w:before="80"/>
      </w:pPr>
      <w:r>
        <w:t xml:space="preserve"/>
      </w:r>
    </w:p>
    <w:p>
      <w:pPr>
        <w:pStyle w:val="Heading3"/>
        <w:spacing w:after="80" w:before="200"/>
      </w:pPr>
      <w:r>
        <w:rPr>
          <w:rFonts w:ascii="Arial" w:cs="Arial" w:eastAsia="Arial" w:hAnsi="Arial"/>
          <w:b/>
          <w:bCs/>
          <w:color w:val="1F4E79"/>
          <w:sz w:val="24"/>
          <w:szCs w:val="24"/>
        </w:rPr>
        <w:t xml:space="preserve">b) Responsabilité personnelle des dirigeants</w:t>
      </w:r>
    </w:p>
    <w:p>
      <w:pPr>
        <w:spacing w:after="100" w:before="60"/>
      </w:pPr>
      <w:r>
        <w:rPr>
          <w:rFonts w:ascii="Arial" w:cs="Arial" w:eastAsia="Arial" w:hAnsi="Arial"/>
          <w:sz w:val="22"/>
          <w:szCs w:val="22"/>
        </w:rPr>
        <w:t xml:space="preserve">Innovation majeure de NIS 2 : les membres du conseil d’administration peuvent être </w:t>
      </w:r>
      <w:r>
        <w:rPr>
          <w:rFonts w:ascii="Arial" w:cs="Arial" w:eastAsia="Arial" w:hAnsi="Arial"/>
          <w:b/>
          <w:bCs/>
          <w:color w:val="000000"/>
          <w:sz w:val="22"/>
          <w:szCs w:val="22"/>
        </w:rPr>
        <w:t xml:space="preserve">tenus personnellement responsables</w:t>
      </w:r>
      <w:r>
        <w:rPr>
          <w:rFonts w:ascii="Arial" w:cs="Arial" w:eastAsia="Arial" w:hAnsi="Arial"/>
          <w:sz w:val="22"/>
          <w:szCs w:val="22"/>
        </w:rPr>
        <w:t xml:space="preserve"> en cas de manquement. Cela peut se traduire par une </w:t>
      </w:r>
      <w:r>
        <w:rPr>
          <w:rFonts w:ascii="Arial" w:cs="Arial" w:eastAsia="Arial" w:hAnsi="Arial"/>
          <w:b/>
          <w:bCs/>
          <w:color w:val="000000"/>
          <w:sz w:val="22"/>
          <w:szCs w:val="22"/>
        </w:rPr>
        <w:t xml:space="preserve">interdiction temporaire d’exercer</w:t>
      </w:r>
      <w:r>
        <w:rPr>
          <w:rFonts w:ascii="Arial" w:cs="Arial" w:eastAsia="Arial" w:hAnsi="Arial"/>
          <w:sz w:val="22"/>
          <w:szCs w:val="22"/>
        </w:rPr>
        <w:t xml:space="preserve">, des poursuites civiles et pénales. Formation cybersécurité obligatoire pour les dirigeants.</w:t>
      </w:r>
    </w:p>
    <w:p>
      <w:pPr>
        <w:spacing w:after="0" w:before="80"/>
      </w:pPr>
      <w:r>
        <w:t xml:space="preserve"/>
      </w:r>
    </w:p>
    <w:p>
      <w:pPr>
        <w:spacing w:after="0" w:before="40"/>
        <w:ind w:left="720"/>
      </w:pPr>
      <w:r>
        <w:rPr>
          <w:rFonts w:ascii="Arial" w:cs="Arial" w:eastAsia="Arial" w:hAnsi="Arial"/>
          <w:i/>
          <w:iCs/>
          <w:color w:val="595959"/>
          <w:sz w:val="18"/>
          <w:szCs w:val="18"/>
        </w:rPr>
        <w:t xml:space="preserve">ℹ Copla, « NIS2 France Implementation 2026 » — Janvier 2026</w:t>
      </w:r>
    </w:p>
    <w:p>
      <w:pPr>
        <w:spacing w:after="60" w:before="0"/>
        <w:ind w:left="720"/>
      </w:pPr>
      <w:r>
        <w:rPr>
          <w:rFonts w:ascii="Courier New" w:cs="Courier New" w:eastAsia="Courier New" w:hAnsi="Courier New"/>
          <w:color w:val="1155CC"/>
          <w:sz w:val="17"/>
          <w:szCs w:val="17"/>
        </w:rPr>
        <w:t xml:space="preserve">https://copla.com/blog/compliance-regulations/nis2-directive-regulations-and-implementation-in-france/</w:t>
      </w:r>
    </w:p>
    <w:p>
      <w:pPr>
        <w:spacing w:after="0" w:before="40"/>
        <w:ind w:left="720"/>
      </w:pPr>
      <w:r>
        <w:rPr>
          <w:rFonts w:ascii="Arial" w:cs="Arial" w:eastAsia="Arial" w:hAnsi="Arial"/>
          <w:i/>
          <w:iCs/>
          <w:color w:val="595959"/>
          <w:sz w:val="18"/>
          <w:szCs w:val="18"/>
        </w:rPr>
        <w:t xml:space="preserve">ℹ Wikipedia, « Directive NIS 2 » — Consulté février 2026</w:t>
      </w:r>
    </w:p>
    <w:p>
      <w:pPr>
        <w:spacing w:after="60" w:before="0"/>
        <w:ind w:left="720"/>
      </w:pPr>
      <w:r>
        <w:rPr>
          <w:rFonts w:ascii="Courier New" w:cs="Courier New" w:eastAsia="Courier New" w:hAnsi="Courier New"/>
          <w:color w:val="1155CC"/>
          <w:sz w:val="17"/>
          <w:szCs w:val="17"/>
        </w:rPr>
        <w:t xml:space="preserve">https://fr.wikipedia.org/wiki/Directive_NIS_2</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00"/>
            </w:tcMar>
            <w:vAlign w:val="center"/>
          </w:tcPr>
          <w:p>
            <w:pPr>
              <w:spacing w:after="0" w:before="0"/>
            </w:pPr>
            <w:r>
              <w:rPr>
                <w:rFonts w:ascii="Arial" w:cs="Arial" w:eastAsia="Arial" w:hAnsi="Arial"/>
                <w:b/>
                <w:bCs/>
                <w:color w:val="FFFFFF"/>
                <w:sz w:val="22"/>
                <w:szCs w:val="22"/>
              </w:rPr>
              <w:t xml:space="preserve">Mars – Mai 2026</w:t>
            </w:r>
          </w:p>
        </w:tc>
        <w:tc>
          <w:tcPr>
            <w:tcW w:type="dxa" w:w="71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00"/>
            </w:tcMar>
            <w:vAlign w:val="center"/>
          </w:tcPr>
          <w:p>
            <w:pPr>
              <w:spacing w:after="0" w:before="0"/>
            </w:pPr>
            <w:r>
              <w:rPr>
                <w:rFonts w:ascii="Arial" w:cs="Arial" w:eastAsia="Arial" w:hAnsi="Arial"/>
                <w:color w:val="1F4E79"/>
                <w:sz w:val="22"/>
                <w:szCs w:val="22"/>
              </w:rPr>
              <w:t xml:space="preserve">Publication du ReCyF et bilan final de la transposition</w:t>
            </w:r>
          </w:p>
        </w:tc>
      </w:tr>
    </w:tbl>
    <w:p>
      <w:pPr>
        <w:spacing w:after="0" w:before="120"/>
      </w:pPr>
      <w:r>
        <w:t xml:space="preserve"/>
      </w:r>
    </w:p>
    <w:p>
      <w:pPr>
        <w:pStyle w:val="Heading2"/>
        <w:spacing w:after="100" w:before="280"/>
      </w:pPr>
      <w:r>
        <w:rPr>
          <w:rFonts w:ascii="Arial" w:cs="Arial" w:eastAsia="Arial" w:hAnsi="Arial"/>
          <w:b/>
          <w:bCs/>
          <w:color w:val="0070C0"/>
          <w:sz w:val="28"/>
          <w:szCs w:val="28"/>
        </w:rPr>
        <w:t xml:space="preserve">3.4 Le Référentiel Cyber France (ReCyF) — mars 2026</w:t>
      </w:r>
    </w:p>
    <w:p>
      <w:pPr>
        <w:spacing w:after="100" w:before="60"/>
      </w:pPr>
      <w:r>
        <w:rPr>
          <w:rFonts w:ascii="Arial" w:cs="Arial" w:eastAsia="Arial" w:hAnsi="Arial"/>
          <w:sz w:val="22"/>
          <w:szCs w:val="22"/>
        </w:rPr>
        <w:t xml:space="preserve">Le </w:t>
      </w:r>
      <w:r>
        <w:rPr>
          <w:rFonts w:ascii="Arial" w:cs="Arial" w:eastAsia="Arial" w:hAnsi="Arial"/>
          <w:b/>
          <w:bCs/>
          <w:color w:val="000000"/>
          <w:sz w:val="22"/>
          <w:szCs w:val="22"/>
        </w:rPr>
        <w:t xml:space="preserve">17 mars 2026</w:t>
      </w:r>
      <w:r>
        <w:rPr>
          <w:rFonts w:ascii="Arial" w:cs="Arial" w:eastAsia="Arial" w:hAnsi="Arial"/>
          <w:sz w:val="22"/>
          <w:szCs w:val="22"/>
        </w:rPr>
        <w:t xml:space="preserve">, l’ANSSI a publié le </w:t>
      </w:r>
      <w:r>
        <w:rPr>
          <w:rFonts w:ascii="Arial" w:cs="Arial" w:eastAsia="Arial" w:hAnsi="Arial"/>
          <w:b/>
          <w:bCs/>
          <w:color w:val="000000"/>
          <w:sz w:val="22"/>
          <w:szCs w:val="22"/>
        </w:rPr>
        <w:t xml:space="preserve">ReCyF (Référentiel Cyber France)</w:t>
      </w:r>
      <w:r>
        <w:rPr>
          <w:rFonts w:ascii="Arial" w:cs="Arial" w:eastAsia="Arial" w:hAnsi="Arial"/>
          <w:sz w:val="22"/>
          <w:szCs w:val="22"/>
        </w:rPr>
        <w:t xml:space="preserve">, qui liste les mesures recommandées pour atteindre les objectifs de sécurité de NIS 2. Actuellement non obligatoire, il permet aux entités qui l’appliquent de s’en prévaloir en cas de contrôle ANSSI. La loi finale reste en attente de promulgation et de décrets d’application.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2C8D" w:sz="1"/>
              <w:left w:val="thick" w:color="5B2C8D" w:sz="12"/>
              <w:bottom w:val="single" w:color="5B2C8D" w:sz="1"/>
              <w:right w:val="single" w:color="5B2C8D" w:sz="1"/>
            </w:tcBorders>
            <w:shd w:fill="EDE7F6" w:val="clear"/>
            <w:tcMar>
              <w:top w:type="dxa" w:w="100"/>
              <w:left w:type="dxa" w:w="180"/>
              <w:bottom w:type="dxa" w:w="100"/>
              <w:right w:type="dxa" w:w="120"/>
            </w:tcMar>
          </w:tcPr>
          <w:p>
            <w:pPr>
              <w:spacing w:after="40" w:before="0"/>
            </w:pPr>
            <w:r>
              <w:rPr>
                <w:rFonts w:ascii="Arial" w:cs="Arial" w:eastAsia="Arial" w:hAnsi="Arial"/>
                <w:b/>
                <w:bCs/>
                <w:color w:val="5B2C8D"/>
                <w:sz w:val="22"/>
                <w:szCs w:val="22"/>
              </w:rPr>
              <w:t xml:space="preserve">ℹ  DORA — Secteur financier (applicable depuis janv. 2025)</w:t>
            </w:r>
          </w:p>
          <w:p>
            <w:pPr>
              <w:spacing w:after="0" w:before="0"/>
            </w:pPr>
            <w:r>
              <w:rPr>
                <w:rFonts w:ascii="Arial" w:cs="Arial" w:eastAsia="Arial" w:hAnsi="Arial"/>
                <w:color w:val="2D1B69"/>
                <w:sz w:val="20"/>
                <w:szCs w:val="20"/>
              </w:rPr>
              <w:t xml:space="preserve">Le règlement DORA (Digital Operational Resilience Act) est applicable depuis le 17 janvier 2025 pour les banques, assurances et prestataires TIC. Les entités soumises à DORA ne sont pas tenues d’appliquer les dispositions équivalentes de NIS 2 (art. 4.1 de NIS 2).</w:t>
            </w:r>
          </w:p>
        </w:tc>
      </w:tr>
    </w:tbl>
    <w:p>
      <w:pPr>
        <w:spacing w:after="0" w:before="80"/>
      </w:pPr>
      <w:r>
        <w:t xml:space="preserve"/>
      </w:r>
    </w:p>
    <w:p>
      <w:pPr>
        <w:spacing w:after="0" w:before="40"/>
        <w:ind w:left="720"/>
      </w:pPr>
      <w:r>
        <w:rPr>
          <w:rFonts w:ascii="Arial" w:cs="Arial" w:eastAsia="Arial" w:hAnsi="Arial"/>
          <w:i/>
          <w:iCs/>
          <w:color w:val="595959"/>
          <w:sz w:val="18"/>
          <w:szCs w:val="18"/>
        </w:rPr>
        <w:t xml:space="preserve">ℹ ANSSI, « Directive NIS 2 &amp; ReCyF » — Mars 2026</w:t>
      </w:r>
    </w:p>
    <w:p>
      <w:pPr>
        <w:spacing w:after="60" w:before="0"/>
        <w:ind w:left="720"/>
      </w:pPr>
      <w:r>
        <w:rPr>
          <w:rFonts w:ascii="Courier New" w:cs="Courier New" w:eastAsia="Courier New" w:hAnsi="Courier New"/>
          <w:color w:val="1155CC"/>
          <w:sz w:val="17"/>
          <w:szCs w:val="17"/>
        </w:rPr>
        <w:t xml:space="preserve">https://cyber.gouv.fr/reglementation/cybersecurite-systemes-dinformation/directives-nis-nis2-et-dispositif-saiv/directive-nis-2/</w:t>
      </w:r>
    </w:p>
    <w:p>
      <w:pPr>
        <w:spacing w:after="0" w:before="40"/>
        <w:ind w:left="720"/>
      </w:pPr>
      <w:r>
        <w:rPr>
          <w:rFonts w:ascii="Arial" w:cs="Arial" w:eastAsia="Arial" w:hAnsi="Arial"/>
          <w:i/>
          <w:iCs/>
          <w:color w:val="595959"/>
          <w:sz w:val="18"/>
          <w:szCs w:val="18"/>
        </w:rPr>
        <w:t xml:space="preserve">ℹ NIS-2-Directive.com, « Transposition in France » — Mars 2026</w:t>
      </w:r>
    </w:p>
    <w:p>
      <w:pPr>
        <w:spacing w:after="60" w:before="0"/>
        <w:ind w:left="720"/>
      </w:pPr>
      <w:r>
        <w:rPr>
          <w:rFonts w:ascii="Courier New" w:cs="Courier New" w:eastAsia="Courier New" w:hAnsi="Courier New"/>
          <w:color w:val="1155CC"/>
          <w:sz w:val="17"/>
          <w:szCs w:val="17"/>
        </w:rPr>
        <w:t xml:space="preserve">https://www.nis-2-directive.com/Transposition/France.html</w:t>
      </w:r>
    </w:p>
    <w:p>
      <w:pPr>
        <w:spacing w:after="0" w:before="40"/>
        <w:ind w:left="720"/>
      </w:pPr>
      <w:r>
        <w:rPr>
          <w:rFonts w:ascii="Arial" w:cs="Arial" w:eastAsia="Arial" w:hAnsi="Arial"/>
          <w:i/>
          <w:iCs/>
          <w:color w:val="595959"/>
          <w:sz w:val="18"/>
          <w:szCs w:val="18"/>
        </w:rPr>
        <w:t xml:space="preserve">ℹ Numeum, « NIS2 : nouvelles exigences » — Mis à jour mai 2026</w:t>
      </w:r>
    </w:p>
    <w:p>
      <w:pPr>
        <w:spacing w:after="60" w:before="0"/>
        <w:ind w:left="720"/>
      </w:pPr>
      <w:r>
        <w:rPr>
          <w:rFonts w:ascii="Courier New" w:cs="Courier New" w:eastAsia="Courier New" w:hAnsi="Courier New"/>
          <w:color w:val="1155CC"/>
          <w:sz w:val="17"/>
          <w:szCs w:val="17"/>
        </w:rPr>
        <w:t xml:space="preserve">https://numeum.fr/cybersecurite/directive-nis2-quelles-nouvelles-exigences-pour-les-organisations-en-france/</w:t>
      </w:r>
    </w:p>
    <w:p>
      <w:pPr>
        <w:spacing w:after="0" w:before="20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Synthèse et conclusion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00"/>
            </w:tcMar>
            <w:vAlign w:val="center"/>
          </w:tcPr>
          <w:p>
            <w:pPr>
              <w:spacing w:after="0" w:before="0"/>
            </w:pPr>
            <w:r>
              <w:rPr>
                <w:rFonts w:ascii="Arial" w:cs="Arial" w:eastAsia="Arial" w:hAnsi="Arial"/>
                <w:b/>
                <w:bCs/>
                <w:color w:val="FFFFFF"/>
                <w:sz w:val="22"/>
                <w:szCs w:val="22"/>
              </w:rPr>
              <w:t xml:space="preserve">Mai 2026</w:t>
            </w:r>
          </w:p>
        </w:tc>
        <w:tc>
          <w:tcPr>
            <w:tcW w:type="dxa" w:w="71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00"/>
            </w:tcMar>
            <w:vAlign w:val="center"/>
          </w:tcPr>
          <w:p>
            <w:pPr>
              <w:spacing w:after="0" w:before="0"/>
            </w:pPr>
            <w:r>
              <w:rPr>
                <w:rFonts w:ascii="Arial" w:cs="Arial" w:eastAsia="Arial" w:hAnsi="Arial"/>
                <w:color w:val="1F4E79"/>
                <w:sz w:val="22"/>
                <w:szCs w:val="22"/>
              </w:rPr>
              <w:t xml:space="preserve">Bilan de la veille et perspectives</w:t>
            </w:r>
          </w:p>
        </w:tc>
      </w:tr>
    </w:tbl>
    <w:p>
      <w:pPr>
        <w:spacing w:after="0" w:before="120"/>
      </w:pPr>
      <w:r>
        <w:t xml:space="preserve"/>
      </w:r>
    </w:p>
    <w:p>
      <w:pPr>
        <w:spacing w:after="100" w:before="60"/>
      </w:pPr>
      <w:r>
        <w:rPr>
          <w:rFonts w:ascii="Arial" w:cs="Arial" w:eastAsia="Arial" w:hAnsi="Arial"/>
          <w:sz w:val="22"/>
          <w:szCs w:val="22"/>
        </w:rPr>
        <w:t xml:space="preserve">Cette veille technologique construite </w:t>
      </w:r>
      <w:r>
        <w:rPr>
          <w:rFonts w:ascii="Arial" w:cs="Arial" w:eastAsia="Arial" w:hAnsi="Arial"/>
          <w:b/>
          <w:bCs/>
          <w:color w:val="000000"/>
          <w:sz w:val="22"/>
          <w:szCs w:val="22"/>
        </w:rPr>
        <w:t xml:space="preserve">progressivement de septembre 2025 à mai 2026</w:t>
      </w:r>
      <w:r>
        <w:rPr>
          <w:rFonts w:ascii="Arial" w:cs="Arial" w:eastAsia="Arial" w:hAnsi="Arial"/>
          <w:sz w:val="22"/>
          <w:szCs w:val="22"/>
        </w:rPr>
        <w:t xml:space="preserve"> permet de dégager plusieurs enseignements majeurs pour un professionnel des systèmes d’information.</w:t>
      </w:r>
    </w:p>
    <w:p>
      <w:pPr>
        <w:pStyle w:val="Heading2"/>
        <w:spacing w:after="100" w:before="120"/>
      </w:pPr>
      <w:r>
        <w:rPr>
          <w:rFonts w:ascii="Arial" w:cs="Arial" w:eastAsia="Arial" w:hAnsi="Arial"/>
          <w:b/>
          <w:bCs/>
          <w:color w:val="0070C0"/>
          <w:sz w:val="28"/>
          <w:szCs w:val="28"/>
        </w:rPr>
        <w:t xml:space="preserve">Wi-Fi 7</w:t>
      </w:r>
    </w:p>
    <w:p>
      <w:pPr>
        <w:spacing w:after="100" w:before="60"/>
      </w:pPr>
      <w:r>
        <w:rPr>
          <w:rFonts w:ascii="Arial" w:cs="Arial" w:eastAsia="Arial" w:hAnsi="Arial"/>
          <w:sz w:val="22"/>
          <w:szCs w:val="22"/>
        </w:rPr>
        <w:t xml:space="preserve">Le Wi-Fi 7 est passé du statut de promesse technologique à celui de réalité déployée. Les quatre grands opérateurs français proposent des offres compatibles. La technologie </w:t>
      </w:r>
      <w:r>
        <w:rPr>
          <w:rFonts w:ascii="Arial" w:cs="Arial" w:eastAsia="Arial" w:hAnsi="Arial"/>
          <w:b/>
          <w:bCs/>
          <w:color w:val="000000"/>
          <w:sz w:val="22"/>
          <w:szCs w:val="22"/>
        </w:rPr>
        <w:t xml:space="preserve">MLO</w:t>
      </w:r>
      <w:r>
        <w:rPr>
          <w:rFonts w:ascii="Arial" w:cs="Arial" w:eastAsia="Arial" w:hAnsi="Arial"/>
          <w:sz w:val="22"/>
          <w:szCs w:val="22"/>
        </w:rPr>
        <w:t xml:space="preserve"> et les canaux </w:t>
      </w:r>
      <w:r>
        <w:rPr>
          <w:rFonts w:ascii="Arial" w:cs="Arial" w:eastAsia="Arial" w:hAnsi="Arial"/>
          <w:b/>
          <w:bCs/>
          <w:color w:val="000000"/>
          <w:sz w:val="22"/>
          <w:szCs w:val="22"/>
        </w:rPr>
        <w:t xml:space="preserve">320 MHz</w:t>
      </w:r>
      <w:r>
        <w:rPr>
          <w:rFonts w:ascii="Arial" w:cs="Arial" w:eastAsia="Arial" w:hAnsi="Arial"/>
          <w:sz w:val="22"/>
          <w:szCs w:val="22"/>
        </w:rPr>
        <w:t xml:space="preserve"> représentent une évolution majeure pour les environnements professionnels denses. Maîtriser ces normes est indispensable pour concevoir des infrastructures réseau pérennes.</w:t>
      </w:r>
    </w:p>
    <w:p>
      <w:pPr>
        <w:pStyle w:val="Heading2"/>
        <w:spacing w:after="100" w:before="120"/>
      </w:pPr>
      <w:r>
        <w:rPr>
          <w:rFonts w:ascii="Arial" w:cs="Arial" w:eastAsia="Arial" w:hAnsi="Arial"/>
          <w:b/>
          <w:bCs/>
          <w:color w:val="0070C0"/>
          <w:sz w:val="28"/>
          <w:szCs w:val="28"/>
        </w:rPr>
        <w:t xml:space="preserve">Cybersécurité</w:t>
      </w:r>
    </w:p>
    <w:p>
      <w:pPr>
        <w:spacing w:after="100" w:before="60"/>
      </w:pPr>
      <w:r>
        <w:rPr>
          <w:rFonts w:ascii="Arial" w:cs="Arial" w:eastAsia="Arial" w:hAnsi="Arial"/>
          <w:sz w:val="22"/>
          <w:szCs w:val="22"/>
        </w:rPr>
        <w:t xml:space="preserve">2025 confirme l’industrialisation des cyberattaques par l’IA, l’explosion des fraudes et la montée des menaces hybrides. La France reste la 2e cible européenne. La directive </w:t>
      </w:r>
      <w:r>
        <w:rPr>
          <w:rFonts w:ascii="Arial" w:cs="Arial" w:eastAsia="Arial" w:hAnsi="Arial"/>
          <w:b/>
          <w:bCs/>
          <w:color w:val="000000"/>
          <w:sz w:val="22"/>
          <w:szCs w:val="22"/>
        </w:rPr>
        <w:t xml:space="preserve">NIS 2</w:t>
      </w:r>
      <w:r>
        <w:rPr>
          <w:rFonts w:ascii="Arial" w:cs="Arial" w:eastAsia="Arial" w:hAnsi="Arial"/>
          <w:sz w:val="22"/>
          <w:szCs w:val="22"/>
        </w:rPr>
        <w:t xml:space="preserve">, en cours de transposition, va profondément transformer les obligations des organisations. Comprendre ces référentiels (ANSSI, ISO 27001, NIST CSF, NIS 2) est fondamental pour accompagner les entreprises dans leur sécurisation.</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thick" w:color="2E75B6" w:sz="12"/>
              <w:bottom w:val="single" w:color="2E75B6" w:sz="1"/>
              <w:right w:val="single" w:color="2E75B6" w:sz="1"/>
            </w:tcBorders>
            <w:shd w:fill="D5E8F0" w:val="clear"/>
            <w:tcMar>
              <w:top w:type="dxa" w:w="100"/>
              <w:left w:type="dxa" w:w="180"/>
              <w:bottom w:type="dxa" w:w="100"/>
              <w:right w:type="dxa" w:w="120"/>
            </w:tcMar>
          </w:tcPr>
          <w:p>
            <w:pPr>
              <w:spacing w:after="40" w:before="0"/>
            </w:pPr>
            <w:r>
              <w:rPr>
                <w:rFonts w:ascii="Arial" w:cs="Arial" w:eastAsia="Arial" w:hAnsi="Arial"/>
                <w:b/>
                <w:bCs/>
                <w:color w:val="1F4E79"/>
                <w:sz w:val="22"/>
                <w:szCs w:val="22"/>
              </w:rPr>
              <w:t xml:space="preserve">Lien avec mon projet de stage — Danone</w:t>
            </w:r>
          </w:p>
          <w:p>
            <w:pPr>
              <w:spacing w:after="0" w:before="0"/>
            </w:pPr>
            <w:r>
              <w:rPr>
                <w:rFonts w:ascii="Arial" w:cs="Arial" w:eastAsia="Arial" w:hAnsi="Arial"/>
                <w:color w:val="0D1B3E"/>
                <w:sz w:val="20"/>
                <w:szCs w:val="20"/>
              </w:rPr>
              <w:t xml:space="preserve">Ces deux axes de veille s’inscrivent directement dans mon projet de stage : l’analyse des politiques de cybersécurité de Danone en les comparant au NIST CSF 2.0 et à l’ISO 27001. La montée en puissance de NIS 2 et des nouvelles menaces cyber confirme l’importance d’aligner en permanence les référentiels internes avec les standards internationaux — mission centrale de mon travail chez Danone.</w:t>
            </w:r>
          </w:p>
        </w:tc>
      </w:tr>
    </w:tbl>
    <w:p>
      <w:pPr>
        <w:spacing w:after="0" w:before="80"/>
      </w:pPr>
      <w:r>
        <w:t xml:space="preserve"/>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80"/>
    </w:pPr>
    <w:r>
      <w:rPr>
        <w:rFonts w:ascii="Arial" w:cs="Arial" w:eastAsia="Arial" w:hAnsi="Arial"/>
        <w:color w:val="595959"/>
        <w:sz w:val="16"/>
        <w:szCs w:val="16"/>
      </w:rPr>
      <w:t xml:space="preserve">Louis Capronnier — Portfolio BTS SIO — Mai 2026</w:t>
    </w:r>
    <w:r>
      <w:rPr>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before="0"/>
    </w:pPr>
    <w:r>
      <w:rPr>
        <w:rFonts w:ascii="Arial" w:cs="Arial" w:eastAsia="Arial" w:hAnsi="Arial"/>
        <w:b/>
        <w:bCs/>
        <w:color w:val="1F4E79"/>
        <w:sz w:val="18"/>
        <w:szCs w:val="18"/>
      </w:rPr>
      <w:t xml:space="preserve">Veille Technologique — BTS SIO</w:t>
    </w:r>
    <w:r>
      <w:rPr>
        <w:rFonts w:ascii="Arial" w:cs="Arial" w:eastAsia="Arial" w:hAnsi="Arial"/>
        <w:color w:val="595959"/>
        <w:sz w:val="18"/>
        <w:szCs w:val="18"/>
      </w:rPr>
      <w:t xml:space="preserve">  |  Wi-Fi 7 &amp; Cybersécurité — Sept. 2025 –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070C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2026-05-03T17:28:03.678Z</dcterms:created>
  <dcterms:modified xsi:type="dcterms:W3CDTF">2026-05-03T17:28:03.691Z</dcterms:modified>
</cp:coreProperties>
</file>

<file path=docProps/custom.xml><?xml version="1.0" encoding="utf-8"?>
<Properties xmlns="http://schemas.openxmlformats.org/officeDocument/2006/custom-properties" xmlns:vt="http://schemas.openxmlformats.org/officeDocument/2006/docPropsVTypes"/>
</file>