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160" w:before="0"/>
        <w:jc w:val="center"/>
      </w:pPr>
      <w:r>
        <w:rPr>
          <w:rFonts w:ascii="Arial" w:cs="Arial" w:eastAsia="Arial" w:hAnsi="Arial"/>
          <w:b/>
          <w:bCs/>
          <w:color w:val="1F4E79"/>
          <w:sz w:val="56"/>
          <w:szCs w:val="56"/>
        </w:rPr>
        <w:t xml:space="preserve">VEILLE TECHNOLOGIQUE</w:t>
      </w:r>
    </w:p>
    <w:p>
      <w:pPr>
        <w:spacing w:after="80" w:before="0"/>
        <w:jc w:val="center"/>
      </w:pPr>
      <w:r>
        <w:rPr>
          <w:rFonts w:ascii="Arial" w:cs="Arial" w:eastAsia="Arial" w:hAnsi="Arial"/>
          <w:b/>
          <w:bCs/>
          <w:color w:val="0070C0"/>
          <w:sz w:val="36"/>
          <w:szCs w:val="36"/>
        </w:rPr>
        <w:t xml:space="preserve">Wi-Fi 7 &amp; Cybersécurité 2025</w:t>
      </w:r>
    </w:p>
    <w:p>
      <w:pPr>
        <w:spacing w:after="60" w:before="0"/>
        <w:jc w:val="center"/>
      </w:pPr>
      <w:r>
        <w:rPr>
          <w:rFonts w:ascii="Arial" w:cs="Arial" w:eastAsia="Arial" w:hAnsi="Arial"/>
          <w:i/>
          <w:iCs/>
          <w:color w:val="595959"/>
          <w:sz w:val="22"/>
          <w:szCs w:val="22"/>
        </w:rPr>
        <w:t xml:space="preserve">Brevet de Technicien Supérieur — Services Informatiques aux Organisations</w:t>
      </w:r>
    </w:p>
    <w:p>
      <w:pPr>
        <w:spacing w:after="0" w:before="24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F4E79"/>
                <w:sz w:val="22"/>
                <w:szCs w:val="22"/>
              </w:rPr>
              <w:t xml:space="preserve">Auteur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Louis Capronnier</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F4E79"/>
                <w:sz w:val="22"/>
                <w:szCs w:val="22"/>
              </w:rPr>
              <w:t xml:space="preserve">Formation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BTS SIO</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F4E79"/>
                <w:sz w:val="22"/>
                <w:szCs w:val="22"/>
              </w:rPr>
              <w:t xml:space="preserve">Établissement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[Nom de l’établissement]</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F4E79"/>
                <w:sz w:val="22"/>
                <w:szCs w:val="22"/>
              </w:rPr>
              <w:t xml:space="preserve">Période de veille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Septembre 2025 – Mai 2026</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F4E79"/>
                <w:sz w:val="22"/>
                <w:szCs w:val="22"/>
              </w:rPr>
              <w:t xml:space="preserve">Thèmes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Réseaux sans fil — Sécurité informatique</w:t>
            </w:r>
          </w:p>
        </w:tc>
      </w:tr>
    </w:tbl>
    <w:p>
      <w:pPr>
        <w:spacing w:after="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thick" w:color="2E75B6" w:sz="12"/>
              <w:bottom w:val="single" w:color="2E75B6" w:sz="1"/>
              <w:right w:val="single" w:color="2E75B6" w:sz="1"/>
            </w:tcBorders>
            <w:shd w:fill="D5E8F0" w:val="clear"/>
            <w:tcMar>
              <w:top w:type="dxa" w:w="100"/>
              <w:left w:type="dxa" w:w="180"/>
              <w:bottom w:type="dxa" w:w="100"/>
              <w:right w:type="dxa" w:w="120"/>
            </w:tcMar>
          </w:tcPr>
          <w:p>
            <w:pPr>
              <w:spacing w:after="40" w:before="0"/>
            </w:pPr>
            <w:r>
              <w:rPr>
                <w:rFonts w:ascii="Arial" w:cs="Arial" w:eastAsia="Arial" w:hAnsi="Arial"/>
                <w:b/>
                <w:bCs/>
                <w:color w:val="1F4E79"/>
                <w:sz w:val="22"/>
                <w:szCs w:val="22"/>
              </w:rPr>
              <w:t xml:space="preserve">ℹ  Méthode de veille</w:t>
            </w:r>
          </w:p>
          <w:p>
            <w:pPr>
              <w:spacing w:after="0" w:before="0"/>
            </w:pPr>
            <w:r>
              <w:rPr>
                <w:rFonts w:ascii="Arial" w:cs="Arial" w:eastAsia="Arial" w:hAnsi="Arial"/>
                <w:color w:val="0D1B3E"/>
                <w:sz w:val="20"/>
                <w:szCs w:val="20"/>
              </w:rPr>
              <w:t xml:space="preserve">Ce document retrace ma veille technologique construite progressivement au fil de l’année scolaire 2025–2026. Chaque entrée est datée du mois de découverte. Seules les sources publiées avant ou pendant ce mois sont citées dans chaque section, afin de refléter fidèlement ce qui était disponible au moment de la recherche. Les URL sont indiquées en clair pour pouvoir être copiées-collées.</w:t>
            </w:r>
          </w:p>
        </w:tc>
      </w:tr>
    </w:tbl>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Partie 1 — Veille sur le Wi-Fi 7 (IEEE 802.11be)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Septembre 2025</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Découverte de la norme — présentation générale</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1.1 Présentation générale du Wi-Fi 7</w:t>
      </w:r>
    </w:p>
    <w:p>
      <w:pPr>
        <w:spacing w:after="100" w:before="60"/>
      </w:pPr>
      <w:r>
        <w:rPr>
          <w:rFonts w:ascii="Arial" w:cs="Arial" w:eastAsia="Arial" w:hAnsi="Arial"/>
          <w:sz w:val="22"/>
          <w:szCs w:val="22"/>
        </w:rPr>
        <w:t xml:space="preserve">Au début de ma veille, j’ai commencé par comprendre les fondements de cette nouvelle norme. Le </w:t>
      </w:r>
      <w:r>
        <w:rPr>
          <w:rFonts w:ascii="Arial" w:cs="Arial" w:eastAsia="Arial" w:hAnsi="Arial"/>
          <w:b/>
          <w:bCs/>
          <w:color w:val="000000"/>
          <w:sz w:val="22"/>
          <w:szCs w:val="22"/>
        </w:rPr>
        <w:t xml:space="preserve">Wi-Fi 7</w:t>
      </w:r>
      <w:r>
        <w:rPr>
          <w:rFonts w:ascii="Arial" w:cs="Arial" w:eastAsia="Arial" w:hAnsi="Arial"/>
          <w:sz w:val="22"/>
          <w:szCs w:val="22"/>
        </w:rPr>
        <w:t xml:space="preserve">, désigné sous l’appellation technique </w:t>
      </w:r>
      <w:r>
        <w:rPr>
          <w:rFonts w:ascii="Arial" w:cs="Arial" w:eastAsia="Arial" w:hAnsi="Arial"/>
          <w:b/>
          <w:bCs/>
          <w:color w:val="000000"/>
          <w:sz w:val="22"/>
          <w:szCs w:val="22"/>
        </w:rPr>
        <w:t xml:space="preserve">IEEE 802.11be</w:t>
      </w:r>
      <w:r>
        <w:rPr>
          <w:rFonts w:ascii="Arial" w:cs="Arial" w:eastAsia="Arial" w:hAnsi="Arial"/>
          <w:sz w:val="22"/>
          <w:szCs w:val="22"/>
        </w:rPr>
        <w:t xml:space="preserve"> et baptisé </w:t>
      </w:r>
      <w:r>
        <w:rPr>
          <w:rFonts w:ascii="Arial" w:cs="Arial" w:eastAsia="Arial" w:hAnsi="Arial"/>
          <w:b/>
          <w:bCs/>
          <w:color w:val="000000"/>
          <w:sz w:val="22"/>
          <w:szCs w:val="22"/>
        </w:rPr>
        <w:t xml:space="preserve">EHT (« Extremely High Throughput »)</w:t>
      </w:r>
      <w:r>
        <w:rPr>
          <w:rFonts w:ascii="Arial" w:cs="Arial" w:eastAsia="Arial" w:hAnsi="Arial"/>
          <w:sz w:val="22"/>
          <w:szCs w:val="22"/>
        </w:rPr>
        <w:t xml:space="preserve">, est la septième génération du standard Wi-Fi. Il a été certifié par la </w:t>
      </w:r>
      <w:r>
        <w:rPr>
          <w:rFonts w:ascii="Arial" w:cs="Arial" w:eastAsia="Arial" w:hAnsi="Arial"/>
          <w:b/>
          <w:bCs/>
          <w:color w:val="000000"/>
          <w:sz w:val="22"/>
          <w:szCs w:val="22"/>
        </w:rPr>
        <w:t xml:space="preserve">Wi-Fi Alliance en janvier 2024</w:t>
      </w:r>
      <w:r>
        <w:rPr>
          <w:rFonts w:ascii="Arial" w:cs="Arial" w:eastAsia="Arial" w:hAnsi="Arial"/>
          <w:sz w:val="22"/>
          <w:szCs w:val="22"/>
        </w:rPr>
        <w:t xml:space="preserve">, et son standard IEEE a été finalisé en 2025. Il apporte des améliorations majeures sur trois axes : la vitesse, la latence et la gestion simultanée de nombreux appareils.</w:t>
      </w:r>
    </w:p>
    <w:p>
      <w:pPr>
        <w:spacing w:after="0" w:before="40"/>
        <w:ind w:left="720"/>
      </w:pPr>
      <w:r>
        <w:rPr>
          <w:rFonts w:ascii="Arial" w:cs="Arial" w:eastAsia="Arial" w:hAnsi="Arial"/>
          <w:i/>
          <w:iCs/>
          <w:color w:val="595959"/>
          <w:sz w:val="18"/>
          <w:szCs w:val="18"/>
        </w:rPr>
        <w:t xml:space="preserve">ℹ Wi-Fi Alliance, Wi-Fi CERTIFIED 7 — Janvier 2024</w:t>
      </w:r>
    </w:p>
    <w:p>
      <w:pPr>
        <w:spacing w:after="60" w:before="0"/>
        <w:ind w:left="720"/>
      </w:pPr>
      <w:r>
        <w:rPr>
          <w:rFonts w:ascii="Courier New" w:cs="Courier New" w:eastAsia="Courier New" w:hAnsi="Courier New"/>
          <w:color w:val="1155CC"/>
          <w:sz w:val="17"/>
          <w:szCs w:val="17"/>
        </w:rPr>
        <w:t xml:space="preserve">https://www.wi-fi.org/discover-wi-fi/wi-fi-certified-7</w:t>
      </w:r>
    </w:p>
    <w:p>
      <w:pPr>
        <w:spacing w:after="0" w:before="40"/>
        <w:ind w:left="720"/>
      </w:pPr>
      <w:r>
        <w:rPr>
          <w:rFonts w:ascii="Arial" w:cs="Arial" w:eastAsia="Arial" w:hAnsi="Arial"/>
          <w:i/>
          <w:iCs/>
          <w:color w:val="595959"/>
          <w:sz w:val="18"/>
          <w:szCs w:val="18"/>
        </w:rPr>
        <w:t xml:space="preserve">ℹ Digital-Device.eu, « Wi-Fi 7 : l’avenir de la connectivité » — Février 2025</w:t>
      </w:r>
    </w:p>
    <w:p>
      <w:pPr>
        <w:spacing w:after="60" w:before="0"/>
        <w:ind w:left="720"/>
      </w:pPr>
      <w:r>
        <w:rPr>
          <w:rFonts w:ascii="Courier New" w:cs="Courier New" w:eastAsia="Courier New" w:hAnsi="Courier New"/>
          <w:color w:val="1155CC"/>
          <w:sz w:val="17"/>
          <w:szCs w:val="17"/>
        </w:rPr>
        <w:t xml:space="preserve">https://www.digital-device.eu/index.php/2025/02/03/wi-fi-7-lavenir-de-la-connectivite-sans-fil-des-2025/</w:t>
      </w:r>
    </w:p>
    <w:p>
      <w:pPr>
        <w:spacing w:after="0" w:before="40"/>
        <w:ind w:left="720"/>
      </w:pPr>
      <w:r>
        <w:rPr>
          <w:rFonts w:ascii="Arial" w:cs="Arial" w:eastAsia="Arial" w:hAnsi="Arial"/>
          <w:i/>
          <w:iCs/>
          <w:color w:val="595959"/>
          <w:sz w:val="18"/>
          <w:szCs w:val="18"/>
        </w:rPr>
        <w:t xml:space="preserve">ℹ GEEKOM, « Wi-Fi 7 : fonctionnalités clés » — Mars 2025</w:t>
      </w:r>
    </w:p>
    <w:p>
      <w:pPr>
        <w:spacing w:after="60" w:before="0"/>
        <w:ind w:left="720"/>
      </w:pPr>
      <w:r>
        <w:rPr>
          <w:rFonts w:ascii="Courier New" w:cs="Courier New" w:eastAsia="Courier New" w:hAnsi="Courier New"/>
          <w:color w:val="1155CC"/>
          <w:sz w:val="17"/>
          <w:szCs w:val="17"/>
        </w:rPr>
        <w:t xml:space="preserve">https://www.geekom.fr/wifi-7/</w:t>
      </w:r>
    </w:p>
    <w:p>
      <w:pPr>
        <w:spacing w:after="0" w:before="40"/>
        <w:ind w:left="720"/>
      </w:pPr>
      <w:r>
        <w:rPr>
          <w:rFonts w:ascii="Arial" w:cs="Arial" w:eastAsia="Arial" w:hAnsi="Arial"/>
          <w:i/>
          <w:iCs/>
          <w:color w:val="595959"/>
          <w:sz w:val="18"/>
          <w:szCs w:val="18"/>
        </w:rPr>
        <w:t xml:space="preserve">ℹ Ariase, « Wi-Fi 7 : tout savoir » — Mis à jour septembre 2025</w:t>
      </w:r>
    </w:p>
    <w:p>
      <w:pPr>
        <w:spacing w:after="60" w:before="0"/>
        <w:ind w:left="720"/>
      </w:pPr>
      <w:r>
        <w:rPr>
          <w:rFonts w:ascii="Courier New" w:cs="Courier New" w:eastAsia="Courier New" w:hAnsi="Courier New"/>
          <w:color w:val="1155CC"/>
          <w:sz w:val="17"/>
          <w:szCs w:val="17"/>
        </w:rPr>
        <w:t xml:space="preserve">https://www.ariase.com/box/dossiers/wifi-7</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Octobre 2025</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Approfondissement des innovations techniques</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1.2 Innovations techniques majeures</w:t>
      </w:r>
    </w:p>
    <w:p>
      <w:pPr>
        <w:pStyle w:val="Heading3"/>
        <w:spacing w:after="80" w:before="200"/>
      </w:pPr>
      <w:r>
        <w:rPr>
          <w:rFonts w:ascii="Arial" w:cs="Arial" w:eastAsia="Arial" w:hAnsi="Arial"/>
          <w:b/>
          <w:bCs/>
          <w:color w:val="1F4E79"/>
          <w:sz w:val="24"/>
          <w:szCs w:val="24"/>
        </w:rPr>
        <w:t xml:space="preserve">a) Multi-Link Operation (MLO)</w:t>
      </w:r>
    </w:p>
    <w:p>
      <w:pPr>
        <w:spacing w:after="100" w:before="60"/>
      </w:pPr>
      <w:r>
        <w:rPr>
          <w:rFonts w:ascii="Arial" w:cs="Arial" w:eastAsia="Arial" w:hAnsi="Arial"/>
          <w:sz w:val="22"/>
          <w:szCs w:val="22"/>
        </w:rPr>
        <w:t xml:space="preserve">En approfondissant mes recherches, j’ai découvert que la technologie </w:t>
      </w:r>
      <w:r>
        <w:rPr>
          <w:rFonts w:ascii="Arial" w:cs="Arial" w:eastAsia="Arial" w:hAnsi="Arial"/>
          <w:b/>
          <w:bCs/>
          <w:color w:val="000000"/>
          <w:sz w:val="22"/>
          <w:szCs w:val="22"/>
        </w:rPr>
        <w:t xml:space="preserve">MLO (Multi-Link Operation)</w:t>
      </w:r>
      <w:r>
        <w:rPr>
          <w:rFonts w:ascii="Arial" w:cs="Arial" w:eastAsia="Arial" w:hAnsi="Arial"/>
          <w:sz w:val="22"/>
          <w:szCs w:val="22"/>
        </w:rPr>
        <w:t xml:space="preserve"> est l’innovation centrale du Wi-Fi 7. Contrairement aux générations précédentes où un appareil n’utilisait qu’une seule bande à la fois, le MLO permet d’</w:t>
      </w:r>
      <w:r>
        <w:rPr>
          <w:rFonts w:ascii="Arial" w:cs="Arial" w:eastAsia="Arial" w:hAnsi="Arial"/>
          <w:b/>
          <w:bCs/>
          <w:color w:val="000000"/>
          <w:sz w:val="22"/>
          <w:szCs w:val="22"/>
        </w:rPr>
        <w:t xml:space="preserve">exploiter plusieurs bandes simultanément</w:t>
      </w:r>
      <w:r>
        <w:rPr>
          <w:rFonts w:ascii="Arial" w:cs="Arial" w:eastAsia="Arial" w:hAnsi="Arial"/>
          <w:sz w:val="22"/>
          <w:szCs w:val="22"/>
        </w:rPr>
        <w:t xml:space="preserve"> (2,4 GHz + 5 GHz + 6 GHz). Si l’une est saturée, les données passent par les autres. Résultat : connexion stable, latence quasi nulle, débits plus élevés par agrégation.</w:t>
      </w:r>
    </w:p>
    <w:p>
      <w:pPr>
        <w:spacing w:after="0" w:before="40"/>
        <w:ind w:left="720"/>
      </w:pPr>
      <w:r>
        <w:rPr>
          <w:rFonts w:ascii="Arial" w:cs="Arial" w:eastAsia="Arial" w:hAnsi="Arial"/>
          <w:i/>
          <w:iCs/>
          <w:color w:val="595959"/>
          <w:sz w:val="18"/>
          <w:szCs w:val="18"/>
        </w:rPr>
        <w:t xml:space="preserve">ℹ NETGEAR, « WiFi 7 : Multi-Link Operation » — Consulté octobre 2025</w:t>
      </w:r>
    </w:p>
    <w:p>
      <w:pPr>
        <w:spacing w:after="60" w:before="0"/>
        <w:ind w:left="720"/>
      </w:pPr>
      <w:r>
        <w:rPr>
          <w:rFonts w:ascii="Courier New" w:cs="Courier New" w:eastAsia="Courier New" w:hAnsi="Courier New"/>
          <w:color w:val="1155CC"/>
          <w:sz w:val="17"/>
          <w:szCs w:val="17"/>
        </w:rPr>
        <w:t xml:space="preserve">https://www.netgear.com/fr/home/discover/wifi7/</w:t>
      </w:r>
    </w:p>
    <w:p>
      <w:pPr>
        <w:spacing w:after="0" w:before="40"/>
        <w:ind w:left="720"/>
      </w:pPr>
      <w:r>
        <w:rPr>
          <w:rFonts w:ascii="Arial" w:cs="Arial" w:eastAsia="Arial" w:hAnsi="Arial"/>
          <w:i/>
          <w:iCs/>
          <w:color w:val="595959"/>
          <w:sz w:val="18"/>
          <w:szCs w:val="18"/>
        </w:rPr>
        <w:t xml:space="preserve">ℹ LB-LINK, « Wi-Fi 7 : guide 2025 » — Avril 2025</w:t>
      </w:r>
    </w:p>
    <w:p>
      <w:pPr>
        <w:spacing w:after="60" w:before="0"/>
        <w:ind w:left="720"/>
      </w:pPr>
      <w:r>
        <w:rPr>
          <w:rFonts w:ascii="Courier New" w:cs="Courier New" w:eastAsia="Courier New" w:hAnsi="Courier New"/>
          <w:color w:val="1155CC"/>
          <w:sz w:val="17"/>
          <w:szCs w:val="17"/>
        </w:rPr>
        <w:t xml:space="preserve">https://www.lb-link.com/fr/What-is-WiFi-7-The-2025-Guide-to-Speed-Efficiency-Real-World-Applications-id40077316.html</w:t>
      </w:r>
    </w:p>
    <w:p>
      <w:pPr>
        <w:spacing w:after="0" w:before="80"/>
      </w:pPr>
      <w:r>
        <w:t xml:space="preserve"/>
      </w:r>
    </w:p>
    <w:p>
      <w:pPr>
        <w:pStyle w:val="Heading3"/>
        <w:spacing w:after="80" w:before="200"/>
      </w:pPr>
      <w:r>
        <w:rPr>
          <w:rFonts w:ascii="Arial" w:cs="Arial" w:eastAsia="Arial" w:hAnsi="Arial"/>
          <w:b/>
          <w:bCs/>
          <w:color w:val="1F4E79"/>
          <w:sz w:val="24"/>
          <w:szCs w:val="24"/>
        </w:rPr>
        <w:t xml:space="preserve">b) Canaux 320 MHz et modulation 4096-QAM</w:t>
      </w:r>
    </w:p>
    <w:p>
      <w:pPr>
        <w:spacing w:after="100" w:before="60"/>
      </w:pPr>
      <w:r>
        <w:rPr>
          <w:rFonts w:ascii="Arial" w:cs="Arial" w:eastAsia="Arial" w:hAnsi="Arial"/>
          <w:sz w:val="22"/>
          <w:szCs w:val="22"/>
        </w:rPr>
        <w:t xml:space="preserve">Le Wi-Fi 7 double la largeur maximale des canaux sur la bande 6 GHz : de </w:t>
      </w:r>
      <w:r>
        <w:rPr>
          <w:rFonts w:ascii="Arial" w:cs="Arial" w:eastAsia="Arial" w:hAnsi="Arial"/>
          <w:b/>
          <w:bCs/>
          <w:color w:val="000000"/>
          <w:sz w:val="22"/>
          <w:szCs w:val="22"/>
        </w:rPr>
        <w:t xml:space="preserve">160 MHz (Wi-Fi 6)</w:t>
      </w:r>
      <w:r>
        <w:rPr>
          <w:rFonts w:ascii="Arial" w:cs="Arial" w:eastAsia="Arial" w:hAnsi="Arial"/>
          <w:sz w:val="22"/>
          <w:szCs w:val="22"/>
        </w:rPr>
        <w:t xml:space="preserve"> à </w:t>
      </w:r>
      <w:r>
        <w:rPr>
          <w:rFonts w:ascii="Arial" w:cs="Arial" w:eastAsia="Arial" w:hAnsi="Arial"/>
          <w:b/>
          <w:bCs/>
          <w:color w:val="000000"/>
          <w:sz w:val="22"/>
          <w:szCs w:val="22"/>
        </w:rPr>
        <w:t xml:space="preserve">320 MHz</w:t>
      </w:r>
      <w:r>
        <w:rPr>
          <w:rFonts w:ascii="Arial" w:cs="Arial" w:eastAsia="Arial" w:hAnsi="Arial"/>
          <w:sz w:val="22"/>
          <w:szCs w:val="22"/>
        </w:rPr>
        <w:t xml:space="preserve">. Intel et Broadcom résument cela par une métaphore : </w:t>
      </w:r>
      <w:r>
        <w:rPr>
          <w:rFonts w:ascii="Arial" w:cs="Arial" w:eastAsia="Arial" w:hAnsi="Arial"/>
          <w:i/>
          <w:iCs/>
          <w:color w:val="595959"/>
          <w:sz w:val="22"/>
          <w:szCs w:val="22"/>
        </w:rPr>
        <w:t xml:space="preserve">« utiliser un semi-remorque plutôt qu’une camionnette pour déplacer des boîtes »</w:t>
      </w:r>
      <w:r>
        <w:rPr>
          <w:rFonts w:ascii="Arial" w:cs="Arial" w:eastAsia="Arial" w:hAnsi="Arial"/>
          <w:sz w:val="22"/>
          <w:szCs w:val="22"/>
        </w:rPr>
        <w:t xml:space="preserve">. La modulation passe également de 1024-QAM à </w:t>
      </w:r>
      <w:r>
        <w:rPr>
          <w:rFonts w:ascii="Arial" w:cs="Arial" w:eastAsia="Arial" w:hAnsi="Arial"/>
          <w:b/>
          <w:bCs/>
          <w:color w:val="000000"/>
          <w:sz w:val="22"/>
          <w:szCs w:val="22"/>
        </w:rPr>
        <w:t xml:space="preserve">4096-QAM</w:t>
      </w:r>
      <w:r>
        <w:rPr>
          <w:rFonts w:ascii="Arial" w:cs="Arial" w:eastAsia="Arial" w:hAnsi="Arial"/>
          <w:sz w:val="22"/>
          <w:szCs w:val="22"/>
        </w:rPr>
        <w:t xml:space="preserve">, encodant davantage d’informations par cycle de signal (+20 % de débit utile en conditions favorables).</w:t>
      </w:r>
    </w:p>
    <w:p>
      <w:pPr>
        <w:spacing w:after="0" w:before="40"/>
        <w:ind w:left="720"/>
      </w:pPr>
      <w:r>
        <w:rPr>
          <w:rFonts w:ascii="Arial" w:cs="Arial" w:eastAsia="Arial" w:hAnsi="Arial"/>
          <w:i/>
          <w:iCs/>
          <w:color w:val="595959"/>
          <w:sz w:val="18"/>
          <w:szCs w:val="18"/>
        </w:rPr>
        <w:t xml:space="preserve">ℹ Digital-Device.eu, « Wi-Fi 7 » — Février 2025</w:t>
      </w:r>
    </w:p>
    <w:p>
      <w:pPr>
        <w:spacing w:after="60" w:before="0"/>
        <w:ind w:left="720"/>
      </w:pPr>
      <w:r>
        <w:rPr>
          <w:rFonts w:ascii="Courier New" w:cs="Courier New" w:eastAsia="Courier New" w:hAnsi="Courier New"/>
          <w:color w:val="1155CC"/>
          <w:sz w:val="17"/>
          <w:szCs w:val="17"/>
        </w:rPr>
        <w:t xml:space="preserve">https://www.digital-device.eu/index.php/2025/02/03/wi-fi-7-lavenir-de-la-connectivite-sans-fil-des-2025/</w:t>
      </w:r>
    </w:p>
    <w:p>
      <w:pPr>
        <w:spacing w:after="0" w:before="80"/>
      </w:pPr>
      <w:r>
        <w:t xml:space="preserve"/>
      </w:r>
    </w:p>
    <w:p>
      <w:pPr>
        <w:pStyle w:val="Heading3"/>
        <w:spacing w:after="80" w:before="200"/>
      </w:pPr>
      <w:r>
        <w:rPr>
          <w:rFonts w:ascii="Arial" w:cs="Arial" w:eastAsia="Arial" w:hAnsi="Arial"/>
          <w:b/>
          <w:bCs/>
          <w:color w:val="1F4E79"/>
          <w:sz w:val="24"/>
          <w:szCs w:val="24"/>
        </w:rPr>
        <w:t xml:space="preserve">c) Preamble Puncturing</w:t>
      </w:r>
    </w:p>
    <w:p>
      <w:pPr>
        <w:spacing w:after="100" w:before="60"/>
      </w:pPr>
      <w:r>
        <w:rPr>
          <w:rFonts w:ascii="Arial" w:cs="Arial" w:eastAsia="Arial" w:hAnsi="Arial"/>
          <w:sz w:val="22"/>
          <w:szCs w:val="22"/>
        </w:rPr>
        <w:t xml:space="preserve">Le </w:t>
      </w:r>
      <w:r>
        <w:rPr>
          <w:rFonts w:ascii="Arial" w:cs="Arial" w:eastAsia="Arial" w:hAnsi="Arial"/>
          <w:b/>
          <w:bCs/>
          <w:color w:val="000000"/>
          <w:sz w:val="22"/>
          <w:szCs w:val="22"/>
        </w:rPr>
        <w:t xml:space="preserve">Preamble Puncturing</w:t>
      </w:r>
      <w:r>
        <w:rPr>
          <w:rFonts w:ascii="Arial" w:cs="Arial" w:eastAsia="Arial" w:hAnsi="Arial"/>
          <w:sz w:val="22"/>
          <w:szCs w:val="22"/>
        </w:rPr>
        <w:t xml:space="preserve"> permet au Wi-Fi 7 de « découper » la portion d’un canal interféré par un réseau voisin, et de continuer à utiliser le reste. Les versions antérieures abandonnaient le canal entier. En milieu urbain dense, cela améliore considérablement la qualité de connexion.</w:t>
      </w:r>
    </w:p>
    <w:p>
      <w:pPr>
        <w:spacing w:after="0" w:before="40"/>
        <w:ind w:left="720"/>
      </w:pPr>
      <w:r>
        <w:rPr>
          <w:rFonts w:ascii="Arial" w:cs="Arial" w:eastAsia="Arial" w:hAnsi="Arial"/>
          <w:i/>
          <w:iCs/>
          <w:color w:val="595959"/>
          <w:sz w:val="18"/>
          <w:szCs w:val="18"/>
        </w:rPr>
        <w:t xml:space="preserve">ℹ NETGEAR, « Preamble Puncturing » — Consulté octobre 2025</w:t>
      </w:r>
    </w:p>
    <w:p>
      <w:pPr>
        <w:spacing w:after="60" w:before="0"/>
        <w:ind w:left="720"/>
      </w:pPr>
      <w:r>
        <w:rPr>
          <w:rFonts w:ascii="Courier New" w:cs="Courier New" w:eastAsia="Courier New" w:hAnsi="Courier New"/>
          <w:color w:val="1155CC"/>
          <w:sz w:val="17"/>
          <w:szCs w:val="17"/>
        </w:rPr>
        <w:t xml:space="preserve">https://www.netgear.com/fr/home/discover/wifi7/</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Novembre 2025</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Comparatif générations &amp; déploiement en France</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1.3 Comparatif des générations Wi-Fi</w:t>
      </w:r>
    </w:p>
    <w:p>
      <w:pPr>
        <w:spacing w:after="100" w:before="60"/>
      </w:pPr>
      <w:r>
        <w:rPr>
          <w:rFonts w:ascii="Arial" w:cs="Arial" w:eastAsia="Arial" w:hAnsi="Arial"/>
          <w:sz w:val="22"/>
          <w:szCs w:val="22"/>
        </w:rPr>
        <w:t xml:space="preserve">J’ai consolidé mes connaissances en réalisant ce tableau comparatif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Génération</w:t>
            </w:r>
          </w:p>
        </w:tc>
        <w:tc>
          <w:tcPr>
            <w:tcW w:type="dxa" w:w="1805"/>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Norme IEEE</w:t>
            </w:r>
          </w:p>
        </w:tc>
        <w:tc>
          <w:tcPr>
            <w:tcW w:type="dxa" w:w="1805"/>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Débit max. théorique</w:t>
            </w:r>
          </w:p>
        </w:tc>
        <w:tc>
          <w:tcPr>
            <w:tcW w:type="dxa" w:w="1805"/>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Bandes</w:t>
            </w:r>
          </w:p>
        </w:tc>
        <w:tc>
          <w:tcPr>
            <w:tcW w:type="dxa" w:w="1805"/>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Modulation</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Wi-Fi 5</w:t>
            </w:r>
          </w:p>
        </w:tc>
        <w:tc>
          <w:tcPr>
            <w:tcW w:type="dxa" w:w="180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802.11ac</w:t>
            </w:r>
          </w:p>
        </w:tc>
        <w:tc>
          <w:tcPr>
            <w:tcW w:type="dxa" w:w="180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3,5 Gb/s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5 GHz</w:t>
            </w:r>
          </w:p>
        </w:tc>
        <w:tc>
          <w:tcPr>
            <w:tcW w:type="dxa" w:w="180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256-QAM</w:t>
            </w:r>
          </w:p>
        </w:tc>
      </w:tr>
      <w:tr>
        <w:tc>
          <w:tcPr>
            <w:tcW w:type="dxa" w:w="1805"/>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Wi-Fi 6</w:t>
            </w:r>
          </w:p>
        </w:tc>
        <w:tc>
          <w:tcPr>
            <w:tcW w:type="dxa" w:w="1805"/>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802.11ax</w:t>
            </w:r>
          </w:p>
        </w:tc>
        <w:tc>
          <w:tcPr>
            <w:tcW w:type="dxa" w:w="1805"/>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9,6 Gb/s</w:t>
            </w:r>
          </w:p>
        </w:tc>
        <w:tc>
          <w:tcPr>
            <w:tcW w:type="dxa" w:w="1805"/>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2,4 / 5 GHz</w:t>
            </w:r>
          </w:p>
        </w:tc>
        <w:tc>
          <w:tcPr>
            <w:tcW w:type="dxa" w:w="1805"/>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1024-QAM</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Wi-Fi 6E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802.11ax</w:t>
            </w:r>
          </w:p>
        </w:tc>
        <w:tc>
          <w:tcPr>
            <w:tcW w:type="dxa" w:w="180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9,6 Gb/s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2,4 / 5 / 6 GHz</w:t>
            </w:r>
          </w:p>
        </w:tc>
        <w:tc>
          <w:tcPr>
            <w:tcW w:type="dxa" w:w="180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1024-QAM</w:t>
            </w:r>
          </w:p>
        </w:tc>
      </w:tr>
      <w:tr>
        <w:tc>
          <w:tcPr>
            <w:tcW w:type="dxa" w:w="1805"/>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Wi-Fi 7</w:t>
            </w:r>
          </w:p>
        </w:tc>
        <w:tc>
          <w:tcPr>
            <w:tcW w:type="dxa" w:w="1805"/>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802.11be</w:t>
            </w:r>
          </w:p>
        </w:tc>
        <w:tc>
          <w:tcPr>
            <w:tcW w:type="dxa" w:w="1805"/>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46 Gb/s</w:t>
            </w:r>
          </w:p>
        </w:tc>
        <w:tc>
          <w:tcPr>
            <w:tcW w:type="dxa" w:w="1805"/>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2,4 / 5 / 6 GHz</w:t>
            </w:r>
          </w:p>
        </w:tc>
        <w:tc>
          <w:tcPr>
            <w:tcW w:type="dxa" w:w="1805"/>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4096-QAM</w:t>
            </w:r>
          </w:p>
        </w:tc>
      </w:tr>
    </w:tbl>
    <w:p>
      <w:pPr>
        <w:spacing w:after="0" w:before="80"/>
      </w:pPr>
      <w:r>
        <w:t xml:space="preserve"/>
      </w:r>
    </w:p>
    <w:p>
      <w:pPr>
        <w:spacing w:after="0" w:before="40"/>
        <w:ind w:left="720"/>
      </w:pPr>
      <w:r>
        <w:rPr>
          <w:rFonts w:ascii="Arial" w:cs="Arial" w:eastAsia="Arial" w:hAnsi="Arial"/>
          <w:i/>
          <w:iCs/>
          <w:color w:val="595959"/>
          <w:sz w:val="18"/>
          <w:szCs w:val="18"/>
        </w:rPr>
        <w:t xml:space="preserve">ℹ LB-LINK, « Wi-Fi 7 : guide 2025 » — Avril 2025</w:t>
      </w:r>
    </w:p>
    <w:p>
      <w:pPr>
        <w:spacing w:after="60" w:before="0"/>
        <w:ind w:left="720"/>
      </w:pPr>
      <w:r>
        <w:rPr>
          <w:rFonts w:ascii="Courier New" w:cs="Courier New" w:eastAsia="Courier New" w:hAnsi="Courier New"/>
          <w:color w:val="1155CC"/>
          <w:sz w:val="17"/>
          <w:szCs w:val="17"/>
        </w:rPr>
        <w:t xml:space="preserve">https://www.lb-link.com/fr/What-is-WiFi-7-The-2025-Guide-to-Speed-Efficiency-Real-World-Applications-id40077316.html</w:t>
      </w:r>
    </w:p>
    <w:p>
      <w:pPr>
        <w:spacing w:after="0" w:before="80"/>
      </w:pPr>
      <w:r>
        <w:t xml:space="preserve"/>
      </w:r>
    </w:p>
    <w:p>
      <w:pPr>
        <w:pStyle w:val="Heading2"/>
        <w:spacing w:after="100" w:before="280"/>
      </w:pPr>
      <w:r>
        <w:rPr>
          <w:rFonts w:ascii="Arial" w:cs="Arial" w:eastAsia="Arial" w:hAnsi="Arial"/>
          <w:b/>
          <w:bCs/>
          <w:color w:val="0070C0"/>
          <w:sz w:val="28"/>
          <w:szCs w:val="28"/>
        </w:rPr>
        <w:t xml:space="preserve">1.4 Déploiement en France</w:t>
      </w:r>
    </w:p>
    <w:p>
      <w:pPr>
        <w:spacing w:after="100" w:before="60"/>
      </w:pPr>
      <w:r>
        <w:rPr>
          <w:rFonts w:ascii="Arial" w:cs="Arial" w:eastAsia="Arial" w:hAnsi="Arial"/>
          <w:sz w:val="22"/>
          <w:szCs w:val="22"/>
        </w:rPr>
        <w:t xml:space="preserve">En France, le Wi-Fi 7 a été autorisé fin 2023. En novembre 2025, j’ai constaté que plusieurs opérateurs proposaient déjà des offres compatibles :</w:t>
      </w:r>
    </w:p>
    <w:p>
      <w:pPr>
        <w:pStyle w:val="ListParagraph"/>
        <w:numPr>
          <w:ilvl w:val="0"/>
          <w:numId w:val="2"/>
        </w:numPr>
        <w:spacing w:after="40" w:before="40"/>
      </w:pPr>
      <w:r>
        <w:rPr>
          <w:rFonts w:ascii="Arial" w:cs="Arial" w:eastAsia="Arial" w:hAnsi="Arial"/>
          <w:b/>
          <w:bCs/>
          <w:color w:val="000000"/>
          <w:sz w:val="22"/>
          <w:szCs w:val="22"/>
        </w:rPr>
        <w:t xml:space="preserve">Free — Freebox Ultra : </w:t>
      </w:r>
      <w:r>
        <w:rPr>
          <w:rFonts w:ascii="Arial" w:cs="Arial" w:eastAsia="Arial" w:hAnsi="Arial"/>
          <w:sz w:val="22"/>
          <w:szCs w:val="22"/>
        </w:rPr>
        <w:t xml:space="preserve">premier opérateur français, lancé en janvier 2024.</w:t>
      </w:r>
    </w:p>
    <w:p>
      <w:pPr>
        <w:pStyle w:val="ListParagraph"/>
        <w:numPr>
          <w:ilvl w:val="0"/>
          <w:numId w:val="2"/>
        </w:numPr>
        <w:spacing w:after="40" w:before="40"/>
      </w:pPr>
      <w:r>
        <w:rPr>
          <w:rFonts w:ascii="Arial" w:cs="Arial" w:eastAsia="Arial" w:hAnsi="Arial"/>
          <w:b/>
          <w:bCs/>
          <w:color w:val="000000"/>
          <w:sz w:val="22"/>
          <w:szCs w:val="22"/>
        </w:rPr>
        <w:t xml:space="preserve">Bouygues — Bbox Ultym &amp; B&amp;YOU Pure : </w:t>
      </w:r>
      <w:r>
        <w:rPr>
          <w:rFonts w:ascii="Arial" w:cs="Arial" w:eastAsia="Arial" w:hAnsi="Arial"/>
          <w:sz w:val="22"/>
          <w:szCs w:val="22"/>
        </w:rPr>
        <w:t xml:space="preserve">Wi-Fi 7 disponible depuis 2024.</w:t>
      </w:r>
    </w:p>
    <w:p>
      <w:pPr>
        <w:pStyle w:val="ListParagraph"/>
        <w:numPr>
          <w:ilvl w:val="0"/>
          <w:numId w:val="2"/>
        </w:numPr>
        <w:spacing w:after="40" w:before="40"/>
      </w:pPr>
      <w:r>
        <w:rPr>
          <w:rFonts w:ascii="Arial" w:cs="Arial" w:eastAsia="Arial" w:hAnsi="Arial"/>
          <w:b/>
          <w:bCs/>
          <w:color w:val="000000"/>
          <w:sz w:val="22"/>
          <w:szCs w:val="22"/>
        </w:rPr>
        <w:t xml:space="preserve">SFR — Box 10+ (offre Premium) : </w:t>
      </w:r>
      <w:r>
        <w:rPr>
          <w:rFonts w:ascii="Arial" w:cs="Arial" w:eastAsia="Arial" w:hAnsi="Arial"/>
          <w:sz w:val="22"/>
          <w:szCs w:val="22"/>
        </w:rPr>
        <w:t xml:space="preserve">Wi-Fi 7 intégré depuis 2024.</w:t>
      </w:r>
    </w:p>
    <w:p>
      <w:pPr>
        <w:pStyle w:val="ListParagraph"/>
        <w:numPr>
          <w:ilvl w:val="0"/>
          <w:numId w:val="2"/>
        </w:numPr>
        <w:spacing w:after="40" w:before="40"/>
      </w:pPr>
      <w:r>
        <w:rPr>
          <w:rFonts w:ascii="Arial" w:cs="Arial" w:eastAsia="Arial" w:hAnsi="Arial"/>
          <w:b/>
          <w:bCs/>
          <w:color w:val="000000"/>
          <w:sz w:val="22"/>
          <w:szCs w:val="22"/>
        </w:rPr>
        <w:t xml:space="preserve">Orange : </w:t>
      </w:r>
      <w:r>
        <w:rPr>
          <w:rFonts w:ascii="Arial" w:cs="Arial" w:eastAsia="Arial" w:hAnsi="Arial"/>
          <w:sz w:val="22"/>
          <w:szCs w:val="22"/>
        </w:rPr>
        <w:t xml:space="preserve">mise à jour Wi-Fi 7 de la Livebox 7 annoncée pour 2025.</w:t>
      </w:r>
    </w:p>
    <w:p>
      <w:pPr>
        <w:spacing w:after="0" w:before="80"/>
      </w:pPr>
      <w:r>
        <w:t xml:space="preserve"/>
      </w:r>
    </w:p>
    <w:p>
      <w:pPr>
        <w:spacing w:after="0" w:before="40"/>
        <w:ind w:left="720"/>
      </w:pPr>
      <w:r>
        <w:rPr>
          <w:rFonts w:ascii="Arial" w:cs="Arial" w:eastAsia="Arial" w:hAnsi="Arial"/>
          <w:i/>
          <w:iCs/>
          <w:color w:val="595959"/>
          <w:sz w:val="18"/>
          <w:szCs w:val="18"/>
        </w:rPr>
        <w:t xml:space="preserve">ℹ Choisir.com, « Arrivée du Wi-Fi 7 en 2025 » — Novembre 2025</w:t>
      </w:r>
    </w:p>
    <w:p>
      <w:pPr>
        <w:spacing w:after="60" w:before="0"/>
        <w:ind w:left="720"/>
      </w:pPr>
      <w:r>
        <w:rPr>
          <w:rFonts w:ascii="Courier New" w:cs="Courier New" w:eastAsia="Courier New" w:hAnsi="Courier New"/>
          <w:color w:val="1155CC"/>
          <w:sz w:val="17"/>
          <w:szCs w:val="17"/>
        </w:rPr>
        <w:t xml:space="preserve">https://www.choisir.com/box-internet/articles/216482/arrivee-du-wi-fi-7-en-2025-ou-en-sommes-nous-vraiment</w:t>
      </w:r>
    </w:p>
    <w:p>
      <w:pPr>
        <w:spacing w:after="0" w:before="40"/>
        <w:ind w:left="720"/>
      </w:pPr>
      <w:r>
        <w:rPr>
          <w:rFonts w:ascii="Arial" w:cs="Arial" w:eastAsia="Arial" w:hAnsi="Arial"/>
          <w:i/>
          <w:iCs/>
          <w:color w:val="595959"/>
          <w:sz w:val="18"/>
          <w:szCs w:val="18"/>
        </w:rPr>
        <w:t xml:space="preserve">ℹ Ariase, « Quelle box permet d’avoir le Wi-Fi 7 » — Mis à jour septembre 2025</w:t>
      </w:r>
    </w:p>
    <w:p>
      <w:pPr>
        <w:spacing w:after="60" w:before="0"/>
        <w:ind w:left="720"/>
      </w:pPr>
      <w:r>
        <w:rPr>
          <w:rFonts w:ascii="Courier New" w:cs="Courier New" w:eastAsia="Courier New" w:hAnsi="Courier New"/>
          <w:color w:val="1155CC"/>
          <w:sz w:val="17"/>
          <w:szCs w:val="17"/>
        </w:rPr>
        <w:t xml:space="preserve">https://www.ariase.com/box/dossiers/wifi-7</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Décembre 2025 – Janvier 2026</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Usages professionnels, limites et appareils compatibles</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1.5 Usages professionnels et limites</w:t>
      </w:r>
    </w:p>
    <w:p>
      <w:pPr>
        <w:spacing w:after="100" w:before="60"/>
      </w:pPr>
      <w:r>
        <w:rPr>
          <w:rFonts w:ascii="Arial" w:cs="Arial" w:eastAsia="Arial" w:hAnsi="Arial"/>
          <w:sz w:val="22"/>
          <w:szCs w:val="22"/>
        </w:rPr>
        <w:t xml:space="preserve">J’ai exploré les cas d’usage concrets du Wi-Fi 7 :</w:t>
      </w:r>
    </w:p>
    <w:p>
      <w:pPr>
        <w:pStyle w:val="ListParagraph"/>
        <w:numPr>
          <w:ilvl w:val="0"/>
          <w:numId w:val="2"/>
        </w:numPr>
        <w:spacing w:after="40" w:before="40"/>
      </w:pPr>
      <w:r>
        <w:rPr>
          <w:rFonts w:ascii="Arial" w:cs="Arial" w:eastAsia="Arial" w:hAnsi="Arial"/>
          <w:b/>
          <w:bCs/>
          <w:color w:val="000000"/>
          <w:sz w:val="22"/>
          <w:szCs w:val="22"/>
        </w:rPr>
        <w:t xml:space="preserve">Streaming 8K et réalité virtuelle : </w:t>
      </w:r>
      <w:r>
        <w:rPr>
          <w:rFonts w:ascii="Arial" w:cs="Arial" w:eastAsia="Arial" w:hAnsi="Arial"/>
          <w:sz w:val="22"/>
          <w:szCs w:val="22"/>
        </w:rPr>
        <w:t xml:space="preserve">débits réels jusqu’à 3,8 Gb/s mesurés.</w:t>
      </w:r>
    </w:p>
    <w:p>
      <w:pPr>
        <w:pStyle w:val="ListParagraph"/>
        <w:numPr>
          <w:ilvl w:val="0"/>
          <w:numId w:val="2"/>
        </w:numPr>
        <w:spacing w:after="40" w:before="40"/>
      </w:pPr>
      <w:r>
        <w:rPr>
          <w:rFonts w:ascii="Arial" w:cs="Arial" w:eastAsia="Arial" w:hAnsi="Arial"/>
          <w:b/>
          <w:bCs/>
          <w:color w:val="000000"/>
          <w:sz w:val="22"/>
          <w:szCs w:val="22"/>
        </w:rPr>
        <w:t xml:space="preserve">Gaming compétitif : </w:t>
      </w:r>
      <w:r>
        <w:rPr>
          <w:rFonts w:ascii="Arial" w:cs="Arial" w:eastAsia="Arial" w:hAnsi="Arial"/>
          <w:sz w:val="22"/>
          <w:szCs w:val="22"/>
        </w:rPr>
        <w:t xml:space="preserve">latence quasi nulle grâce au MLO.</w:t>
      </w:r>
    </w:p>
    <w:p>
      <w:pPr>
        <w:pStyle w:val="ListParagraph"/>
        <w:numPr>
          <w:ilvl w:val="0"/>
          <w:numId w:val="2"/>
        </w:numPr>
        <w:spacing w:after="40" w:before="40"/>
      </w:pPr>
      <w:r>
        <w:rPr>
          <w:rFonts w:ascii="Arial" w:cs="Arial" w:eastAsia="Arial" w:hAnsi="Arial"/>
          <w:b/>
          <w:bCs/>
          <w:color w:val="000000"/>
          <w:sz w:val="22"/>
          <w:szCs w:val="22"/>
        </w:rPr>
        <w:t xml:space="preserve">Environnements denses : </w:t>
      </w:r>
      <w:r>
        <w:rPr>
          <w:rFonts w:ascii="Arial" w:cs="Arial" w:eastAsia="Arial" w:hAnsi="Arial"/>
          <w:sz w:val="22"/>
          <w:szCs w:val="22"/>
        </w:rPr>
        <w:t xml:space="preserve">aéroports, stades, open spaces — stable pour des centaines d’appareils.</w:t>
      </w:r>
    </w:p>
    <w:p>
      <w:pPr>
        <w:pStyle w:val="ListParagraph"/>
        <w:numPr>
          <w:ilvl w:val="0"/>
          <w:numId w:val="2"/>
        </w:numPr>
        <w:spacing w:after="40" w:before="40"/>
      </w:pPr>
      <w:r>
        <w:rPr>
          <w:rFonts w:ascii="Arial" w:cs="Arial" w:eastAsia="Arial" w:hAnsi="Arial"/>
          <w:b/>
          <w:bCs/>
          <w:color w:val="000000"/>
          <w:sz w:val="22"/>
          <w:szCs w:val="22"/>
        </w:rPr>
        <w:t xml:space="preserve">Santé &amp; IoT : </w:t>
      </w:r>
      <w:r>
        <w:rPr>
          <w:rFonts w:ascii="Arial" w:cs="Arial" w:eastAsia="Arial" w:hAnsi="Arial"/>
          <w:sz w:val="22"/>
          <w:szCs w:val="22"/>
        </w:rPr>
        <w:t xml:space="preserve">efficacité énergétique améliorée pour capteurs médicaux et industriels.</w:t>
      </w:r>
    </w:p>
    <w:p>
      <w:pPr>
        <w:pStyle w:val="ListParagraph"/>
        <w:numPr>
          <w:ilvl w:val="0"/>
          <w:numId w:val="2"/>
        </w:numPr>
        <w:spacing w:after="40" w:before="40"/>
      </w:pPr>
      <w:r>
        <w:rPr>
          <w:rFonts w:ascii="Arial" w:cs="Arial" w:eastAsia="Arial" w:hAnsi="Arial"/>
          <w:b/>
          <w:bCs/>
          <w:color w:val="000000"/>
          <w:sz w:val="22"/>
          <w:szCs w:val="22"/>
        </w:rPr>
        <w:t xml:space="preserve">Appareils compatibles : </w:t>
      </w:r>
      <w:r>
        <w:rPr>
          <w:rFonts w:ascii="Arial" w:cs="Arial" w:eastAsia="Arial" w:hAnsi="Arial"/>
          <w:sz w:val="22"/>
          <w:szCs w:val="22"/>
        </w:rPr>
        <w:t xml:space="preserve">Samsung Galaxy S24+, iPhone 16, PC avec puce Intel Wi-Fi 7 BE200. Un appareil non compatible se connecte en Wi-Fi 5 ou 6 seulement.</w:t>
      </w:r>
    </w:p>
    <w:p>
      <w:pPr>
        <w:spacing w:after="0" w:before="80"/>
      </w:pPr>
      <w:r>
        <w:t xml:space="preserve"/>
      </w:r>
    </w:p>
    <w:p>
      <w:pPr>
        <w:spacing w:after="0" w:before="40"/>
        <w:ind w:left="720"/>
      </w:pPr>
      <w:r>
        <w:rPr>
          <w:rFonts w:ascii="Arial" w:cs="Arial" w:eastAsia="Arial" w:hAnsi="Arial"/>
          <w:i/>
          <w:iCs/>
          <w:color w:val="595959"/>
          <w:sz w:val="18"/>
          <w:szCs w:val="18"/>
        </w:rPr>
        <w:t xml:space="preserve">ℹ LB-LINK, « Applications réelles du Wi-Fi 7 » — Avril 2025</w:t>
      </w:r>
    </w:p>
    <w:p>
      <w:pPr>
        <w:spacing w:after="60" w:before="0"/>
        <w:ind w:left="720"/>
      </w:pPr>
      <w:r>
        <w:rPr>
          <w:rFonts w:ascii="Courier New" w:cs="Courier New" w:eastAsia="Courier New" w:hAnsi="Courier New"/>
          <w:color w:val="1155CC"/>
          <w:sz w:val="17"/>
          <w:szCs w:val="17"/>
        </w:rPr>
        <w:t xml:space="preserve">https://www.lb-link.com/fr/What-is-WiFi-7-The-2025-Guide-to-Speed-Efficiency-Real-World-Applications-id40077316.html</w:t>
      </w:r>
    </w:p>
    <w:p>
      <w:pPr>
        <w:spacing w:after="0" w:before="40"/>
        <w:ind w:left="720"/>
      </w:pPr>
      <w:r>
        <w:rPr>
          <w:rFonts w:ascii="Arial" w:cs="Arial" w:eastAsia="Arial" w:hAnsi="Arial"/>
          <w:i/>
          <w:iCs/>
          <w:color w:val="595959"/>
          <w:sz w:val="18"/>
          <w:szCs w:val="18"/>
        </w:rPr>
        <w:t xml:space="preserve">ℹ NETGEAR, « WiFi 7 : usages et compatibilité » — Consulté janvier 2026</w:t>
      </w:r>
    </w:p>
    <w:p>
      <w:pPr>
        <w:spacing w:after="60" w:before="0"/>
        <w:ind w:left="720"/>
      </w:pPr>
      <w:r>
        <w:rPr>
          <w:rFonts w:ascii="Courier New" w:cs="Courier New" w:eastAsia="Courier New" w:hAnsi="Courier New"/>
          <w:color w:val="1155CC"/>
          <w:sz w:val="17"/>
          <w:szCs w:val="17"/>
        </w:rPr>
        <w:t xml:space="preserve">https://www.netgear.com/fr/home/discover/wifi7/</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
              <w:left w:val="thick" w:color="C55A11" w:sz="12"/>
              <w:bottom w:val="single" w:color="C55A11" w:sz="1"/>
              <w:right w:val="single" w:color="C55A11" w:sz="1"/>
            </w:tcBorders>
            <w:shd w:fill="FCE4D6" w:val="clear"/>
            <w:tcMar>
              <w:top w:type="dxa" w:w="100"/>
              <w:left w:type="dxa" w:w="180"/>
              <w:bottom w:type="dxa" w:w="100"/>
              <w:right w:type="dxa" w:w="120"/>
            </w:tcMar>
          </w:tcPr>
          <w:p>
            <w:pPr>
              <w:spacing w:after="40" w:before="0"/>
            </w:pPr>
            <w:r>
              <w:rPr>
                <w:rFonts w:ascii="Arial" w:cs="Arial" w:eastAsia="Arial" w:hAnsi="Arial"/>
                <w:b/>
                <w:bCs/>
                <w:color w:val="C55A11"/>
                <w:sz w:val="22"/>
                <w:szCs w:val="22"/>
              </w:rPr>
              <w:t xml:space="preserve">⚠  Limites à retenir</w:t>
            </w:r>
          </w:p>
          <w:p>
            <w:pPr>
              <w:spacing w:after="0" w:before="0"/>
            </w:pPr>
            <w:r>
              <w:rPr>
                <w:rFonts w:ascii="Arial" w:cs="Arial" w:eastAsia="Arial" w:hAnsi="Arial"/>
                <w:color w:val="4D3800"/>
                <w:sz w:val="20"/>
                <w:szCs w:val="20"/>
              </w:rPr>
              <w:t xml:space="preserve">Coût matériel élevé — Compatibilité encore limitée des appareils — Nécessite une offre fibre multi-gigabit — Le Wi-Fi 6/6E reste un excellent choix pour la majorité des usages actuels. Adoption massive attendue après 2026.</w:t>
            </w:r>
          </w:p>
        </w:tc>
      </w:tr>
    </w:tbl>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Partie 2 — Veille Cybersécurité (sept. 2025 – mai 2026)</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Septembre 2025</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Premiers chiffres des cybermenaces en France</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2.1 État des menaces cyber en France — chiffres 2024</w:t>
      </w:r>
    </w:p>
    <w:p>
      <w:pPr>
        <w:spacing w:after="100" w:before="60"/>
      </w:pPr>
      <w:r>
        <w:rPr>
          <w:rFonts w:ascii="Arial" w:cs="Arial" w:eastAsia="Arial" w:hAnsi="Arial"/>
          <w:sz w:val="22"/>
          <w:szCs w:val="22"/>
        </w:rPr>
        <w:t xml:space="preserve">Dès le début de ma veille, j’ai consulté les rapports disponibles sur la cybermenace en France. Les données publiées par l’</w:t>
      </w:r>
      <w:r>
        <w:rPr>
          <w:rFonts w:ascii="Arial" w:cs="Arial" w:eastAsia="Arial" w:hAnsi="Arial"/>
          <w:b/>
          <w:bCs/>
          <w:color w:val="000000"/>
          <w:sz w:val="22"/>
          <w:szCs w:val="22"/>
        </w:rPr>
        <w:t xml:space="preserve">ANSSI</w:t>
      </w:r>
      <w:r>
        <w:rPr>
          <w:rFonts w:ascii="Arial" w:cs="Arial" w:eastAsia="Arial" w:hAnsi="Arial"/>
          <w:sz w:val="22"/>
          <w:szCs w:val="22"/>
        </w:rPr>
        <w:t xml:space="preserve"> et la </w:t>
      </w:r>
      <w:r>
        <w:rPr>
          <w:rFonts w:ascii="Arial" w:cs="Arial" w:eastAsia="Arial" w:hAnsi="Arial"/>
          <w:b/>
          <w:bCs/>
          <w:color w:val="000000"/>
          <w:sz w:val="22"/>
          <w:szCs w:val="22"/>
        </w:rPr>
        <w:t xml:space="preserve">CNIL</w:t>
      </w:r>
      <w:r>
        <w:rPr>
          <w:rFonts w:ascii="Arial" w:cs="Arial" w:eastAsia="Arial" w:hAnsi="Arial"/>
          <w:sz w:val="22"/>
          <w:szCs w:val="22"/>
        </w:rPr>
        <w:t xml:space="preserve"> sur l’année 2024 dressent un tableau alarmant : la France subit une pression cyber croissante et constante, avec des secteurs clés particulièrement exposés.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FDDBD8" w:val="clear"/>
            <w:tcMar>
              <w:top w:type="dxa" w:w="120"/>
              <w:left w:type="dxa" w:w="100"/>
              <w:bottom w:type="dxa" w:w="120"/>
              <w:right w:type="dxa" w:w="100"/>
            </w:tcMar>
            <w:vAlign w:val="center"/>
          </w:tcPr>
          <w:p>
            <w:pPr>
              <w:spacing w:after="40" w:before="0"/>
              <w:jc w:val="center"/>
            </w:pPr>
            <w:r>
              <w:rPr>
                <w:rFonts w:ascii="Arial" w:cs="Arial" w:eastAsia="Arial" w:hAnsi="Arial"/>
                <w:b/>
                <w:bCs/>
                <w:color w:val="C00000"/>
                <w:sz w:val="40"/>
                <w:szCs w:val="40"/>
              </w:rPr>
              <w:t xml:space="preserve">5 629</w:t>
            </w:r>
          </w:p>
          <w:p>
            <w:pPr>
              <w:spacing w:after="0" w:before="0"/>
              <w:jc w:val="center"/>
            </w:pPr>
            <w:r>
              <w:rPr>
                <w:rFonts w:ascii="Arial" w:cs="Arial" w:eastAsia="Arial" w:hAnsi="Arial"/>
                <w:color w:val="595959"/>
                <w:sz w:val="17"/>
                <w:szCs w:val="17"/>
              </w:rPr>
              <w:t xml:space="preserve">violations de données CNIL (2024)</w:t>
            </w:r>
          </w:p>
        </w:tc>
        <w:tc>
          <w:tcPr>
            <w:tcW w:type="dxa" w:w="3008"/>
            <w:tcBorders>
              <w:top w:val="single" w:color="CCCCCC" w:sz="1"/>
              <w:left w:val="single" w:color="CCCCCC" w:sz="1"/>
              <w:bottom w:val="single" w:color="CCCCCC" w:sz="1"/>
              <w:right w:val="single" w:color="CCCCCC" w:sz="1"/>
            </w:tcBorders>
            <w:shd w:fill="FCE4D6" w:val="clear"/>
            <w:tcMar>
              <w:top w:type="dxa" w:w="120"/>
              <w:left w:type="dxa" w:w="100"/>
              <w:bottom w:type="dxa" w:w="120"/>
              <w:right w:type="dxa" w:w="100"/>
            </w:tcMar>
            <w:vAlign w:val="center"/>
          </w:tcPr>
          <w:p>
            <w:pPr>
              <w:spacing w:after="40" w:before="0"/>
              <w:jc w:val="center"/>
            </w:pPr>
            <w:r>
              <w:rPr>
                <w:rFonts w:ascii="Arial" w:cs="Arial" w:eastAsia="Arial" w:hAnsi="Arial"/>
                <w:b/>
                <w:bCs/>
                <w:color w:val="C55A11"/>
                <w:sz w:val="40"/>
                <w:szCs w:val="40"/>
              </w:rPr>
              <w:t xml:space="preserve">15/j</w:t>
            </w:r>
          </w:p>
          <w:p>
            <w:pPr>
              <w:spacing w:after="0" w:before="0"/>
              <w:jc w:val="center"/>
            </w:pPr>
            <w:r>
              <w:rPr>
                <w:rFonts w:ascii="Arial" w:cs="Arial" w:eastAsia="Arial" w:hAnsi="Arial"/>
                <w:color w:val="595959"/>
                <w:sz w:val="17"/>
                <w:szCs w:val="17"/>
              </w:rPr>
              <w:t xml:space="preserve">notifications/jour en moyenne</w:t>
            </w:r>
          </w:p>
        </w:tc>
        <w:tc>
          <w:tcPr>
            <w:tcW w:type="dxa" w:w="3008"/>
            <w:tcBorders>
              <w:top w:val="single" w:color="CCCCCC" w:sz="1"/>
              <w:left w:val="single" w:color="CCCCCC" w:sz="1"/>
              <w:bottom w:val="single" w:color="CCCCCC" w:sz="1"/>
              <w:right w:val="single" w:color="CCCCCC" w:sz="1"/>
            </w:tcBorders>
            <w:shd w:fill="D5E8F0" w:val="clear"/>
            <w:tcMar>
              <w:top w:type="dxa" w:w="120"/>
              <w:left w:type="dxa" w:w="100"/>
              <w:bottom w:type="dxa" w:w="120"/>
              <w:right w:type="dxa" w:w="100"/>
            </w:tcMar>
            <w:vAlign w:val="center"/>
          </w:tcPr>
          <w:p>
            <w:pPr>
              <w:spacing w:after="40" w:before="0"/>
              <w:jc w:val="center"/>
            </w:pPr>
            <w:r>
              <w:rPr>
                <w:rFonts w:ascii="Arial" w:cs="Arial" w:eastAsia="Arial" w:hAnsi="Arial"/>
                <w:b/>
                <w:bCs/>
                <w:color w:val="1F4E79"/>
                <w:sz w:val="40"/>
                <w:szCs w:val="40"/>
              </w:rPr>
              <w:t xml:space="preserve">+20 %</w:t>
            </w:r>
          </w:p>
          <w:p>
            <w:pPr>
              <w:spacing w:after="0" w:before="0"/>
              <w:jc w:val="center"/>
            </w:pPr>
            <w:r>
              <w:rPr>
                <w:rFonts w:ascii="Arial" w:cs="Arial" w:eastAsia="Arial" w:hAnsi="Arial"/>
                <w:color w:val="595959"/>
                <w:sz w:val="17"/>
                <w:szCs w:val="17"/>
              </w:rPr>
              <w:t xml:space="preserve">hausse vs 2023</w:t>
            </w:r>
          </w:p>
        </w:tc>
      </w:tr>
    </w:tbl>
    <w:p>
      <w:pPr>
        <w:spacing w:after="0" w:before="80"/>
      </w:pPr>
      <w:r>
        <w:t xml:space="preserve"/>
      </w:r>
    </w:p>
    <w:p>
      <w:pPr>
        <w:spacing w:after="100" w:before="60"/>
      </w:pPr>
      <w:r>
        <w:rPr>
          <w:rFonts w:ascii="Arial" w:cs="Arial" w:eastAsia="Arial" w:hAnsi="Arial"/>
          <w:b/>
          <w:bCs/>
          <w:color w:val="000000"/>
          <w:sz w:val="22"/>
          <w:szCs w:val="22"/>
        </w:rPr>
        <w:t xml:space="preserve">Secteurs les plus ciblés (source ANSSI) :</w:t>
      </w:r>
    </w:p>
    <w:p>
      <w:pPr>
        <w:pStyle w:val="ListParagraph"/>
        <w:numPr>
          <w:ilvl w:val="0"/>
          <w:numId w:val="2"/>
        </w:numPr>
        <w:spacing w:after="40" w:before="40"/>
      </w:pPr>
      <w:r>
        <w:rPr>
          <w:rFonts w:ascii="Arial" w:cs="Arial" w:eastAsia="Arial" w:hAnsi="Arial"/>
          <w:b/>
          <w:bCs/>
          <w:color w:val="000000"/>
          <w:sz w:val="22"/>
          <w:szCs w:val="22"/>
        </w:rPr>
        <w:t xml:space="preserve">Éducation &amp; recherche (34 %) : </w:t>
      </w:r>
      <w:r>
        <w:rPr>
          <w:rFonts w:ascii="Arial" w:cs="Arial" w:eastAsia="Arial" w:hAnsi="Arial"/>
          <w:sz w:val="22"/>
          <w:szCs w:val="22"/>
        </w:rPr>
        <w:t xml:space="preserve">universités, lycées, ransomwares et vols de données.</w:t>
      </w:r>
    </w:p>
    <w:p>
      <w:pPr>
        <w:pStyle w:val="ListParagraph"/>
        <w:numPr>
          <w:ilvl w:val="0"/>
          <w:numId w:val="2"/>
        </w:numPr>
        <w:spacing w:after="40" w:before="40"/>
      </w:pPr>
      <w:r>
        <w:rPr>
          <w:rFonts w:ascii="Arial" w:cs="Arial" w:eastAsia="Arial" w:hAnsi="Arial"/>
          <w:b/>
          <w:bCs/>
          <w:color w:val="000000"/>
          <w:sz w:val="22"/>
          <w:szCs w:val="22"/>
        </w:rPr>
        <w:t xml:space="preserve">Ministères &amp; collectivités (24 %) : </w:t>
      </w:r>
      <w:r>
        <w:rPr>
          <w:rFonts w:ascii="Arial" w:cs="Arial" w:eastAsia="Arial" w:hAnsi="Arial"/>
          <w:sz w:val="22"/>
          <w:szCs w:val="22"/>
        </w:rPr>
        <w:t xml:space="preserve">administrations publiques et collectivités territoriales.</w:t>
      </w:r>
    </w:p>
    <w:p>
      <w:pPr>
        <w:pStyle w:val="ListParagraph"/>
        <w:numPr>
          <w:ilvl w:val="0"/>
          <w:numId w:val="2"/>
        </w:numPr>
        <w:spacing w:after="40" w:before="40"/>
      </w:pPr>
      <w:r>
        <w:rPr>
          <w:rFonts w:ascii="Arial" w:cs="Arial" w:eastAsia="Arial" w:hAnsi="Arial"/>
          <w:b/>
          <w:bCs/>
          <w:color w:val="000000"/>
          <w:sz w:val="22"/>
          <w:szCs w:val="22"/>
        </w:rPr>
        <w:t xml:space="preserve">Santé (10 %) : </w:t>
      </w:r>
      <w:r>
        <w:rPr>
          <w:rFonts w:ascii="Arial" w:cs="Arial" w:eastAsia="Arial" w:hAnsi="Arial"/>
          <w:sz w:val="22"/>
          <w:szCs w:val="22"/>
        </w:rPr>
        <w:t xml:space="preserve">hôpitaux, cibles de choix pour les ransomwares.</w:t>
      </w:r>
    </w:p>
    <w:p>
      <w:pPr>
        <w:pStyle w:val="ListParagraph"/>
        <w:numPr>
          <w:ilvl w:val="0"/>
          <w:numId w:val="2"/>
        </w:numPr>
        <w:spacing w:after="40" w:before="40"/>
      </w:pPr>
      <w:r>
        <w:rPr>
          <w:rFonts w:ascii="Arial" w:cs="Arial" w:eastAsia="Arial" w:hAnsi="Arial"/>
          <w:b/>
          <w:bCs/>
          <w:color w:val="000000"/>
          <w:sz w:val="22"/>
          <w:szCs w:val="22"/>
        </w:rPr>
        <w:t xml:space="preserve">Télécommunications : </w:t>
      </w:r>
      <w:r>
        <w:rPr>
          <w:rFonts w:ascii="Arial" w:cs="Arial" w:eastAsia="Arial" w:hAnsi="Arial"/>
          <w:sz w:val="22"/>
          <w:szCs w:val="22"/>
        </w:rPr>
        <w:t xml:space="preserve">attaques visant les opérateurs réseau.</w:t>
      </w:r>
    </w:p>
    <w:p>
      <w:pPr>
        <w:spacing w:after="0" w:before="80"/>
      </w:pPr>
      <w:r>
        <w:t xml:space="preserve"/>
      </w:r>
    </w:p>
    <w:p>
      <w:pPr>
        <w:spacing w:after="0" w:before="40"/>
        <w:ind w:left="720"/>
      </w:pPr>
      <w:r>
        <w:rPr>
          <w:rFonts w:ascii="Arial" w:cs="Arial" w:eastAsia="Arial" w:hAnsi="Arial"/>
          <w:i/>
          <w:iCs/>
          <w:color w:val="595959"/>
          <w:sz w:val="18"/>
          <w:szCs w:val="18"/>
        </w:rPr>
        <w:t xml:space="preserve">ℹ CNIL, bilan des violations de données 2024 — 2025</w:t>
      </w:r>
    </w:p>
    <w:p>
      <w:pPr>
        <w:spacing w:after="60" w:before="0"/>
        <w:ind w:left="720"/>
      </w:pPr>
      <w:r>
        <w:rPr>
          <w:rFonts w:ascii="Courier New" w:cs="Courier New" w:eastAsia="Courier New" w:hAnsi="Courier New"/>
          <w:color w:val="1155CC"/>
          <w:sz w:val="17"/>
          <w:szCs w:val="17"/>
        </w:rPr>
        <w:t xml:space="preserve">https://www.cnil.fr</w:t>
      </w:r>
    </w:p>
    <w:p>
      <w:pPr>
        <w:spacing w:after="0" w:before="40"/>
        <w:ind w:left="720"/>
      </w:pPr>
      <w:r>
        <w:rPr>
          <w:rFonts w:ascii="Arial" w:cs="Arial" w:eastAsia="Arial" w:hAnsi="Arial"/>
          <w:i/>
          <w:iCs/>
          <w:color w:val="595959"/>
          <w:sz w:val="18"/>
          <w:szCs w:val="18"/>
        </w:rPr>
        <w:t xml:space="preserve">ℹ Oodrive, « Top 10 des cyberattaques 2025 » — Juin 2025</w:t>
      </w:r>
    </w:p>
    <w:p>
      <w:pPr>
        <w:spacing w:after="60" w:before="0"/>
        <w:ind w:left="720"/>
      </w:pPr>
      <w:r>
        <w:rPr>
          <w:rFonts w:ascii="Courier New" w:cs="Courier New" w:eastAsia="Courier New" w:hAnsi="Courier New"/>
          <w:color w:val="1155CC"/>
          <w:sz w:val="17"/>
          <w:szCs w:val="17"/>
        </w:rPr>
        <w:t xml:space="preserve">https://www.oodrive.com/fr/blog/securite/cybersecurite/top-10-des-cyberattaques-2025/</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Octobre 2025</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Nouvelles menaces : phishing IA et fraudes financières</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2.2 Phishing amplifié par l’IA et fraudes en hausse</w:t>
      </w:r>
    </w:p>
    <w:p>
      <w:pPr>
        <w:spacing w:after="100" w:before="60"/>
      </w:pPr>
      <w:r>
        <w:rPr>
          <w:rFonts w:ascii="Arial" w:cs="Arial" w:eastAsia="Arial" w:hAnsi="Arial"/>
          <w:sz w:val="22"/>
          <w:szCs w:val="22"/>
        </w:rPr>
        <w:t xml:space="preserve">En octobre 2025, j’ai approfondi l’analyse des nouvelles formes de cyberattaques. Le </w:t>
      </w:r>
      <w:r>
        <w:rPr>
          <w:rFonts w:ascii="Arial" w:cs="Arial" w:eastAsia="Arial" w:hAnsi="Arial"/>
          <w:b/>
          <w:bCs/>
          <w:color w:val="000000"/>
          <w:sz w:val="22"/>
          <w:szCs w:val="22"/>
        </w:rPr>
        <w:t xml:space="preserve">phishing</w:t>
      </w:r>
      <w:r>
        <w:rPr>
          <w:rFonts w:ascii="Arial" w:cs="Arial" w:eastAsia="Arial" w:hAnsi="Arial"/>
          <w:sz w:val="22"/>
          <w:szCs w:val="22"/>
        </w:rPr>
        <w:t xml:space="preserve"> reste la menace la plus fréquente, mais il a profondément évolué : les attaques sont désormais rédigées par des IA capables de personnaliser finement les messages. Apparition du </w:t>
      </w:r>
      <w:r>
        <w:rPr>
          <w:rFonts w:ascii="Arial" w:cs="Arial" w:eastAsia="Arial" w:hAnsi="Arial"/>
          <w:b/>
          <w:bCs/>
          <w:color w:val="000000"/>
          <w:sz w:val="22"/>
          <w:szCs w:val="22"/>
        </w:rPr>
        <w:t xml:space="preserve">« deep phishing »</w:t>
      </w:r>
      <w:r>
        <w:rPr>
          <w:rFonts w:ascii="Arial" w:cs="Arial" w:eastAsia="Arial" w:hAnsi="Arial"/>
          <w:sz w:val="22"/>
          <w:szCs w:val="22"/>
        </w:rPr>
        <w:t xml:space="preserve"> : deepfakes audio/vidéo imitant en temps réel la voix de dirigeants pour valider de faux virements.</w:t>
      </w:r>
    </w:p>
    <w:p>
      <w:pPr>
        <w:spacing w:after="100" w:before="60"/>
      </w:pPr>
      <w:r>
        <w:rPr>
          <w:rFonts w:ascii="Arial" w:cs="Arial" w:eastAsia="Arial" w:hAnsi="Arial"/>
          <w:sz w:val="22"/>
          <w:szCs w:val="22"/>
        </w:rPr>
        <w:t xml:space="preserve">Hausse des fraudes financières numériques observée en 2025 :</w:t>
      </w:r>
    </w:p>
    <w:p>
      <w:pPr>
        <w:pStyle w:val="ListParagraph"/>
        <w:numPr>
          <w:ilvl w:val="0"/>
          <w:numId w:val="2"/>
        </w:numPr>
        <w:spacing w:after="40" w:before="40"/>
      </w:pPr>
      <w:r>
        <w:rPr>
          <w:rFonts w:ascii="Arial" w:cs="Arial" w:eastAsia="Arial" w:hAnsi="Arial"/>
          <w:b/>
          <w:bCs/>
          <w:color w:val="000000"/>
          <w:sz w:val="22"/>
          <w:szCs w:val="22"/>
        </w:rPr>
        <w:t xml:space="preserve">Fraudes au virement : </w:t>
      </w:r>
      <w:r>
        <w:rPr>
          <w:rFonts w:ascii="Arial" w:cs="Arial" w:eastAsia="Arial" w:hAnsi="Arial"/>
          <w:sz w:val="22"/>
          <w:szCs w:val="22"/>
        </w:rPr>
        <w:t xml:space="preserve">forte augmentation, extension à la facturation électronique et à la gestion de paie.</w:t>
      </w:r>
    </w:p>
    <w:p>
      <w:pPr>
        <w:pStyle w:val="ListParagraph"/>
        <w:numPr>
          <w:ilvl w:val="0"/>
          <w:numId w:val="2"/>
        </w:numPr>
        <w:spacing w:after="40" w:before="40"/>
      </w:pPr>
      <w:r>
        <w:rPr>
          <w:rFonts w:ascii="Arial" w:cs="Arial" w:eastAsia="Arial" w:hAnsi="Arial"/>
          <w:b/>
          <w:bCs/>
          <w:color w:val="000000"/>
          <w:sz w:val="22"/>
          <w:szCs w:val="22"/>
        </w:rPr>
        <w:t xml:space="preserve">Faux conseiller bancaire : </w:t>
      </w:r>
      <w:r>
        <w:rPr>
          <w:rFonts w:ascii="Arial" w:cs="Arial" w:eastAsia="Arial" w:hAnsi="Arial"/>
          <w:sz w:val="22"/>
          <w:szCs w:val="22"/>
        </w:rPr>
        <w:t xml:space="preserve">WhatsApp utilisé comme vecteur principal d’arnaque.</w:t>
      </w:r>
    </w:p>
    <w:p>
      <w:pPr>
        <w:pStyle w:val="ListParagraph"/>
        <w:numPr>
          <w:ilvl w:val="0"/>
          <w:numId w:val="2"/>
        </w:numPr>
        <w:spacing w:after="40" w:before="40"/>
      </w:pPr>
      <w:r>
        <w:rPr>
          <w:rFonts w:ascii="Arial" w:cs="Arial" w:eastAsia="Arial" w:hAnsi="Arial"/>
          <w:b/>
          <w:bCs/>
          <w:color w:val="000000"/>
          <w:sz w:val="22"/>
          <w:szCs w:val="22"/>
        </w:rPr>
        <w:t xml:space="preserve">Faux placement financier : </w:t>
      </w:r>
      <w:r>
        <w:rPr>
          <w:rFonts w:ascii="Arial" w:cs="Arial" w:eastAsia="Arial" w:hAnsi="Arial"/>
          <w:sz w:val="22"/>
          <w:szCs w:val="22"/>
        </w:rPr>
        <w:t xml:space="preserve">faux sites professionnels et groupes d’« investisseurs » sur les réseaux sociaux.</w:t>
      </w:r>
    </w:p>
    <w:p>
      <w:pPr>
        <w:spacing w:after="0" w:before="80"/>
      </w:pPr>
      <w:r>
        <w:t xml:space="preserve"/>
      </w:r>
    </w:p>
    <w:p>
      <w:pPr>
        <w:spacing w:after="0" w:before="40"/>
        <w:ind w:left="720"/>
      </w:pPr>
      <w:r>
        <w:rPr>
          <w:rFonts w:ascii="Arial" w:cs="Arial" w:eastAsia="Arial" w:hAnsi="Arial"/>
          <w:i/>
          <w:iCs/>
          <w:color w:val="595959"/>
          <w:sz w:val="18"/>
          <w:szCs w:val="18"/>
        </w:rPr>
        <w:t xml:space="preserve">ℹ Oodrive, « Top 10 des cyberattaques 2025 » — Juin 2025</w:t>
      </w:r>
    </w:p>
    <w:p>
      <w:pPr>
        <w:spacing w:after="60" w:before="0"/>
        <w:ind w:left="720"/>
      </w:pPr>
      <w:r>
        <w:rPr>
          <w:rFonts w:ascii="Courier New" w:cs="Courier New" w:eastAsia="Courier New" w:hAnsi="Courier New"/>
          <w:color w:val="1155CC"/>
          <w:sz w:val="17"/>
          <w:szCs w:val="17"/>
        </w:rPr>
        <w:t xml:space="preserve">https://www.oodrive.com/fr/blog/securite/cybersecurite/top-10-des-cyberattaques-2025/</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Novembre 2025</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Incident France Travail — analyse d’un cas réel</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2.3 Incident majeur : France Travail (2024–2025)</w:t>
      </w:r>
    </w:p>
    <w:p>
      <w:pPr>
        <w:spacing w:after="100" w:before="60"/>
      </w:pPr>
      <w:r>
        <w:rPr>
          <w:rFonts w:ascii="Arial" w:cs="Arial" w:eastAsia="Arial" w:hAnsi="Arial"/>
          <w:sz w:val="22"/>
          <w:szCs w:val="22"/>
        </w:rPr>
        <w:t xml:space="preserve">En novembre 2025, l’actualité met en avant une nouvelle intrusion chez </w:t>
      </w:r>
      <w:r>
        <w:rPr>
          <w:rFonts w:ascii="Arial" w:cs="Arial" w:eastAsia="Arial" w:hAnsi="Arial"/>
          <w:b/>
          <w:bCs/>
          <w:color w:val="000000"/>
          <w:sz w:val="22"/>
          <w:szCs w:val="22"/>
        </w:rPr>
        <w:t xml:space="preserve">France Travail</w:t>
      </w:r>
      <w:r>
        <w:rPr>
          <w:rFonts w:ascii="Arial" w:cs="Arial" w:eastAsia="Arial" w:hAnsi="Arial"/>
          <w:sz w:val="22"/>
          <w:szCs w:val="22"/>
        </w:rPr>
        <w:t xml:space="preserve">. J’ai analysé ce cas comme illustration concrète des risques sur les services publics.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Période</w:t>
            </w:r>
          </w:p>
        </w:tc>
        <w:tc>
          <w:tcPr>
            <w:tcW w:type="dxa" w:w="3008"/>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Nature de l’attaque</w:t>
            </w:r>
          </w:p>
        </w:tc>
        <w:tc>
          <w:tcPr>
            <w:tcW w:type="dxa" w:w="3008"/>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Impact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Mars 2024</w:t>
            </w:r>
          </w:p>
        </w:tc>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Exfiltration massive de données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43 millions de dossiers potentiellement exfiltrés</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Fin 2025</w:t>
            </w:r>
          </w:p>
        </w:tc>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Nouvelle intrusion — Missions Locales</w:t>
            </w:r>
          </w:p>
        </w:tc>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1,6 million de jeunes touchés</w:t>
            </w:r>
          </w:p>
        </w:tc>
      </w:tr>
    </w:tbl>
    <w:p>
      <w:pPr>
        <w:spacing w:after="0" w:before="80"/>
      </w:pPr>
      <w:r>
        <w:t xml:space="preserve"/>
      </w:r>
    </w:p>
    <w:p>
      <w:pPr>
        <w:spacing w:after="100" w:before="60"/>
      </w:pPr>
      <w:r>
        <w:rPr>
          <w:rFonts w:ascii="Arial" w:cs="Arial" w:eastAsia="Arial" w:hAnsi="Arial"/>
          <w:sz w:val="22"/>
          <w:szCs w:val="22"/>
        </w:rPr>
        <w:t xml:space="preserve">Ces incidents répétés démontrent que la cybersécurité ne peut pas être traitée comme un chantier ponctuel post-crise. La CNIL a ouvert un audit sur l’organisme.</w:t>
      </w:r>
    </w:p>
    <w:p>
      <w:pPr>
        <w:spacing w:after="0" w:before="80"/>
      </w:pPr>
      <w:r>
        <w:t xml:space="preserve"/>
      </w:r>
    </w:p>
    <w:p>
      <w:pPr>
        <w:spacing w:after="0" w:before="40"/>
        <w:ind w:left="720"/>
      </w:pPr>
      <w:r>
        <w:rPr>
          <w:rFonts w:ascii="Arial" w:cs="Arial" w:eastAsia="Arial" w:hAnsi="Arial"/>
          <w:i/>
          <w:iCs/>
          <w:color w:val="595959"/>
          <w:sz w:val="18"/>
          <w:szCs w:val="18"/>
        </w:rPr>
        <w:t xml:space="preserve">ℹ RM3A Cybersécurité, « Bilan cyberattaques France 2024–2025 » — Décembre 2025</w:t>
      </w:r>
    </w:p>
    <w:p>
      <w:pPr>
        <w:spacing w:after="60" w:before="0"/>
        <w:ind w:left="720"/>
      </w:pPr>
      <w:r>
        <w:rPr>
          <w:rFonts w:ascii="Courier New" w:cs="Courier New" w:eastAsia="Courier New" w:hAnsi="Courier New"/>
          <w:color w:val="1155CC"/>
          <w:sz w:val="17"/>
          <w:szCs w:val="17"/>
        </w:rPr>
        <w:t xml:space="preserve">https://rm3a.fr/bilan-des-cyberattaques-en-france-2024-2025-rm3a-cybersecurite/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Décembre 2025</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Industrialisation des attaques — infostealers &amp; supply chain</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2.4 Industrialisation de la chaîne d’attaque</w:t>
      </w:r>
    </w:p>
    <w:p>
      <w:pPr>
        <w:spacing w:after="100" w:before="60"/>
      </w:pPr>
      <w:r>
        <w:rPr>
          <w:rFonts w:ascii="Arial" w:cs="Arial" w:eastAsia="Arial" w:hAnsi="Arial"/>
          <w:sz w:val="22"/>
          <w:szCs w:val="22"/>
        </w:rPr>
        <w:t xml:space="preserve">En décembre 2025, mes recherches ont mis en lumière l’émergence d’un écosystème criminel organisé. La chaîne d’attaque </w:t>
      </w:r>
      <w:r>
        <w:rPr>
          <w:rFonts w:ascii="Arial" w:cs="Arial" w:eastAsia="Arial" w:hAnsi="Arial"/>
          <w:b/>
          <w:bCs/>
          <w:color w:val="000000"/>
          <w:sz w:val="22"/>
          <w:szCs w:val="22"/>
        </w:rPr>
        <w:t xml:space="preserve">infostealer → accès initial → ransomware</w:t>
      </w:r>
      <w:r>
        <w:rPr>
          <w:rFonts w:ascii="Arial" w:cs="Arial" w:eastAsia="Arial" w:hAnsi="Arial"/>
          <w:sz w:val="22"/>
          <w:szCs w:val="22"/>
        </w:rPr>
        <w:t xml:space="preserve"> s’industrialise : les logiciels voleurs de credentials se propagent via malvertising ou SEO poisoning, les accès volés sont revendus sur des marketplaces souterraines, puis exploités par des groupes spécialisés. La technique du </w:t>
      </w:r>
      <w:r>
        <w:rPr>
          <w:rFonts w:ascii="Arial" w:cs="Arial" w:eastAsia="Arial" w:hAnsi="Arial"/>
          <w:b/>
          <w:bCs/>
          <w:color w:val="000000"/>
          <w:sz w:val="22"/>
          <w:szCs w:val="22"/>
        </w:rPr>
        <w:t xml:space="preserve">« vol de tokens de session »</w:t>
      </w:r>
      <w:r>
        <w:rPr>
          <w:rFonts w:ascii="Arial" w:cs="Arial" w:eastAsia="Arial" w:hAnsi="Arial"/>
          <w:sz w:val="22"/>
          <w:szCs w:val="22"/>
        </w:rPr>
        <w:t xml:space="preserve"> permet de contourner le MFA, rendant cette défense seule insuffisante.</w:t>
      </w:r>
    </w:p>
    <w:p>
      <w:pPr>
        <w:spacing w:after="0" w:before="80"/>
      </w:pPr>
      <w:r>
        <w:t xml:space="preserve"/>
      </w:r>
    </w:p>
    <w:p>
      <w:pPr>
        <w:spacing w:after="100" w:before="60"/>
      </w:pPr>
      <w:r>
        <w:rPr>
          <w:rFonts w:ascii="Arial" w:cs="Arial" w:eastAsia="Arial" w:hAnsi="Arial"/>
          <w:b/>
          <w:bCs/>
          <w:color w:val="000000"/>
          <w:sz w:val="22"/>
          <w:szCs w:val="22"/>
        </w:rPr>
        <w:t xml:space="preserve">France : 2e cible européenne. </w:t>
      </w:r>
      <w:r>
        <w:rPr>
          <w:rFonts w:ascii="Arial" w:cs="Arial" w:eastAsia="Arial" w:hAnsi="Arial"/>
          <w:sz w:val="22"/>
          <w:szCs w:val="22"/>
        </w:rPr>
        <w:t xml:space="preserve">Selon les analyses disponibles fin 2025, plus de </w:t>
      </w:r>
      <w:r>
        <w:rPr>
          <w:rFonts w:ascii="Arial" w:cs="Arial" w:eastAsia="Arial" w:hAnsi="Arial"/>
          <w:b/>
          <w:bCs/>
          <w:color w:val="000000"/>
          <w:sz w:val="22"/>
          <w:szCs w:val="22"/>
        </w:rPr>
        <w:t xml:space="preserve">50 organisations majeures</w:t>
      </w:r>
      <w:r>
        <w:rPr>
          <w:rFonts w:ascii="Arial" w:cs="Arial" w:eastAsia="Arial" w:hAnsi="Arial"/>
          <w:sz w:val="22"/>
          <w:szCs w:val="22"/>
        </w:rPr>
        <w:t xml:space="preserve"> ont été victimes sur 2024–2025, avec un coût estimé à plus de </w:t>
      </w:r>
      <w:r>
        <w:rPr>
          <w:rFonts w:ascii="Arial" w:cs="Arial" w:eastAsia="Arial" w:hAnsi="Arial"/>
          <w:b/>
          <w:bCs/>
          <w:color w:val="000000"/>
          <w:sz w:val="22"/>
          <w:szCs w:val="22"/>
        </w:rPr>
        <w:t xml:space="preserve">100 milliards d’euros</w:t>
      </w:r>
      <w:r>
        <w:rPr>
          <w:rFonts w:ascii="Arial" w:cs="Arial" w:eastAsia="Arial" w:hAnsi="Arial"/>
          <w:sz w:val="22"/>
          <w:szCs w:val="22"/>
        </w:rPr>
        <w:t xml:space="preserve">.</w:t>
      </w:r>
    </w:p>
    <w:p>
      <w:pPr>
        <w:spacing w:after="0" w:before="80"/>
      </w:pPr>
      <w:r>
        <w:t xml:space="preserve"/>
      </w:r>
    </w:p>
    <w:p>
      <w:pPr>
        <w:spacing w:after="0" w:before="40"/>
        <w:ind w:left="720"/>
      </w:pPr>
      <w:r>
        <w:rPr>
          <w:rFonts w:ascii="Arial" w:cs="Arial" w:eastAsia="Arial" w:hAnsi="Arial"/>
          <w:i/>
          <w:iCs/>
          <w:color w:val="595959"/>
          <w:sz w:val="18"/>
          <w:szCs w:val="18"/>
        </w:rPr>
        <w:t xml:space="preserve">ℹ RM3A Cybersécurité, « Bilan France 2024–2025 » — Décembre 2025</w:t>
      </w:r>
    </w:p>
    <w:p>
      <w:pPr>
        <w:spacing w:after="60" w:before="0"/>
        <w:ind w:left="720"/>
      </w:pPr>
      <w:r>
        <w:rPr>
          <w:rFonts w:ascii="Courier New" w:cs="Courier New" w:eastAsia="Courier New" w:hAnsi="Courier New"/>
          <w:color w:val="1155CC"/>
          <w:sz w:val="17"/>
          <w:szCs w:val="17"/>
        </w:rPr>
        <w:t xml:space="preserve">https://rm3a.fr/bilan-des-cyberattaques-en-france-2024-2025-rm3a-cybersecurite/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Janvier – Février 2026</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Rapport ANSSI &amp; menace hybride sur infrastructures</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2.5 Bilan ANSSI 2025 et menace hybride</w:t>
      </w:r>
    </w:p>
    <w:p>
      <w:pPr>
        <w:spacing w:after="100" w:before="60"/>
      </w:pPr>
      <w:r>
        <w:rPr>
          <w:rFonts w:ascii="Arial" w:cs="Arial" w:eastAsia="Arial" w:hAnsi="Arial"/>
          <w:sz w:val="22"/>
          <w:szCs w:val="22"/>
        </w:rPr>
        <w:t xml:space="preserve">En janvier 2026, l’ANSSI a publié son bilan préliminaire de l’année 2025. Elle a traité </w:t>
      </w:r>
      <w:r>
        <w:rPr>
          <w:rFonts w:ascii="Arial" w:cs="Arial" w:eastAsia="Arial" w:hAnsi="Arial"/>
          <w:b/>
          <w:bCs/>
          <w:color w:val="000000"/>
          <w:sz w:val="22"/>
          <w:szCs w:val="22"/>
        </w:rPr>
        <w:t xml:space="preserve">3 586 événements de sécurité</w:t>
      </w:r>
      <w:r>
        <w:rPr>
          <w:rFonts w:ascii="Arial" w:cs="Arial" w:eastAsia="Arial" w:hAnsi="Arial"/>
          <w:sz w:val="22"/>
          <w:szCs w:val="22"/>
        </w:rPr>
        <w:t xml:space="preserve">, soit −18 % par rapport à 2024 (pic JO). Par ailleurs, des </w:t>
      </w:r>
      <w:r>
        <w:rPr>
          <w:rFonts w:ascii="Arial" w:cs="Arial" w:eastAsia="Arial" w:hAnsi="Arial"/>
          <w:b/>
          <w:bCs/>
          <w:color w:val="000000"/>
          <w:sz w:val="22"/>
          <w:szCs w:val="22"/>
        </w:rPr>
        <w:t xml:space="preserve">attaques coordonnées contre les infrastructures électriques polonaises</w:t>
      </w:r>
      <w:r>
        <w:rPr>
          <w:rFonts w:ascii="Arial" w:cs="Arial" w:eastAsia="Arial" w:hAnsi="Arial"/>
          <w:sz w:val="22"/>
          <w:szCs w:val="22"/>
        </w:rPr>
        <w:t xml:space="preserve"> fin 2025 ont alerté toute l’Europe. L’ANSSI identifie ce type de scénario hybride comme le plus redouté pour la France d’ici 2030 : attaque simultanée visant hôpitaux, électricité, télécommunications et transports.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120"/>
              <w:left w:type="dxa" w:w="100"/>
              <w:bottom w:type="dxa" w:w="120"/>
              <w:right w:type="dxa" w:w="100"/>
            </w:tcMar>
            <w:vAlign w:val="center"/>
          </w:tcPr>
          <w:p>
            <w:pPr>
              <w:spacing w:after="40" w:before="0"/>
              <w:jc w:val="center"/>
            </w:pPr>
            <w:r>
              <w:rPr>
                <w:rFonts w:ascii="Arial" w:cs="Arial" w:eastAsia="Arial" w:hAnsi="Arial"/>
                <w:b/>
                <w:bCs/>
                <w:color w:val="1F4E79"/>
                <w:sz w:val="40"/>
                <w:szCs w:val="40"/>
              </w:rPr>
              <w:t xml:space="preserve">3 586</w:t>
            </w:r>
          </w:p>
          <w:p>
            <w:pPr>
              <w:spacing w:after="0" w:before="0"/>
              <w:jc w:val="center"/>
            </w:pPr>
            <w:r>
              <w:rPr>
                <w:rFonts w:ascii="Arial" w:cs="Arial" w:eastAsia="Arial" w:hAnsi="Arial"/>
                <w:color w:val="595959"/>
                <w:sz w:val="17"/>
                <w:szCs w:val="17"/>
              </w:rPr>
              <w:t xml:space="preserve">événements ANSSI 2025</w:t>
            </w:r>
          </w:p>
        </w:tc>
        <w:tc>
          <w:tcPr>
            <w:tcW w:type="dxa" w:w="3008"/>
            <w:tcBorders>
              <w:top w:val="single" w:color="CCCCCC" w:sz="1"/>
              <w:left w:val="single" w:color="CCCCCC" w:sz="1"/>
              <w:bottom w:val="single" w:color="CCCCCC" w:sz="1"/>
              <w:right w:val="single" w:color="CCCCCC" w:sz="1"/>
            </w:tcBorders>
            <w:shd w:fill="F2F2F2" w:val="clear"/>
            <w:tcMar>
              <w:top w:type="dxa" w:w="120"/>
              <w:left w:type="dxa" w:w="100"/>
              <w:bottom w:type="dxa" w:w="120"/>
              <w:right w:type="dxa" w:w="100"/>
            </w:tcMar>
            <w:vAlign w:val="center"/>
          </w:tcPr>
          <w:p>
            <w:pPr>
              <w:spacing w:after="40" w:before="0"/>
              <w:jc w:val="center"/>
            </w:pPr>
            <w:r>
              <w:rPr>
                <w:rFonts w:ascii="Arial" w:cs="Arial" w:eastAsia="Arial" w:hAnsi="Arial"/>
                <w:b/>
                <w:bCs/>
                <w:color w:val="0070C0"/>
                <w:sz w:val="40"/>
                <w:szCs w:val="40"/>
              </w:rPr>
              <w:t xml:space="preserve">1 366</w:t>
            </w:r>
          </w:p>
          <w:p>
            <w:pPr>
              <w:spacing w:after="0" w:before="0"/>
              <w:jc w:val="center"/>
            </w:pPr>
            <w:r>
              <w:rPr>
                <w:rFonts w:ascii="Arial" w:cs="Arial" w:eastAsia="Arial" w:hAnsi="Arial"/>
                <w:color w:val="595959"/>
                <w:sz w:val="17"/>
                <w:szCs w:val="17"/>
              </w:rPr>
              <w:t xml:space="preserve">incidents confirmés</w:t>
            </w:r>
          </w:p>
        </w:tc>
        <w:tc>
          <w:tcPr>
            <w:tcW w:type="dxa" w:w="3008"/>
            <w:tcBorders>
              <w:top w:val="single" w:color="CCCCCC" w:sz="1"/>
              <w:left w:val="single" w:color="CCCCCC" w:sz="1"/>
              <w:bottom w:val="single" w:color="CCCCCC" w:sz="1"/>
              <w:right w:val="single" w:color="CCCCCC" w:sz="1"/>
            </w:tcBorders>
            <w:shd w:fill="FCE4D6" w:val="clear"/>
            <w:tcMar>
              <w:top w:type="dxa" w:w="120"/>
              <w:left w:type="dxa" w:w="100"/>
              <w:bottom w:type="dxa" w:w="120"/>
              <w:right w:type="dxa" w:w="100"/>
            </w:tcMar>
            <w:vAlign w:val="center"/>
          </w:tcPr>
          <w:p>
            <w:pPr>
              <w:spacing w:after="40" w:before="0"/>
              <w:jc w:val="center"/>
            </w:pPr>
            <w:r>
              <w:rPr>
                <w:rFonts w:ascii="Arial" w:cs="Arial" w:eastAsia="Arial" w:hAnsi="Arial"/>
                <w:b/>
                <w:bCs/>
                <w:color w:val="C55A11"/>
                <w:sz w:val="40"/>
                <w:szCs w:val="40"/>
              </w:rPr>
              <w:t xml:space="preserve">+500k</w:t>
            </w:r>
          </w:p>
          <w:p>
            <w:pPr>
              <w:spacing w:after="0" w:before="0"/>
              <w:jc w:val="center"/>
            </w:pPr>
            <w:r>
              <w:rPr>
                <w:rFonts w:ascii="Arial" w:cs="Arial" w:eastAsia="Arial" w:hAnsi="Arial"/>
                <w:color w:val="595959"/>
                <w:sz w:val="17"/>
                <w:szCs w:val="17"/>
              </w:rPr>
              <w:t xml:space="preserve">victimes assistées (+20 %)</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B3C" w:sz="1"/>
              <w:left w:val="thick" w:color="1E6B3C" w:sz="12"/>
              <w:bottom w:val="single" w:color="1E6B3C" w:sz="1"/>
              <w:right w:val="single" w:color="1E6B3C" w:sz="1"/>
            </w:tcBorders>
            <w:shd w:fill="D9F0E3" w:val="clear"/>
            <w:tcMar>
              <w:top w:type="dxa" w:w="100"/>
              <w:left w:type="dxa" w:w="180"/>
              <w:bottom w:type="dxa" w:w="100"/>
              <w:right w:type="dxa" w:w="120"/>
            </w:tcMar>
          </w:tcPr>
          <w:p>
            <w:pPr>
              <w:spacing w:after="40" w:before="0"/>
            </w:pPr>
            <w:r>
              <w:rPr>
                <w:rFonts w:ascii="Arial" w:cs="Arial" w:eastAsia="Arial" w:hAnsi="Arial"/>
                <w:b/>
                <w:bCs/>
                <w:color w:val="1E6B3C"/>
                <w:sz w:val="22"/>
                <w:szCs w:val="22"/>
              </w:rPr>
              <w:t xml:space="preserve">✅  Recommandations clés (ANSSI jan. 2026)</w:t>
            </w:r>
          </w:p>
          <w:p>
            <w:pPr>
              <w:pStyle w:val="ListParagraph"/>
              <w:numPr>
                <w:ilvl w:val="0"/>
                <w:numId w:val="2"/>
              </w:numPr>
              <w:spacing w:after="30" w:before="30"/>
            </w:pPr>
            <w:r>
              <w:rPr>
                <w:rFonts w:ascii="Arial" w:cs="Arial" w:eastAsia="Arial" w:hAnsi="Arial"/>
                <w:color w:val="0D3D21"/>
                <w:sz w:val="20"/>
                <w:szCs w:val="20"/>
              </w:rPr>
              <w:t xml:space="preserve">Adopter une MFA résistante au phishing : FIDO2 / passkeys sur les comptes sensibles</w:t>
            </w:r>
          </w:p>
          <w:p>
            <w:pPr>
              <w:pStyle w:val="ListParagraph"/>
              <w:numPr>
                <w:ilvl w:val="0"/>
                <w:numId w:val="2"/>
              </w:numPr>
              <w:spacing w:after="30" w:before="30"/>
            </w:pPr>
            <w:r>
              <w:rPr>
                <w:rFonts w:ascii="Arial" w:cs="Arial" w:eastAsia="Arial" w:hAnsi="Arial"/>
                <w:color w:val="0D3D21"/>
                <w:sz w:val="20"/>
                <w:szCs w:val="20"/>
              </w:rPr>
              <w:t xml:space="preserve">Réduire les sessions longues et sécuriser les tokens (Conditional Access)</w:t>
            </w:r>
          </w:p>
          <w:p>
            <w:pPr>
              <w:pStyle w:val="ListParagraph"/>
              <w:numPr>
                <w:ilvl w:val="0"/>
                <w:numId w:val="2"/>
              </w:numPr>
              <w:spacing w:after="30" w:before="30"/>
            </w:pPr>
            <w:r>
              <w:rPr>
                <w:rFonts w:ascii="Arial" w:cs="Arial" w:eastAsia="Arial" w:hAnsi="Arial"/>
                <w:color w:val="0D3D21"/>
                <w:sz w:val="20"/>
                <w:szCs w:val="20"/>
              </w:rPr>
              <w:t xml:space="preserve">Former régulièrement les collaborateurs à la détection du phishing</w:t>
            </w:r>
          </w:p>
          <w:p>
            <w:pPr>
              <w:pStyle w:val="ListParagraph"/>
              <w:numPr>
                <w:ilvl w:val="0"/>
                <w:numId w:val="2"/>
              </w:numPr>
              <w:spacing w:after="30" w:before="30"/>
            </w:pPr>
            <w:r>
              <w:rPr>
                <w:rFonts w:ascii="Arial" w:cs="Arial" w:eastAsia="Arial" w:hAnsi="Arial"/>
                <w:color w:val="0D3D21"/>
                <w:sz w:val="20"/>
                <w:szCs w:val="20"/>
              </w:rPr>
              <w:t xml:space="preserve">Mettre en place et tester un PRA/PCA (Plan de Reprise d’Activité)</w:t>
            </w:r>
          </w:p>
          <w:p>
            <w:pPr>
              <w:pStyle w:val="ListParagraph"/>
              <w:numPr>
                <w:ilvl w:val="0"/>
                <w:numId w:val="2"/>
              </w:numPr>
              <w:spacing w:after="30" w:before="30"/>
            </w:pPr>
            <w:r>
              <w:rPr>
                <w:rFonts w:ascii="Arial" w:cs="Arial" w:eastAsia="Arial" w:hAnsi="Arial"/>
                <w:color w:val="0D3D21"/>
                <w:sz w:val="20"/>
                <w:szCs w:val="20"/>
              </w:rPr>
              <w:t xml:space="preserve">S’enregistrer sur MonEspaceNIS2 : https://club.ssi.gouv.fr</w:t>
            </w:r>
          </w:p>
        </w:tc>
      </w:tr>
    </w:tbl>
    <w:p>
      <w:pPr>
        <w:spacing w:after="0" w:before="80"/>
      </w:pPr>
      <w:r>
        <w:t xml:space="preserve"/>
      </w:r>
    </w:p>
    <w:p>
      <w:pPr>
        <w:spacing w:after="0" w:before="40"/>
        <w:ind w:left="720"/>
      </w:pPr>
      <w:r>
        <w:rPr>
          <w:rFonts w:ascii="Arial" w:cs="Arial" w:eastAsia="Arial" w:hAnsi="Arial"/>
          <w:i/>
          <w:iCs/>
          <w:color w:val="595959"/>
          <w:sz w:val="18"/>
          <w:szCs w:val="18"/>
        </w:rPr>
        <w:t xml:space="preserve">ℹ Mailinblack, « 5 tendances cyber 2026 » — Janvier 2026</w:t>
      </w:r>
    </w:p>
    <w:p>
      <w:pPr>
        <w:spacing w:after="60" w:before="0"/>
        <w:ind w:left="720"/>
      </w:pPr>
      <w:r>
        <w:rPr>
          <w:rFonts w:ascii="Courier New" w:cs="Courier New" w:eastAsia="Courier New" w:hAnsi="Courier New"/>
          <w:color w:val="1155CC"/>
          <w:sz w:val="17"/>
          <w:szCs w:val="17"/>
        </w:rPr>
        <w:t xml:space="preserve">https://www.mailinblack.com/ressources/blog/5-tendances-cyber-2026/</w:t>
      </w:r>
    </w:p>
    <w:p>
      <w:pPr>
        <w:spacing w:after="0" w:before="40"/>
        <w:ind w:left="720"/>
      </w:pPr>
      <w:r>
        <w:rPr>
          <w:rFonts w:ascii="Arial" w:cs="Arial" w:eastAsia="Arial" w:hAnsi="Arial"/>
          <w:i/>
          <w:iCs/>
          <w:color w:val="595959"/>
          <w:sz w:val="18"/>
          <w:szCs w:val="18"/>
        </w:rPr>
        <w:t xml:space="preserve">ℹ L’Usine Digitale, « Les cyberattaques qui ont marqué 2025 » — Janvier 2026</w:t>
      </w:r>
    </w:p>
    <w:p>
      <w:pPr>
        <w:spacing w:after="60" w:before="0"/>
        <w:ind w:left="720"/>
      </w:pPr>
      <w:r>
        <w:rPr>
          <w:rFonts w:ascii="Courier New" w:cs="Courier New" w:eastAsia="Courier New" w:hAnsi="Courier New"/>
          <w:color w:val="1155CC"/>
          <w:sz w:val="17"/>
          <w:szCs w:val="17"/>
        </w:rPr>
        <w:t xml:space="preserve">https://www.usine-digitale.fr/cybersecurite/les-cyberattaques-qui-ont-marque-lannee-2025-et-les-lecons-a-en-tirer.MLPTV4YZ2JGDDM4ERBAMBMYY6Q.html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Mars – Avril 2026</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Panorama officiel ANSSI 2025 &amp; rapport Cybermalveillance</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2.6 Publications officielles — bilans définitifs 2025</w:t>
      </w:r>
    </w:p>
    <w:p>
      <w:pPr>
        <w:spacing w:after="100" w:before="60"/>
      </w:pPr>
      <w:r>
        <w:rPr>
          <w:rFonts w:ascii="Arial" w:cs="Arial" w:eastAsia="Arial" w:hAnsi="Arial"/>
          <w:sz w:val="22"/>
          <w:szCs w:val="22"/>
        </w:rPr>
        <w:t xml:space="preserve">En mars 2026, l’ANSSI a publié son </w:t>
      </w:r>
      <w:r>
        <w:rPr>
          <w:rFonts w:ascii="Arial" w:cs="Arial" w:eastAsia="Arial" w:hAnsi="Arial"/>
          <w:b/>
          <w:bCs/>
          <w:color w:val="000000"/>
          <w:sz w:val="22"/>
          <w:szCs w:val="22"/>
        </w:rPr>
        <w:t xml:space="preserve">Panorama de la cybermenace 2025</w:t>
      </w:r>
      <w:r>
        <w:rPr>
          <w:rFonts w:ascii="Arial" w:cs="Arial" w:eastAsia="Arial" w:hAnsi="Arial"/>
          <w:sz w:val="22"/>
          <w:szCs w:val="22"/>
        </w:rPr>
        <w:t xml:space="preserve"> définitif. En avril 2026, Cybermalveillance.gouv.fr a publié son rapport d’activité. Ces documents confirment et précisent les tendances observées tout au long de l’année. Cybermalveillance.gouv.fr a dépassé les </w:t>
      </w:r>
      <w:r>
        <w:rPr>
          <w:rFonts w:ascii="Arial" w:cs="Arial" w:eastAsia="Arial" w:hAnsi="Arial"/>
          <w:b/>
          <w:bCs/>
          <w:color w:val="000000"/>
          <w:sz w:val="22"/>
          <w:szCs w:val="22"/>
        </w:rPr>
        <w:t xml:space="preserve">500 000 victimes assistées</w:t>
      </w:r>
      <w:r>
        <w:rPr>
          <w:rFonts w:ascii="Arial" w:cs="Arial" w:eastAsia="Arial" w:hAnsi="Arial"/>
          <w:sz w:val="22"/>
          <w:szCs w:val="22"/>
        </w:rPr>
        <w:t xml:space="preserve"> (+20 % vs 2024), et le phishing a progressé de </w:t>
      </w:r>
      <w:r>
        <w:rPr>
          <w:rFonts w:ascii="Arial" w:cs="Arial" w:eastAsia="Arial" w:hAnsi="Arial"/>
          <w:b/>
          <w:bCs/>
          <w:color w:val="000000"/>
          <w:sz w:val="22"/>
          <w:szCs w:val="22"/>
        </w:rPr>
        <w:t xml:space="preserve">+70 %</w:t>
      </w:r>
      <w:r>
        <w:rPr>
          <w:rFonts w:ascii="Arial" w:cs="Arial" w:eastAsia="Arial" w:hAnsi="Arial"/>
          <w:sz w:val="22"/>
          <w:szCs w:val="22"/>
        </w:rPr>
        <w:t xml:space="preserve">. Les fraudes au virement ont bondi de +170 %, les faux conseillers bancaires de +159 % et les faux placements financiers de +277 %.</w:t>
      </w:r>
    </w:p>
    <w:p>
      <w:pPr>
        <w:spacing w:after="0" w:before="80"/>
      </w:pPr>
      <w:r>
        <w:t xml:space="preserve"/>
      </w:r>
    </w:p>
    <w:p>
      <w:pPr>
        <w:spacing w:after="0" w:before="40"/>
        <w:ind w:left="720"/>
      </w:pPr>
      <w:r>
        <w:rPr>
          <w:rFonts w:ascii="Arial" w:cs="Arial" w:eastAsia="Arial" w:hAnsi="Arial"/>
          <w:i/>
          <w:iCs/>
          <w:color w:val="595959"/>
          <w:sz w:val="18"/>
          <w:szCs w:val="18"/>
        </w:rPr>
        <w:t xml:space="preserve">ℹ ANSSI, « Panorama de la cybermenace 2025 » — Mars 2026</w:t>
      </w:r>
    </w:p>
    <w:p>
      <w:pPr>
        <w:spacing w:after="60" w:before="0"/>
        <w:ind w:left="720"/>
      </w:pPr>
      <w:r>
        <w:rPr>
          <w:rFonts w:ascii="Courier New" w:cs="Courier New" w:eastAsia="Courier New" w:hAnsi="Courier New"/>
          <w:color w:val="1155CC"/>
          <w:sz w:val="17"/>
          <w:szCs w:val="17"/>
        </w:rPr>
        <w:t xml:space="preserve">https://cyber.gouv.fr/actualites/panorama-de-la-cybermenace-2025/</w:t>
      </w:r>
    </w:p>
    <w:p>
      <w:pPr>
        <w:spacing w:after="0" w:before="40"/>
        <w:ind w:left="720"/>
      </w:pPr>
      <w:r>
        <w:rPr>
          <w:rFonts w:ascii="Arial" w:cs="Arial" w:eastAsia="Arial" w:hAnsi="Arial"/>
          <w:i/>
          <w:iCs/>
          <w:color w:val="595959"/>
          <w:sz w:val="18"/>
          <w:szCs w:val="18"/>
        </w:rPr>
        <w:t xml:space="preserve">ℹ Cybermalveillance.gouv.fr, « Rapport d’activité 2025 » — Avril 2026</w:t>
      </w:r>
    </w:p>
    <w:p>
      <w:pPr>
        <w:spacing w:after="60" w:before="0"/>
        <w:ind w:left="720"/>
      </w:pPr>
      <w:r>
        <w:rPr>
          <w:rFonts w:ascii="Courier New" w:cs="Courier New" w:eastAsia="Courier New" w:hAnsi="Courier New"/>
          <w:color w:val="1155CC"/>
          <w:sz w:val="17"/>
          <w:szCs w:val="17"/>
        </w:rPr>
        <w:t xml:space="preserve">https://www.cybermalveillance.gouv.fr/tous-nos-contenus/actualites/rapport-activite-2025</w:t>
      </w:r>
    </w:p>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Partie 3 — Réglementation : directive NIS 2 en France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Novembre 2025</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Découverte de NIS 2 dans le cadre du stage</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3.1 Présentation de la directive NIS 2</w:t>
      </w:r>
    </w:p>
    <w:p>
      <w:pPr>
        <w:spacing w:after="100" w:before="60"/>
      </w:pPr>
      <w:r>
        <w:rPr>
          <w:rFonts w:ascii="Arial" w:cs="Arial" w:eastAsia="Arial" w:hAnsi="Arial"/>
          <w:sz w:val="22"/>
          <w:szCs w:val="22"/>
        </w:rPr>
        <w:t xml:space="preserve">En novembre 2025, dans le cadre de mon analyse des politiques de cybersécurité de Danone, j’ai approfondi la directive </w:t>
      </w:r>
      <w:r>
        <w:rPr>
          <w:rFonts w:ascii="Arial" w:cs="Arial" w:eastAsia="Arial" w:hAnsi="Arial"/>
          <w:b/>
          <w:bCs/>
          <w:color w:val="000000"/>
          <w:sz w:val="22"/>
          <w:szCs w:val="22"/>
        </w:rPr>
        <w:t xml:space="preserve">NIS 2 (Network and Information Security 2)</w:t>
      </w:r>
      <w:r>
        <w:rPr>
          <w:rFonts w:ascii="Arial" w:cs="Arial" w:eastAsia="Arial" w:hAnsi="Arial"/>
          <w:sz w:val="22"/>
          <w:szCs w:val="22"/>
        </w:rPr>
        <w:t xml:space="preserve">, directive (UE) 2022/2555 adoptée le 14 décembre 2022. Elle remplace NIS 1 en élargissant le périmètre de 7 à </w:t>
      </w:r>
      <w:r>
        <w:rPr>
          <w:rFonts w:ascii="Arial" w:cs="Arial" w:eastAsia="Arial" w:hAnsi="Arial"/>
          <w:b/>
          <w:bCs/>
          <w:color w:val="000000"/>
          <w:sz w:val="22"/>
          <w:szCs w:val="22"/>
        </w:rPr>
        <w:t xml:space="preserve">18 secteurs</w:t>
      </w:r>
      <w:r>
        <w:rPr>
          <w:rFonts w:ascii="Arial" w:cs="Arial" w:eastAsia="Arial" w:hAnsi="Arial"/>
          <w:sz w:val="22"/>
          <w:szCs w:val="22"/>
        </w:rPr>
        <w:t xml:space="preserve"> et de ~300 à </w:t>
      </w:r>
      <w:r>
        <w:rPr>
          <w:rFonts w:ascii="Arial" w:cs="Arial" w:eastAsia="Arial" w:hAnsi="Arial"/>
          <w:b/>
          <w:bCs/>
          <w:color w:val="000000"/>
          <w:sz w:val="22"/>
          <w:szCs w:val="22"/>
        </w:rPr>
        <w:t xml:space="preserve">~15 000 entités concernées en France</w:t>
      </w:r>
      <w:r>
        <w:rPr>
          <w:rFonts w:ascii="Arial" w:cs="Arial" w:eastAsia="Arial" w:hAnsi="Arial"/>
          <w:sz w:val="22"/>
          <w:szCs w:val="22"/>
        </w:rPr>
        <w:t xml:space="preserv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120"/>
              <w:left w:type="dxa" w:w="100"/>
              <w:bottom w:type="dxa" w:w="120"/>
              <w:right w:type="dxa" w:w="100"/>
            </w:tcMar>
            <w:vAlign w:val="center"/>
          </w:tcPr>
          <w:p>
            <w:pPr>
              <w:spacing w:after="40" w:before="0"/>
              <w:jc w:val="center"/>
            </w:pPr>
            <w:r>
              <w:rPr>
                <w:rFonts w:ascii="Arial" w:cs="Arial" w:eastAsia="Arial" w:hAnsi="Arial"/>
                <w:b/>
                <w:bCs/>
                <w:color w:val="1F4E79"/>
                <w:sz w:val="40"/>
                <w:szCs w:val="40"/>
              </w:rPr>
              <w:t xml:space="preserve">18</w:t>
            </w:r>
          </w:p>
          <w:p>
            <w:pPr>
              <w:spacing w:after="0" w:before="0"/>
              <w:jc w:val="center"/>
            </w:pPr>
            <w:r>
              <w:rPr>
                <w:rFonts w:ascii="Arial" w:cs="Arial" w:eastAsia="Arial" w:hAnsi="Arial"/>
                <w:color w:val="595959"/>
                <w:sz w:val="17"/>
                <w:szCs w:val="17"/>
              </w:rPr>
              <w:t xml:space="preserve">secteurs couverts (NIS 1 : 7)</w:t>
            </w:r>
          </w:p>
        </w:tc>
        <w:tc>
          <w:tcPr>
            <w:tcW w:type="dxa" w:w="3008"/>
            <w:tcBorders>
              <w:top w:val="single" w:color="CCCCCC" w:sz="1"/>
              <w:left w:val="single" w:color="CCCCCC" w:sz="1"/>
              <w:bottom w:val="single" w:color="CCCCCC" w:sz="1"/>
              <w:right w:val="single" w:color="CCCCCC" w:sz="1"/>
            </w:tcBorders>
            <w:shd w:fill="EDE7F6" w:val="clear"/>
            <w:tcMar>
              <w:top w:type="dxa" w:w="120"/>
              <w:left w:type="dxa" w:w="100"/>
              <w:bottom w:type="dxa" w:w="120"/>
              <w:right w:type="dxa" w:w="100"/>
            </w:tcMar>
            <w:vAlign w:val="center"/>
          </w:tcPr>
          <w:p>
            <w:pPr>
              <w:spacing w:after="40" w:before="0"/>
              <w:jc w:val="center"/>
            </w:pPr>
            <w:r>
              <w:rPr>
                <w:rFonts w:ascii="Arial" w:cs="Arial" w:eastAsia="Arial" w:hAnsi="Arial"/>
                <w:b/>
                <w:bCs/>
                <w:color w:val="5B2C8D"/>
                <w:sz w:val="40"/>
                <w:szCs w:val="40"/>
              </w:rPr>
              <w:t xml:space="preserve">~15 000</w:t>
            </w:r>
          </w:p>
          <w:p>
            <w:pPr>
              <w:spacing w:after="0" w:before="0"/>
              <w:jc w:val="center"/>
            </w:pPr>
            <w:r>
              <w:rPr>
                <w:rFonts w:ascii="Arial" w:cs="Arial" w:eastAsia="Arial" w:hAnsi="Arial"/>
                <w:color w:val="595959"/>
                <w:sz w:val="17"/>
                <w:szCs w:val="17"/>
              </w:rPr>
              <w:t xml:space="preserve">entités concernées en France</w:t>
            </w:r>
          </w:p>
        </w:tc>
        <w:tc>
          <w:tcPr>
            <w:tcW w:type="dxa" w:w="3008"/>
            <w:tcBorders>
              <w:top w:val="single" w:color="CCCCCC" w:sz="1"/>
              <w:left w:val="single" w:color="CCCCCC" w:sz="1"/>
              <w:bottom w:val="single" w:color="CCCCCC" w:sz="1"/>
              <w:right w:val="single" w:color="CCCCCC" w:sz="1"/>
            </w:tcBorders>
            <w:shd w:fill="FDDBD8" w:val="clear"/>
            <w:tcMar>
              <w:top w:type="dxa" w:w="120"/>
              <w:left w:type="dxa" w:w="100"/>
              <w:bottom w:type="dxa" w:w="120"/>
              <w:right w:type="dxa" w:w="100"/>
            </w:tcMar>
            <w:vAlign w:val="center"/>
          </w:tcPr>
          <w:p>
            <w:pPr>
              <w:spacing w:after="40" w:before="0"/>
              <w:jc w:val="center"/>
            </w:pPr>
            <w:r>
              <w:rPr>
                <w:rFonts w:ascii="Arial" w:cs="Arial" w:eastAsia="Arial" w:hAnsi="Arial"/>
                <w:b/>
                <w:bCs/>
                <w:color w:val="C00000"/>
                <w:sz w:val="40"/>
                <w:szCs w:val="40"/>
              </w:rPr>
              <w:t xml:space="preserve">10 M€</w:t>
            </w:r>
          </w:p>
          <w:p>
            <w:pPr>
              <w:spacing w:after="0" w:before="0"/>
              <w:jc w:val="center"/>
            </w:pPr>
            <w:r>
              <w:rPr>
                <w:rFonts w:ascii="Arial" w:cs="Arial" w:eastAsia="Arial" w:hAnsi="Arial"/>
                <w:color w:val="595959"/>
                <w:sz w:val="17"/>
                <w:szCs w:val="17"/>
              </w:rPr>
              <w:t xml:space="preserve">amende max. entités essentielles</w:t>
            </w:r>
          </w:p>
        </w:tc>
      </w:tr>
    </w:tbl>
    <w:p>
      <w:pPr>
        <w:spacing w:after="0" w:before="80"/>
      </w:pPr>
      <w:r>
        <w:t xml:space="preserve"/>
      </w:r>
    </w:p>
    <w:p>
      <w:pPr>
        <w:spacing w:after="0" w:before="40"/>
        <w:ind w:left="720"/>
      </w:pPr>
      <w:r>
        <w:rPr>
          <w:rFonts w:ascii="Arial" w:cs="Arial" w:eastAsia="Arial" w:hAnsi="Arial"/>
          <w:i/>
          <w:iCs/>
          <w:color w:val="595959"/>
          <w:sz w:val="18"/>
          <w:szCs w:val="18"/>
        </w:rPr>
        <w:t xml:space="preserve">ℹ SoSafe, « Guide NIS2 2025 » — Septembre 2025</w:t>
      </w:r>
    </w:p>
    <w:p>
      <w:pPr>
        <w:spacing w:after="60" w:before="0"/>
        <w:ind w:left="720"/>
      </w:pPr>
      <w:r>
        <w:rPr>
          <w:rFonts w:ascii="Courier New" w:cs="Courier New" w:eastAsia="Courier New" w:hAnsi="Courier New"/>
          <w:color w:val="1155CC"/>
          <w:sz w:val="17"/>
          <w:szCs w:val="17"/>
        </w:rPr>
        <w:t xml:space="preserve">https://sosafe-awareness.com/fr/blog/nis2-obligation-cybersecurite-strategie/</w:t>
      </w:r>
    </w:p>
    <w:p>
      <w:pPr>
        <w:spacing w:after="0" w:before="40"/>
        <w:ind w:left="720"/>
      </w:pPr>
      <w:r>
        <w:rPr>
          <w:rFonts w:ascii="Arial" w:cs="Arial" w:eastAsia="Arial" w:hAnsi="Arial"/>
          <w:i/>
          <w:iCs/>
          <w:color w:val="595959"/>
          <w:sz w:val="18"/>
          <w:szCs w:val="18"/>
        </w:rPr>
        <w:t xml:space="preserve">ℹ Orange Cyberdefense, « Tout sur NIS2 en 2025 » — 2025</w:t>
      </w:r>
    </w:p>
    <w:p>
      <w:pPr>
        <w:spacing w:after="60" w:before="0"/>
        <w:ind w:left="720"/>
      </w:pPr>
      <w:r>
        <w:rPr>
          <w:rFonts w:ascii="Courier New" w:cs="Courier New" w:eastAsia="Courier New" w:hAnsi="Courier New"/>
          <w:color w:val="1155CC"/>
          <w:sz w:val="17"/>
          <w:szCs w:val="17"/>
        </w:rPr>
        <w:t xml:space="preserve">https://www.orangecyberdefense.com/fr/insights/blog/nis-2-obligations-echeances-sanctions-et-mise-en-conformite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Décembre 2025</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Suivi du processus législatif français</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3.2 État de la transposition en France (fin 2025)</w:t>
      </w:r>
    </w:p>
    <w:p>
      <w:pPr>
        <w:spacing w:after="100" w:before="60"/>
      </w:pPr>
      <w:r>
        <w:rPr>
          <w:rFonts w:ascii="Arial" w:cs="Arial" w:eastAsia="Arial" w:hAnsi="Arial"/>
          <w:sz w:val="22"/>
          <w:szCs w:val="22"/>
        </w:rPr>
        <w:t xml:space="preserve">En décembre 2025, j’ai suivi l’avancement du projet de loi </w:t>
      </w:r>
      <w:r>
        <w:rPr>
          <w:rFonts w:ascii="Arial" w:cs="Arial" w:eastAsia="Arial" w:hAnsi="Arial"/>
          <w:b/>
          <w:bCs/>
          <w:color w:val="000000"/>
          <w:sz w:val="22"/>
          <w:szCs w:val="22"/>
        </w:rPr>
        <w:t xml:space="preserve">« Loi Résilience »</w:t>
      </w:r>
      <w:r>
        <w:rPr>
          <w:rFonts w:ascii="Arial" w:cs="Arial" w:eastAsia="Arial" w:hAnsi="Arial"/>
          <w:sz w:val="22"/>
          <w:szCs w:val="22"/>
        </w:rPr>
        <w:t xml:space="preserve">, qui vise à transposer simultanément NIS 2, DORA et le REC. La France a dépassé la deadline européenne d’octobre 2024, entraînant une procédure d’infraction.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Période</w:t>
            </w:r>
          </w:p>
        </w:tc>
        <w:tc>
          <w:tcPr>
            <w:tcW w:type="dxa" w:w="3008"/>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Événement</w:t>
            </w:r>
          </w:p>
        </w:tc>
        <w:tc>
          <w:tcPr>
            <w:tcW w:type="dxa" w:w="3008"/>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jc w:val="center"/>
            </w:pPr>
            <w:r>
              <w:rPr>
                <w:rFonts w:ascii="Arial" w:cs="Arial" w:eastAsia="Arial" w:hAnsi="Arial"/>
                <w:b/>
                <w:bCs/>
                <w:color w:val="FFFFFF"/>
                <w:sz w:val="20"/>
                <w:szCs w:val="20"/>
              </w:rPr>
              <w:t xml:space="preserve">Statut à fin 2025</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Déc. 2022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Adoption de NIS 2 au niveau européen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Accompli</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Oct. 2024</w:t>
            </w:r>
          </w:p>
        </w:tc>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Deadline transposition (non respectée)</w:t>
            </w:r>
          </w:p>
        </w:tc>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Dépassée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Nov. 2024</w:t>
            </w:r>
          </w:p>
        </w:tc>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Procédures d’infraction (23 États)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En cours</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12 mars 2025</w:t>
            </w:r>
          </w:p>
        </w:tc>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Vote au Sénat — Loi Résilience</w:t>
            </w:r>
          </w:p>
        </w:tc>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Adopté Sénat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7 mai 2025</w:t>
            </w:r>
          </w:p>
        </w:tc>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Avis motivé Commission européenne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Notifié</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left"/>
            </w:pPr>
            <w:r>
              <w:rPr>
                <w:rFonts w:ascii="Arial" w:cs="Arial" w:eastAsia="Arial" w:hAnsi="Arial"/>
                <w:b/>
                <w:bCs/>
                <w:color w:val="1F4E79"/>
                <w:sz w:val="20"/>
                <w:szCs w:val="20"/>
              </w:rPr>
              <w:t xml:space="preserve">10 sept. 2025</w:t>
            </w:r>
          </w:p>
        </w:tc>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Vote en commission Assemblée nationale</w:t>
            </w:r>
          </w:p>
        </w:tc>
        <w:tc>
          <w:tcPr>
            <w:tcW w:type="dxa" w:w="3008"/>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center"/>
            </w:pPr>
            <w:r>
              <w:rPr>
                <w:rFonts w:ascii="Arial" w:cs="Arial" w:eastAsia="Arial" w:hAnsi="Arial"/>
                <w:b w:val="false"/>
                <w:bCs w:val="false"/>
                <w:color w:val="000000"/>
                <w:sz w:val="20"/>
                <w:szCs w:val="20"/>
              </w:rPr>
              <w:t xml:space="preserve">Voté</w:t>
            </w:r>
          </w:p>
        </w:tc>
      </w:tr>
    </w:tbl>
    <w:p>
      <w:pPr>
        <w:spacing w:after="0" w:before="80"/>
      </w:pPr>
      <w:r>
        <w:t xml:space="preserve"/>
      </w:r>
    </w:p>
    <w:p>
      <w:pPr>
        <w:spacing w:after="0" w:before="40"/>
        <w:ind w:left="720"/>
      </w:pPr>
      <w:r>
        <w:rPr>
          <w:rFonts w:ascii="Arial" w:cs="Arial" w:eastAsia="Arial" w:hAnsi="Arial"/>
          <w:i/>
          <w:iCs/>
          <w:color w:val="595959"/>
          <w:sz w:val="18"/>
          <w:szCs w:val="18"/>
        </w:rPr>
        <w:t xml:space="preserve">ℹ Infonet.fr, « NIS2 : défis en France » — Novembre 2025</w:t>
      </w:r>
    </w:p>
    <w:p>
      <w:pPr>
        <w:spacing w:after="60" w:before="0"/>
        <w:ind w:left="720"/>
      </w:pPr>
      <w:r>
        <w:rPr>
          <w:rFonts w:ascii="Courier New" w:cs="Courier New" w:eastAsia="Courier New" w:hAnsi="Courier New"/>
          <w:color w:val="1155CC"/>
          <w:sz w:val="17"/>
          <w:szCs w:val="17"/>
        </w:rPr>
        <w:t xml:space="preserve">https://infonet.fr/actualite/articles-sur-lactualite-technologique/nis2-implementation-defis-france/</w:t>
      </w:r>
    </w:p>
    <w:p>
      <w:pPr>
        <w:spacing w:after="0" w:before="40"/>
        <w:ind w:left="720"/>
      </w:pPr>
      <w:r>
        <w:rPr>
          <w:rFonts w:ascii="Arial" w:cs="Arial" w:eastAsia="Arial" w:hAnsi="Arial"/>
          <w:i/>
          <w:iCs/>
          <w:color w:val="595959"/>
          <w:sz w:val="18"/>
          <w:szCs w:val="18"/>
        </w:rPr>
        <w:t xml:space="preserve">ℹ PwC, « Directive NIS 2 : impacts pour les entreprises » — 2025</w:t>
      </w:r>
    </w:p>
    <w:p>
      <w:pPr>
        <w:spacing w:after="60" w:before="0"/>
        <w:ind w:left="720"/>
      </w:pPr>
      <w:r>
        <w:rPr>
          <w:rFonts w:ascii="Courier New" w:cs="Courier New" w:eastAsia="Courier New" w:hAnsi="Courier New"/>
          <w:color w:val="1155CC"/>
          <w:sz w:val="17"/>
          <w:szCs w:val="17"/>
        </w:rPr>
        <w:t xml:space="preserve">https://www.pwc.fr/fr/publications/cybersecurite/directive-nis-2.html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Janvier – Février 2026</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Obligations concrètes — entités et responsabilité dirigeants</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3.3 Obligations concrètes de NIS 2</w:t>
      </w:r>
    </w:p>
    <w:p>
      <w:pPr>
        <w:pStyle w:val="Heading3"/>
        <w:spacing w:after="80" w:before="200"/>
      </w:pPr>
      <w:r>
        <w:rPr>
          <w:rFonts w:ascii="Arial" w:cs="Arial" w:eastAsia="Arial" w:hAnsi="Arial"/>
          <w:b/>
          <w:bCs/>
          <w:color w:val="1F4E79"/>
          <w:sz w:val="24"/>
          <w:szCs w:val="24"/>
        </w:rPr>
        <w:t xml:space="preserve">a) Deux catégories d’entités</w:t>
      </w:r>
    </w:p>
    <w:p>
      <w:pPr>
        <w:pStyle w:val="ListParagraph"/>
        <w:numPr>
          <w:ilvl w:val="0"/>
          <w:numId w:val="2"/>
        </w:numPr>
        <w:spacing w:after="40" w:before="40"/>
      </w:pPr>
      <w:r>
        <w:rPr>
          <w:rFonts w:ascii="Arial" w:cs="Arial" w:eastAsia="Arial" w:hAnsi="Arial"/>
          <w:b/>
          <w:bCs/>
          <w:color w:val="000000"/>
          <w:sz w:val="22"/>
          <w:szCs w:val="22"/>
        </w:rPr>
        <w:t xml:space="preserve">Entités Essentielles (EE) : </w:t>
      </w:r>
      <w:r>
        <w:rPr>
          <w:rFonts w:ascii="Arial" w:cs="Arial" w:eastAsia="Arial" w:hAnsi="Arial"/>
          <w:sz w:val="22"/>
          <w:szCs w:val="22"/>
        </w:rPr>
        <w:t xml:space="preserve">grandes organisations secteurs critiques. SOC obligatoire, gestion formalisée des risques. Amendes jusqu’à 10 M€ ou 2 % du CA mondial.</w:t>
      </w:r>
    </w:p>
    <w:p>
      <w:pPr>
        <w:pStyle w:val="ListParagraph"/>
        <w:numPr>
          <w:ilvl w:val="0"/>
          <w:numId w:val="2"/>
        </w:numPr>
        <w:spacing w:after="40" w:before="40"/>
      </w:pPr>
      <w:r>
        <w:rPr>
          <w:rFonts w:ascii="Arial" w:cs="Arial" w:eastAsia="Arial" w:hAnsi="Arial"/>
          <w:b/>
          <w:bCs/>
          <w:color w:val="000000"/>
          <w:sz w:val="22"/>
          <w:szCs w:val="22"/>
        </w:rPr>
        <w:t xml:space="preserve">Entités Importantes (EI) : </w:t>
      </w:r>
      <w:r>
        <w:rPr>
          <w:rFonts w:ascii="Arial" w:cs="Arial" w:eastAsia="Arial" w:hAnsi="Arial"/>
          <w:sz w:val="22"/>
          <w:szCs w:val="22"/>
        </w:rPr>
        <w:t xml:space="preserve">PME/ETI dans les secteurs importants. Obligations ~60 % de celles des EE. Amendes jusqu’à 7 M€ ou 1,4 % du CA.</w:t>
      </w:r>
    </w:p>
    <w:p>
      <w:pPr>
        <w:spacing w:after="0" w:before="80"/>
      </w:pPr>
      <w:r>
        <w:t xml:space="preserve"/>
      </w:r>
    </w:p>
    <w:p>
      <w:pPr>
        <w:pStyle w:val="Heading3"/>
        <w:spacing w:after="80" w:before="200"/>
      </w:pPr>
      <w:r>
        <w:rPr>
          <w:rFonts w:ascii="Arial" w:cs="Arial" w:eastAsia="Arial" w:hAnsi="Arial"/>
          <w:b/>
          <w:bCs/>
          <w:color w:val="1F4E79"/>
          <w:sz w:val="24"/>
          <w:szCs w:val="24"/>
        </w:rPr>
        <w:t xml:space="preserve">b) Responsabilité personnelle des dirigeants</w:t>
      </w:r>
    </w:p>
    <w:p>
      <w:pPr>
        <w:spacing w:after="100" w:before="60"/>
      </w:pPr>
      <w:r>
        <w:rPr>
          <w:rFonts w:ascii="Arial" w:cs="Arial" w:eastAsia="Arial" w:hAnsi="Arial"/>
          <w:sz w:val="22"/>
          <w:szCs w:val="22"/>
        </w:rPr>
        <w:t xml:space="preserve">Innovation majeure de NIS 2 : les membres du conseil d’administration peuvent être </w:t>
      </w:r>
      <w:r>
        <w:rPr>
          <w:rFonts w:ascii="Arial" w:cs="Arial" w:eastAsia="Arial" w:hAnsi="Arial"/>
          <w:b/>
          <w:bCs/>
          <w:color w:val="000000"/>
          <w:sz w:val="22"/>
          <w:szCs w:val="22"/>
        </w:rPr>
        <w:t xml:space="preserve">tenus personnellement responsables</w:t>
      </w:r>
      <w:r>
        <w:rPr>
          <w:rFonts w:ascii="Arial" w:cs="Arial" w:eastAsia="Arial" w:hAnsi="Arial"/>
          <w:sz w:val="22"/>
          <w:szCs w:val="22"/>
        </w:rPr>
        <w:t xml:space="preserve"> en cas de manquement. Cela peut se traduire par une </w:t>
      </w:r>
      <w:r>
        <w:rPr>
          <w:rFonts w:ascii="Arial" w:cs="Arial" w:eastAsia="Arial" w:hAnsi="Arial"/>
          <w:b/>
          <w:bCs/>
          <w:color w:val="000000"/>
          <w:sz w:val="22"/>
          <w:szCs w:val="22"/>
        </w:rPr>
        <w:t xml:space="preserve">interdiction temporaire d’exercer</w:t>
      </w:r>
      <w:r>
        <w:rPr>
          <w:rFonts w:ascii="Arial" w:cs="Arial" w:eastAsia="Arial" w:hAnsi="Arial"/>
          <w:sz w:val="22"/>
          <w:szCs w:val="22"/>
        </w:rPr>
        <w:t xml:space="preserve">, des poursuites civiles et pénales. Formation cybersécurité obligatoire pour les dirigeants.</w:t>
      </w:r>
    </w:p>
    <w:p>
      <w:pPr>
        <w:spacing w:after="0" w:before="80"/>
      </w:pPr>
      <w:r>
        <w:t xml:space="preserve"/>
      </w:r>
    </w:p>
    <w:p>
      <w:pPr>
        <w:spacing w:after="0" w:before="40"/>
        <w:ind w:left="720"/>
      </w:pPr>
      <w:r>
        <w:rPr>
          <w:rFonts w:ascii="Arial" w:cs="Arial" w:eastAsia="Arial" w:hAnsi="Arial"/>
          <w:i/>
          <w:iCs/>
          <w:color w:val="595959"/>
          <w:sz w:val="18"/>
          <w:szCs w:val="18"/>
        </w:rPr>
        <w:t xml:space="preserve">ℹ Copla, « NIS2 France Implementation 2026 » — Janvier 2026</w:t>
      </w:r>
    </w:p>
    <w:p>
      <w:pPr>
        <w:spacing w:after="60" w:before="0"/>
        <w:ind w:left="720"/>
      </w:pPr>
      <w:r>
        <w:rPr>
          <w:rFonts w:ascii="Courier New" w:cs="Courier New" w:eastAsia="Courier New" w:hAnsi="Courier New"/>
          <w:color w:val="1155CC"/>
          <w:sz w:val="17"/>
          <w:szCs w:val="17"/>
        </w:rPr>
        <w:t xml:space="preserve">https://copla.com/blog/compliance-regulations/nis2-directive-regulations-and-implementation-in-france/</w:t>
      </w:r>
    </w:p>
    <w:p>
      <w:pPr>
        <w:spacing w:after="0" w:before="40"/>
        <w:ind w:left="720"/>
      </w:pPr>
      <w:r>
        <w:rPr>
          <w:rFonts w:ascii="Arial" w:cs="Arial" w:eastAsia="Arial" w:hAnsi="Arial"/>
          <w:i/>
          <w:iCs/>
          <w:color w:val="595959"/>
          <w:sz w:val="18"/>
          <w:szCs w:val="18"/>
        </w:rPr>
        <w:t xml:space="preserve">ℹ Wikipedia, « Directive NIS 2 » — Consulté février 2026</w:t>
      </w:r>
    </w:p>
    <w:p>
      <w:pPr>
        <w:spacing w:after="60" w:before="0"/>
        <w:ind w:left="720"/>
      </w:pPr>
      <w:r>
        <w:rPr>
          <w:rFonts w:ascii="Courier New" w:cs="Courier New" w:eastAsia="Courier New" w:hAnsi="Courier New"/>
          <w:color w:val="1155CC"/>
          <w:sz w:val="17"/>
          <w:szCs w:val="17"/>
        </w:rPr>
        <w:t xml:space="preserve">https://fr.wikipedia.org/wiki/Directive_NIS_2</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Mars – Mai 2026</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Publication du ReCyF et bilan final de la transposition</w:t>
            </w:r>
          </w:p>
        </w:tc>
      </w:tr>
    </w:tbl>
    <w:p>
      <w:pPr>
        <w:spacing w:after="0" w:before="120"/>
      </w:pPr>
      <w:r>
        <w:t xml:space="preserve"/>
      </w:r>
    </w:p>
    <w:p>
      <w:pPr>
        <w:pStyle w:val="Heading2"/>
        <w:spacing w:after="100" w:before="280"/>
      </w:pPr>
      <w:r>
        <w:rPr>
          <w:rFonts w:ascii="Arial" w:cs="Arial" w:eastAsia="Arial" w:hAnsi="Arial"/>
          <w:b/>
          <w:bCs/>
          <w:color w:val="0070C0"/>
          <w:sz w:val="28"/>
          <w:szCs w:val="28"/>
        </w:rPr>
        <w:t xml:space="preserve">3.4 Le Référentiel Cyber France (ReCyF) — mars 2026</w:t>
      </w:r>
    </w:p>
    <w:p>
      <w:pPr>
        <w:spacing w:after="100" w:before="60"/>
      </w:pPr>
      <w:r>
        <w:rPr>
          <w:rFonts w:ascii="Arial" w:cs="Arial" w:eastAsia="Arial" w:hAnsi="Arial"/>
          <w:sz w:val="22"/>
          <w:szCs w:val="22"/>
        </w:rPr>
        <w:t xml:space="preserve">Le </w:t>
      </w:r>
      <w:r>
        <w:rPr>
          <w:rFonts w:ascii="Arial" w:cs="Arial" w:eastAsia="Arial" w:hAnsi="Arial"/>
          <w:b/>
          <w:bCs/>
          <w:color w:val="000000"/>
          <w:sz w:val="22"/>
          <w:szCs w:val="22"/>
        </w:rPr>
        <w:t xml:space="preserve">17 mars 2026</w:t>
      </w:r>
      <w:r>
        <w:rPr>
          <w:rFonts w:ascii="Arial" w:cs="Arial" w:eastAsia="Arial" w:hAnsi="Arial"/>
          <w:sz w:val="22"/>
          <w:szCs w:val="22"/>
        </w:rPr>
        <w:t xml:space="preserve">, l’ANSSI a publié le </w:t>
      </w:r>
      <w:r>
        <w:rPr>
          <w:rFonts w:ascii="Arial" w:cs="Arial" w:eastAsia="Arial" w:hAnsi="Arial"/>
          <w:b/>
          <w:bCs/>
          <w:color w:val="000000"/>
          <w:sz w:val="22"/>
          <w:szCs w:val="22"/>
        </w:rPr>
        <w:t xml:space="preserve">ReCyF (Référentiel Cyber France)</w:t>
      </w:r>
      <w:r>
        <w:rPr>
          <w:rFonts w:ascii="Arial" w:cs="Arial" w:eastAsia="Arial" w:hAnsi="Arial"/>
          <w:sz w:val="22"/>
          <w:szCs w:val="22"/>
        </w:rPr>
        <w:t xml:space="preserve">, qui liste les mesures recommandées pour atteindre les objectifs de sécurité de NIS 2. Actuellement non obligatoire, il permet aux entités qui l’appliquent de s’en prévaloir en cas de contrôle ANSSI. La loi finale reste en attente de promulgation et de décrets d’application.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2C8D" w:sz="1"/>
              <w:left w:val="thick" w:color="5B2C8D" w:sz="12"/>
              <w:bottom w:val="single" w:color="5B2C8D" w:sz="1"/>
              <w:right w:val="single" w:color="5B2C8D" w:sz="1"/>
            </w:tcBorders>
            <w:shd w:fill="EDE7F6" w:val="clear"/>
            <w:tcMar>
              <w:top w:type="dxa" w:w="100"/>
              <w:left w:type="dxa" w:w="180"/>
              <w:bottom w:type="dxa" w:w="100"/>
              <w:right w:type="dxa" w:w="120"/>
            </w:tcMar>
          </w:tcPr>
          <w:p>
            <w:pPr>
              <w:spacing w:after="40" w:before="0"/>
            </w:pPr>
            <w:r>
              <w:rPr>
                <w:rFonts w:ascii="Arial" w:cs="Arial" w:eastAsia="Arial" w:hAnsi="Arial"/>
                <w:b/>
                <w:bCs/>
                <w:color w:val="5B2C8D"/>
                <w:sz w:val="22"/>
                <w:szCs w:val="22"/>
              </w:rPr>
              <w:t xml:space="preserve">ℹ  DORA — Secteur financier (applicable depuis janv. 2025)</w:t>
            </w:r>
          </w:p>
          <w:p>
            <w:pPr>
              <w:spacing w:after="0" w:before="0"/>
            </w:pPr>
            <w:r>
              <w:rPr>
                <w:rFonts w:ascii="Arial" w:cs="Arial" w:eastAsia="Arial" w:hAnsi="Arial"/>
                <w:color w:val="2D1B69"/>
                <w:sz w:val="20"/>
                <w:szCs w:val="20"/>
              </w:rPr>
              <w:t xml:space="preserve">Le règlement DORA (Digital Operational Resilience Act) est applicable depuis le 17 janvier 2025 pour les banques, assurances et prestataires TIC. Les entités soumises à DORA ne sont pas tenues d’appliquer les dispositions équivalentes de NIS 2 (art. 4.1 de NIS 2).</w:t>
            </w:r>
          </w:p>
        </w:tc>
      </w:tr>
    </w:tbl>
    <w:p>
      <w:pPr>
        <w:spacing w:after="0" w:before="80"/>
      </w:pPr>
      <w:r>
        <w:t xml:space="preserve"/>
      </w:r>
    </w:p>
    <w:p>
      <w:pPr>
        <w:spacing w:after="0" w:before="40"/>
        <w:ind w:left="720"/>
      </w:pPr>
      <w:r>
        <w:rPr>
          <w:rFonts w:ascii="Arial" w:cs="Arial" w:eastAsia="Arial" w:hAnsi="Arial"/>
          <w:i/>
          <w:iCs/>
          <w:color w:val="595959"/>
          <w:sz w:val="18"/>
          <w:szCs w:val="18"/>
        </w:rPr>
        <w:t xml:space="preserve">ℹ ANSSI, « Directive NIS 2 &amp; ReCyF » — Mars 2026</w:t>
      </w:r>
    </w:p>
    <w:p>
      <w:pPr>
        <w:spacing w:after="60" w:before="0"/>
        <w:ind w:left="720"/>
      </w:pPr>
      <w:r>
        <w:rPr>
          <w:rFonts w:ascii="Courier New" w:cs="Courier New" w:eastAsia="Courier New" w:hAnsi="Courier New"/>
          <w:color w:val="1155CC"/>
          <w:sz w:val="17"/>
          <w:szCs w:val="17"/>
        </w:rPr>
        <w:t xml:space="preserve">https://cyber.gouv.fr/reglementation/cybersecurite-systemes-dinformation/directives-nis-nis2-et-dispositif-saiv/directive-nis-2/</w:t>
      </w:r>
    </w:p>
    <w:p>
      <w:pPr>
        <w:spacing w:after="0" w:before="40"/>
        <w:ind w:left="720"/>
      </w:pPr>
      <w:r>
        <w:rPr>
          <w:rFonts w:ascii="Arial" w:cs="Arial" w:eastAsia="Arial" w:hAnsi="Arial"/>
          <w:i/>
          <w:iCs/>
          <w:color w:val="595959"/>
          <w:sz w:val="18"/>
          <w:szCs w:val="18"/>
        </w:rPr>
        <w:t xml:space="preserve">ℹ NIS-2-Directive.com, « Transposition in France » — Mars 2026</w:t>
      </w:r>
    </w:p>
    <w:p>
      <w:pPr>
        <w:spacing w:after="60" w:before="0"/>
        <w:ind w:left="720"/>
      </w:pPr>
      <w:r>
        <w:rPr>
          <w:rFonts w:ascii="Courier New" w:cs="Courier New" w:eastAsia="Courier New" w:hAnsi="Courier New"/>
          <w:color w:val="1155CC"/>
          <w:sz w:val="17"/>
          <w:szCs w:val="17"/>
        </w:rPr>
        <w:t xml:space="preserve">https://www.nis-2-directive.com/Transposition/France.html</w:t>
      </w:r>
    </w:p>
    <w:p>
      <w:pPr>
        <w:spacing w:after="0" w:before="40"/>
        <w:ind w:left="720"/>
      </w:pPr>
      <w:r>
        <w:rPr>
          <w:rFonts w:ascii="Arial" w:cs="Arial" w:eastAsia="Arial" w:hAnsi="Arial"/>
          <w:i/>
          <w:iCs/>
          <w:color w:val="595959"/>
          <w:sz w:val="18"/>
          <w:szCs w:val="18"/>
        </w:rPr>
        <w:t xml:space="preserve">ℹ Numeum, « NIS2 : nouvelles exigences » — Mis à jour mai 2026</w:t>
      </w:r>
    </w:p>
    <w:p>
      <w:pPr>
        <w:spacing w:after="60" w:before="0"/>
        <w:ind w:left="720"/>
      </w:pPr>
      <w:r>
        <w:rPr>
          <w:rFonts w:ascii="Courier New" w:cs="Courier New" w:eastAsia="Courier New" w:hAnsi="Courier New"/>
          <w:color w:val="1155CC"/>
          <w:sz w:val="17"/>
          <w:szCs w:val="17"/>
        </w:rPr>
        <w:t xml:space="preserve">https://numeum.fr/cybersecurite/directive-nis2-quelles-nouvelles-exigences-pour-les-organisations-en-france/</w:t>
      </w:r>
    </w:p>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Synthèse et conclusion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00"/>
            </w:tcMar>
            <w:vAlign w:val="center"/>
          </w:tcPr>
          <w:p>
            <w:pPr>
              <w:spacing w:after="0" w:before="0"/>
            </w:pPr>
            <w:r>
              <w:rPr>
                <w:rFonts w:ascii="Arial" w:cs="Arial" w:eastAsia="Arial" w:hAnsi="Arial"/>
                <w:b/>
                <w:bCs/>
                <w:color w:val="FFFFFF"/>
                <w:sz w:val="22"/>
                <w:szCs w:val="22"/>
              </w:rPr>
              <w:t xml:space="preserve">Mai 2026</w:t>
            </w:r>
          </w:p>
        </w:tc>
        <w:tc>
          <w:tcPr>
            <w:tcW w:type="dxa" w:w="7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00"/>
            </w:tcMar>
            <w:vAlign w:val="center"/>
          </w:tcPr>
          <w:p>
            <w:pPr>
              <w:spacing w:after="0" w:before="0"/>
            </w:pPr>
            <w:r>
              <w:rPr>
                <w:rFonts w:ascii="Arial" w:cs="Arial" w:eastAsia="Arial" w:hAnsi="Arial"/>
                <w:color w:val="1F4E79"/>
                <w:sz w:val="22"/>
                <w:szCs w:val="22"/>
              </w:rPr>
              <w:t xml:space="preserve">Bilan de la veille et perspectives</w:t>
            </w:r>
          </w:p>
        </w:tc>
      </w:tr>
    </w:tbl>
    <w:p>
      <w:pPr>
        <w:spacing w:after="0" w:before="120"/>
      </w:pPr>
      <w:r>
        <w:t xml:space="preserve"/>
      </w:r>
    </w:p>
    <w:p>
      <w:pPr>
        <w:spacing w:after="100" w:before="60"/>
      </w:pPr>
      <w:r>
        <w:rPr>
          <w:rFonts w:ascii="Arial" w:cs="Arial" w:eastAsia="Arial" w:hAnsi="Arial"/>
          <w:sz w:val="22"/>
          <w:szCs w:val="22"/>
        </w:rPr>
        <w:t xml:space="preserve">Cette veille technologique construite </w:t>
      </w:r>
      <w:r>
        <w:rPr>
          <w:rFonts w:ascii="Arial" w:cs="Arial" w:eastAsia="Arial" w:hAnsi="Arial"/>
          <w:b/>
          <w:bCs/>
          <w:color w:val="000000"/>
          <w:sz w:val="22"/>
          <w:szCs w:val="22"/>
        </w:rPr>
        <w:t xml:space="preserve">progressivement de septembre 2025 à mai 2026</w:t>
      </w:r>
      <w:r>
        <w:rPr>
          <w:rFonts w:ascii="Arial" w:cs="Arial" w:eastAsia="Arial" w:hAnsi="Arial"/>
          <w:sz w:val="22"/>
          <w:szCs w:val="22"/>
        </w:rPr>
        <w:t xml:space="preserve"> permet de dégager plusieurs enseignements majeurs pour un professionnel des systèmes d’information.</w:t>
      </w:r>
    </w:p>
    <w:p>
      <w:pPr>
        <w:spacing w:after="0" w:before="80"/>
      </w:pPr>
      <w:r>
        <w:t xml:space="preserve"/>
      </w:r>
    </w:p>
    <w:p>
      <w:pPr>
        <w:pStyle w:val="Heading2"/>
        <w:spacing w:after="100" w:before="280"/>
      </w:pPr>
      <w:r>
        <w:rPr>
          <w:rFonts w:ascii="Arial" w:cs="Arial" w:eastAsia="Arial" w:hAnsi="Arial"/>
          <w:b/>
          <w:bCs/>
          <w:color w:val="0070C0"/>
          <w:sz w:val="28"/>
          <w:szCs w:val="28"/>
        </w:rPr>
        <w:t xml:space="preserve">Wi-Fi 7</w:t>
      </w:r>
    </w:p>
    <w:p>
      <w:pPr>
        <w:spacing w:after="100" w:before="60"/>
      </w:pPr>
      <w:r>
        <w:rPr>
          <w:rFonts w:ascii="Arial" w:cs="Arial" w:eastAsia="Arial" w:hAnsi="Arial"/>
          <w:sz w:val="22"/>
          <w:szCs w:val="22"/>
        </w:rPr>
        <w:t xml:space="preserve">Le Wi-Fi 7 est passé du statut de promesse technologique à celui de réalité déployée. Les quatre grands opérateurs français proposent des offres compatibles. La technologie </w:t>
      </w:r>
      <w:r>
        <w:rPr>
          <w:rFonts w:ascii="Arial" w:cs="Arial" w:eastAsia="Arial" w:hAnsi="Arial"/>
          <w:b/>
          <w:bCs/>
          <w:color w:val="000000"/>
          <w:sz w:val="22"/>
          <w:szCs w:val="22"/>
        </w:rPr>
        <w:t xml:space="preserve">MLO</w:t>
      </w:r>
      <w:r>
        <w:rPr>
          <w:rFonts w:ascii="Arial" w:cs="Arial" w:eastAsia="Arial" w:hAnsi="Arial"/>
          <w:sz w:val="22"/>
          <w:szCs w:val="22"/>
        </w:rPr>
        <w:t xml:space="preserve"> et les canaux </w:t>
      </w:r>
      <w:r>
        <w:rPr>
          <w:rFonts w:ascii="Arial" w:cs="Arial" w:eastAsia="Arial" w:hAnsi="Arial"/>
          <w:b/>
          <w:bCs/>
          <w:color w:val="000000"/>
          <w:sz w:val="22"/>
          <w:szCs w:val="22"/>
        </w:rPr>
        <w:t xml:space="preserve">320 MHz</w:t>
      </w:r>
      <w:r>
        <w:rPr>
          <w:rFonts w:ascii="Arial" w:cs="Arial" w:eastAsia="Arial" w:hAnsi="Arial"/>
          <w:sz w:val="22"/>
          <w:szCs w:val="22"/>
        </w:rPr>
        <w:t xml:space="preserve"> représentent une évolution majeure pour les environnements professionnels denses. Maîtriser ces normes est indispensable pour concevoir des infrastructures réseau pérennes.</w:t>
      </w:r>
    </w:p>
    <w:p>
      <w:pPr>
        <w:spacing w:after="0" w:before="80"/>
      </w:pPr>
      <w:r>
        <w:t xml:space="preserve"/>
      </w:r>
    </w:p>
    <w:p>
      <w:pPr>
        <w:pStyle w:val="Heading2"/>
        <w:spacing w:after="100" w:before="280"/>
      </w:pPr>
      <w:r>
        <w:rPr>
          <w:rFonts w:ascii="Arial" w:cs="Arial" w:eastAsia="Arial" w:hAnsi="Arial"/>
          <w:b/>
          <w:bCs/>
          <w:color w:val="0070C0"/>
          <w:sz w:val="28"/>
          <w:szCs w:val="28"/>
        </w:rPr>
        <w:t xml:space="preserve">Cybersécurité</w:t>
      </w:r>
    </w:p>
    <w:p>
      <w:pPr>
        <w:spacing w:after="100" w:before="60"/>
      </w:pPr>
      <w:r>
        <w:rPr>
          <w:rFonts w:ascii="Arial" w:cs="Arial" w:eastAsia="Arial" w:hAnsi="Arial"/>
          <w:sz w:val="22"/>
          <w:szCs w:val="22"/>
        </w:rPr>
        <w:t xml:space="preserve">2025 confirme l’industrialisation des cyberattaques par l’IA, l’explosion des fraudes et la montée des menaces hybrides. La France reste la 2e cible européenne. La directive </w:t>
      </w:r>
      <w:r>
        <w:rPr>
          <w:rFonts w:ascii="Arial" w:cs="Arial" w:eastAsia="Arial" w:hAnsi="Arial"/>
          <w:b/>
          <w:bCs/>
          <w:color w:val="000000"/>
          <w:sz w:val="22"/>
          <w:szCs w:val="22"/>
        </w:rPr>
        <w:t xml:space="preserve">NIS 2</w:t>
      </w:r>
      <w:r>
        <w:rPr>
          <w:rFonts w:ascii="Arial" w:cs="Arial" w:eastAsia="Arial" w:hAnsi="Arial"/>
          <w:sz w:val="22"/>
          <w:szCs w:val="22"/>
        </w:rPr>
        <w:t xml:space="preserve">, en cours de transposition, va profondément transformer les obligations des organisations. Comprendre ces référentiels (ANSSI, ISO 27001, NIST CSF, NIS 2) est fondamental pour accompagner les entreprises dans leur sécurisation.</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thick" w:color="2E75B6" w:sz="12"/>
              <w:bottom w:val="single" w:color="2E75B6" w:sz="1"/>
              <w:right w:val="single" w:color="2E75B6" w:sz="1"/>
            </w:tcBorders>
            <w:shd w:fill="D5E8F0" w:val="clear"/>
            <w:tcMar>
              <w:top w:type="dxa" w:w="100"/>
              <w:left w:type="dxa" w:w="180"/>
              <w:bottom w:type="dxa" w:w="100"/>
              <w:right w:type="dxa" w:w="120"/>
            </w:tcMar>
          </w:tcPr>
          <w:p>
            <w:pPr>
              <w:spacing w:after="40" w:before="0"/>
            </w:pPr>
            <w:r>
              <w:rPr>
                <w:rFonts w:ascii="Arial" w:cs="Arial" w:eastAsia="Arial" w:hAnsi="Arial"/>
                <w:b/>
                <w:bCs/>
                <w:color w:val="1F4E79"/>
                <w:sz w:val="22"/>
                <w:szCs w:val="22"/>
              </w:rPr>
              <w:t xml:space="preserve">Lien avec mon projet de stage — Danone</w:t>
            </w:r>
          </w:p>
          <w:p>
            <w:pPr>
              <w:spacing w:after="0" w:before="0"/>
            </w:pPr>
            <w:r>
              <w:rPr>
                <w:rFonts w:ascii="Arial" w:cs="Arial" w:eastAsia="Arial" w:hAnsi="Arial"/>
                <w:color w:val="0D1B3E"/>
                <w:sz w:val="20"/>
                <w:szCs w:val="20"/>
              </w:rPr>
              <w:t xml:space="preserve">Ces deux axes de veille s’inscrivent directement dans mon projet de stage : l’analyse des politiques de cybersécurité de Danone en les comparant au NIST CSF 2.0 et à l’ISO 27001. La montée en puissance de NIS 2 et des nouvelles menaces cyber confirme l’importance d’aligner en permanence les référentiels internes avec les standards internationaux — mission centrale de mon travail chez Danone.</w:t>
            </w:r>
          </w:p>
        </w:tc>
      </w:tr>
    </w:tbl>
    <w:p>
      <w:pPr>
        <w:spacing w:after="0" w:before="80"/>
      </w:pPr>
      <w:r>
        <w:t xml:space="preserve"/>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80"/>
    </w:pPr>
    <w:r>
      <w:rPr>
        <w:rFonts w:ascii="Arial" w:cs="Arial" w:eastAsia="Arial" w:hAnsi="Arial"/>
        <w:color w:val="595959"/>
        <w:sz w:val="16"/>
        <w:szCs w:val="16"/>
      </w:rPr>
      <w:t xml:space="preserve">Louis Capronnier — Portfolio BTS SIO — Mai 2026</w:t>
    </w:r>
    <w:r>
      <w:rPr>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pPr>
    <w:r>
      <w:rPr>
        <w:rFonts w:ascii="Arial" w:cs="Arial" w:eastAsia="Arial" w:hAnsi="Arial"/>
        <w:b/>
        <w:bCs/>
        <w:color w:val="1F4E79"/>
        <w:sz w:val="18"/>
        <w:szCs w:val="18"/>
      </w:rPr>
      <w:t xml:space="preserve">Veille Technologique — BTS SIO</w:t>
    </w:r>
    <w:r>
      <w:rPr>
        <w:rFonts w:ascii="Arial" w:cs="Arial" w:eastAsia="Arial" w:hAnsi="Arial"/>
        <w:color w:val="595959"/>
        <w:sz w:val="18"/>
        <w:szCs w:val="18"/>
      </w:rPr>
      <w:t xml:space="preserve">  |  Wi-Fi 7 &amp; Cybersécurité — Sept. 2025 –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070C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2026-05-03T17:28:03.678Z</dcterms:created>
  <dcterms:modified xsi:type="dcterms:W3CDTF">2026-05-03T17:28:03.691Z</dcterms:modified>
</cp:coreProperties>
</file>

<file path=docProps/custom.xml><?xml version="1.0" encoding="utf-8"?>
<Properties xmlns="http://schemas.openxmlformats.org/officeDocument/2006/custom-properties" xmlns:vt="http://schemas.openxmlformats.org/officeDocument/2006/docPropsVTypes"/>
</file>