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58" w:rsidRDefault="00292358" w:rsidP="008A4BEB">
      <w:pPr>
        <w:spacing w:after="120"/>
        <w:jc w:val="center"/>
        <w:rPr>
          <w:b/>
          <w:sz w:val="32"/>
          <w:u w:val="single"/>
        </w:rPr>
      </w:pPr>
    </w:p>
    <w:p w:rsidR="00B63A74" w:rsidRPr="008A4BEB" w:rsidRDefault="008A4BEB" w:rsidP="008A4BEB">
      <w:pPr>
        <w:spacing w:after="120"/>
        <w:jc w:val="center"/>
        <w:rPr>
          <w:b/>
          <w:sz w:val="32"/>
          <w:u w:val="single"/>
        </w:rPr>
      </w:pPr>
      <w:r w:rsidRPr="008A4BEB">
        <w:rPr>
          <w:b/>
          <w:sz w:val="32"/>
          <w:u w:val="single"/>
        </w:rPr>
        <w:t xml:space="preserve">La </w:t>
      </w:r>
      <w:r w:rsidR="00440A84">
        <w:rPr>
          <w:b/>
          <w:sz w:val="32"/>
          <w:u w:val="single"/>
        </w:rPr>
        <w:t>D</w:t>
      </w:r>
      <w:r w:rsidRPr="008A4BEB">
        <w:rPr>
          <w:b/>
          <w:sz w:val="32"/>
          <w:u w:val="single"/>
        </w:rPr>
        <w:t>éflation</w:t>
      </w:r>
    </w:p>
    <w:p w:rsidR="008A4BEB" w:rsidRDefault="008A4BEB" w:rsidP="00440A84">
      <w:pPr>
        <w:spacing w:after="0"/>
        <w:jc w:val="center"/>
      </w:pPr>
      <w:r>
        <w:t>Louis de Charsonville – Banque de France</w:t>
      </w:r>
    </w:p>
    <w:p w:rsidR="00E77A59" w:rsidRDefault="00440A84" w:rsidP="008A4BEB">
      <w:pPr>
        <w:jc w:val="center"/>
      </w:pPr>
      <w:r>
        <w:t>10 juin 2015</w:t>
      </w:r>
    </w:p>
    <w:p w:rsidR="00440A84" w:rsidRDefault="00440A84" w:rsidP="00050FCF">
      <w:pPr>
        <w:jc w:val="both"/>
      </w:pPr>
    </w:p>
    <w:p w:rsidR="008A4BEB" w:rsidRPr="00E77A59" w:rsidRDefault="008A4BEB" w:rsidP="00050FCF">
      <w:pPr>
        <w:pStyle w:val="Paragraphedeliste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 xml:space="preserve">Quelques faits stylisés </w:t>
      </w:r>
    </w:p>
    <w:p w:rsidR="008A4BEB" w:rsidRPr="00E77A59" w:rsidRDefault="008A4BEB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 xml:space="preserve">Définitions 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Définition stricte et élargie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Les différentes mesures de l’inflation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Le rôle des anticipations dans l’entrée en déflation</w:t>
      </w:r>
    </w:p>
    <w:p w:rsidR="008A4BEB" w:rsidRPr="00E77A59" w:rsidRDefault="008A4BEB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La situation actuelle en Zone Euro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La période d’inflation négative et le contre-choc pétrolier</w:t>
      </w:r>
    </w:p>
    <w:p w:rsidR="00E77A59" w:rsidRDefault="00E77A59" w:rsidP="00050FCF">
      <w:pPr>
        <w:pStyle w:val="Paragraphedeliste"/>
        <w:ind w:left="2160"/>
        <w:jc w:val="both"/>
      </w:pPr>
    </w:p>
    <w:p w:rsidR="008A4BEB" w:rsidRPr="00E77A59" w:rsidRDefault="008A4BEB" w:rsidP="00050FCF">
      <w:pPr>
        <w:pStyle w:val="Paragraphedeliste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Deux exemples historiques de déflation : la crise de 1929 et la décennie perdue au Japon</w:t>
      </w:r>
    </w:p>
    <w:p w:rsidR="00E77A59" w:rsidRPr="00E77A59" w:rsidRDefault="00E77A59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 xml:space="preserve">Le Grande Dépression </w:t>
      </w:r>
    </w:p>
    <w:p w:rsidR="00E77A59" w:rsidRPr="00E77A59" w:rsidRDefault="00E77A59" w:rsidP="00050FCF">
      <w:pPr>
        <w:pStyle w:val="Paragraphedeliste"/>
        <w:ind w:left="1440"/>
        <w:jc w:val="both"/>
        <w:rPr>
          <w:i/>
        </w:rPr>
      </w:pPr>
    </w:p>
    <w:p w:rsidR="00E77A59" w:rsidRPr="00E77A59" w:rsidRDefault="00E77A59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 xml:space="preserve">Dix ans de récession et de déflation au Japon  </w:t>
      </w:r>
    </w:p>
    <w:p w:rsidR="00E77A59" w:rsidRDefault="00E77A59" w:rsidP="00050FCF">
      <w:pPr>
        <w:pStyle w:val="Paragraphedeliste"/>
        <w:ind w:left="1080"/>
        <w:jc w:val="both"/>
      </w:pPr>
    </w:p>
    <w:p w:rsidR="008A4BEB" w:rsidRPr="00E77A59" w:rsidRDefault="008A4BEB" w:rsidP="00050FCF">
      <w:pPr>
        <w:pStyle w:val="Paragraphedeliste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Les effets de la déflation</w:t>
      </w:r>
    </w:p>
    <w:p w:rsidR="008A4BEB" w:rsidRPr="00E77A59" w:rsidRDefault="008A4BEB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Les effets stabilisateurs</w:t>
      </w:r>
      <w:r w:rsidR="00CD64D6">
        <w:rPr>
          <w:i/>
        </w:rPr>
        <w:t>- l’effet Pigou</w:t>
      </w:r>
      <w:bookmarkStart w:id="0" w:name="_GoBack"/>
      <w:bookmarkEnd w:id="0"/>
    </w:p>
    <w:p w:rsidR="00E77A59" w:rsidRDefault="00E77A59" w:rsidP="00050FCF">
      <w:pPr>
        <w:pStyle w:val="Paragraphedeliste"/>
        <w:ind w:left="1440"/>
        <w:jc w:val="both"/>
      </w:pPr>
    </w:p>
    <w:p w:rsidR="008A4BEB" w:rsidRPr="00E77A59" w:rsidRDefault="008A4BEB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Les effets déstabilisateurs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Le mécanisme de déflation par la dette</w:t>
      </w:r>
    </w:p>
    <w:p w:rsidR="008A4BEB" w:rsidRDefault="008A4BEB" w:rsidP="00050FCF">
      <w:pPr>
        <w:pStyle w:val="Paragraphedeliste"/>
        <w:numPr>
          <w:ilvl w:val="2"/>
          <w:numId w:val="1"/>
        </w:numPr>
        <w:jc w:val="both"/>
      </w:pPr>
      <w:r>
        <w:t>L’impact sur les autres variables macroéconomiques (investissement,</w:t>
      </w:r>
      <w:r w:rsidR="00E77A59">
        <w:t xml:space="preserve"> emploi)</w:t>
      </w:r>
    </w:p>
    <w:p w:rsidR="00E77A59" w:rsidRDefault="00E77A59" w:rsidP="00050FCF">
      <w:pPr>
        <w:pStyle w:val="Paragraphedeliste"/>
        <w:numPr>
          <w:ilvl w:val="2"/>
          <w:numId w:val="1"/>
        </w:numPr>
        <w:jc w:val="both"/>
      </w:pPr>
      <w:r>
        <w:t>L’impuissance de la politique monétaire</w:t>
      </w:r>
      <w:r w:rsidR="00F17639">
        <w:t xml:space="preserve"> </w:t>
      </w:r>
    </w:p>
    <w:p w:rsidR="008A4BEB" w:rsidRPr="00E77A59" w:rsidRDefault="008A4BEB" w:rsidP="00050FCF">
      <w:pPr>
        <w:pStyle w:val="Paragraphedeliste"/>
        <w:spacing w:after="360"/>
        <w:ind w:left="1077"/>
        <w:jc w:val="both"/>
        <w:rPr>
          <w:b/>
          <w:u w:val="single"/>
        </w:rPr>
      </w:pPr>
    </w:p>
    <w:p w:rsidR="008A4BEB" w:rsidRPr="00E77A59" w:rsidRDefault="00E77A59" w:rsidP="00050FCF">
      <w:pPr>
        <w:pStyle w:val="Paragraphedeliste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Prévenir la déflation</w:t>
      </w:r>
    </w:p>
    <w:p w:rsidR="00E77A59" w:rsidRPr="00E77A59" w:rsidRDefault="00E77A59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>
        <w:rPr>
          <w:i/>
        </w:rPr>
        <w:t>Mesurer le risque de déflation</w:t>
      </w:r>
    </w:p>
    <w:p w:rsidR="00E77A59" w:rsidRDefault="00E77A59" w:rsidP="00050FCF">
      <w:pPr>
        <w:pStyle w:val="Paragraphedeliste"/>
        <w:numPr>
          <w:ilvl w:val="2"/>
          <w:numId w:val="1"/>
        </w:numPr>
        <w:jc w:val="both"/>
      </w:pPr>
      <w:r>
        <w:t>Mesurer les anticipations des agents économiques</w:t>
      </w:r>
    </w:p>
    <w:p w:rsidR="00E77A59" w:rsidRDefault="00E77A59" w:rsidP="00050FCF">
      <w:pPr>
        <w:pStyle w:val="Paragraphedeliste"/>
        <w:numPr>
          <w:ilvl w:val="2"/>
          <w:numId w:val="1"/>
        </w:numPr>
        <w:jc w:val="both"/>
      </w:pPr>
      <w:r>
        <w:t xml:space="preserve"> L’impact des prix relatifs</w:t>
      </w:r>
    </w:p>
    <w:p w:rsidR="00E77A59" w:rsidRPr="00E77A59" w:rsidRDefault="00E77A59" w:rsidP="00050FCF">
      <w:pPr>
        <w:pStyle w:val="Paragraphedeliste"/>
        <w:numPr>
          <w:ilvl w:val="1"/>
          <w:numId w:val="1"/>
        </w:numPr>
        <w:jc w:val="both"/>
        <w:rPr>
          <w:i/>
        </w:rPr>
      </w:pPr>
      <w:r>
        <w:rPr>
          <w:i/>
        </w:rPr>
        <w:t>Prévenir le risque de déflation</w:t>
      </w:r>
    </w:p>
    <w:p w:rsidR="00E77A59" w:rsidRDefault="00E77A59" w:rsidP="00050FCF">
      <w:pPr>
        <w:pStyle w:val="Paragraphedeliste"/>
        <w:numPr>
          <w:ilvl w:val="2"/>
          <w:numId w:val="1"/>
        </w:numPr>
        <w:jc w:val="both"/>
      </w:pPr>
      <w:r>
        <w:t>Les outils de politiques monétaires</w:t>
      </w:r>
    </w:p>
    <w:p w:rsidR="00E77A59" w:rsidRDefault="00E77A59" w:rsidP="00050FCF">
      <w:pPr>
        <w:pStyle w:val="Paragraphedeliste"/>
        <w:numPr>
          <w:ilvl w:val="2"/>
          <w:numId w:val="1"/>
        </w:numPr>
        <w:jc w:val="both"/>
      </w:pPr>
      <w:r>
        <w:t>La politique prudentielle</w:t>
      </w:r>
    </w:p>
    <w:p w:rsidR="00E77A59" w:rsidRDefault="00E77A59" w:rsidP="00050FCF">
      <w:pPr>
        <w:jc w:val="both"/>
        <w:rPr>
          <w:b/>
        </w:rPr>
      </w:pPr>
    </w:p>
    <w:p w:rsidR="00E77A59" w:rsidRDefault="00E77A59" w:rsidP="00050FCF">
      <w:pPr>
        <w:jc w:val="both"/>
        <w:rPr>
          <w:b/>
          <w:u w:val="single"/>
        </w:rPr>
      </w:pPr>
      <w:r w:rsidRPr="00E77A59">
        <w:rPr>
          <w:b/>
          <w:u w:val="single"/>
        </w:rPr>
        <w:t>Quelques éléments bibliographiques</w:t>
      </w:r>
    </w:p>
    <w:p w:rsidR="00050FCF" w:rsidRDefault="00E77A59" w:rsidP="00050FC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F17639">
        <w:rPr>
          <w:b/>
          <w:lang w:val="en-US"/>
        </w:rPr>
        <w:t>Bernanke</w:t>
      </w:r>
      <w:r w:rsidR="00F17639" w:rsidRPr="00F17639">
        <w:rPr>
          <w:b/>
          <w:lang w:val="en-US"/>
        </w:rPr>
        <w:t>, Ben</w:t>
      </w:r>
      <w:r w:rsidR="00F17639" w:rsidRPr="00F17639">
        <w:rPr>
          <w:lang w:val="en-US"/>
        </w:rPr>
        <w:t>, Non monetary effetcs of the Financial Crisis in the Propagation of the Great Depression</w:t>
      </w:r>
      <w:r w:rsidR="00F17639">
        <w:rPr>
          <w:lang w:val="en-US"/>
        </w:rPr>
        <w:t>, American Economic Review, June 1983.</w:t>
      </w:r>
    </w:p>
    <w:p w:rsidR="00050FCF" w:rsidRPr="00050FCF" w:rsidRDefault="00050FCF" w:rsidP="00050FCF">
      <w:pPr>
        <w:pStyle w:val="Paragraphedeliste"/>
        <w:numPr>
          <w:ilvl w:val="0"/>
          <w:numId w:val="2"/>
        </w:numPr>
        <w:jc w:val="both"/>
      </w:pPr>
      <w:r w:rsidRPr="00050FCF">
        <w:rPr>
          <w:b/>
        </w:rPr>
        <w:t xml:space="preserve">Cercle des économistes, </w:t>
      </w:r>
      <w:r w:rsidRPr="00050FCF">
        <w:t xml:space="preserve">Déflation: </w:t>
      </w:r>
      <w:r w:rsidR="004E02BE">
        <w:t>q</w:t>
      </w:r>
      <w:r w:rsidRPr="00050FCF">
        <w:t>uel danger ?</w:t>
      </w:r>
      <w:r w:rsidR="004E02BE">
        <w:t xml:space="preserve"> quelles protections ?</w:t>
      </w:r>
      <w:r>
        <w:t>, Cahier n°1, 2003</w:t>
      </w:r>
    </w:p>
    <w:p w:rsidR="00F17639" w:rsidRDefault="00F17639" w:rsidP="00050FCF">
      <w:pPr>
        <w:pStyle w:val="Paragraphedeliste"/>
        <w:numPr>
          <w:ilvl w:val="0"/>
          <w:numId w:val="2"/>
        </w:numPr>
        <w:jc w:val="both"/>
      </w:pPr>
      <w:r w:rsidRPr="00F17639">
        <w:rPr>
          <w:b/>
        </w:rPr>
        <w:t>Fisher, Irving</w:t>
      </w:r>
      <w:r w:rsidRPr="00F17639">
        <w:t>, La théorie des grandes dépressions par la dette et</w:t>
      </w:r>
      <w:r>
        <w:t xml:space="preserve"> </w:t>
      </w:r>
      <w:r w:rsidRPr="00F17639">
        <w:t>la déflation</w:t>
      </w:r>
      <w:r>
        <w:t xml:space="preserve"> </w:t>
      </w:r>
      <w:r w:rsidRPr="00F17639">
        <w:t>(1933)</w:t>
      </w:r>
      <w:r>
        <w:t>, Revue d’économie française, 1988.</w:t>
      </w:r>
    </w:p>
    <w:p w:rsidR="00F17639" w:rsidRDefault="00F17639" w:rsidP="00050FC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F17639">
        <w:rPr>
          <w:b/>
          <w:lang w:val="en-US"/>
        </w:rPr>
        <w:t>Friedman, Milton, and Schwartz, Anna J.,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Monetary History of the United States 1867-1960, Princeton: Princeton University Press, 1963. </w:t>
      </w:r>
    </w:p>
    <w:p w:rsidR="00F17639" w:rsidRPr="00050FCF" w:rsidRDefault="00F17639" w:rsidP="00050FC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 xml:space="preserve">Krugman, Paul, </w:t>
      </w:r>
      <w:r>
        <w:rPr>
          <w:lang w:val="en-US"/>
        </w:rPr>
        <w:t>It’s baaack: Japan’s Slump and the Return of the Return of the Liquidity Trap, Brookings Papers on Economic Activity 2, 1998</w:t>
      </w:r>
      <w:r w:rsidRPr="00050FCF">
        <w:rPr>
          <w:lang w:val="en-US"/>
        </w:rPr>
        <w:t>.</w:t>
      </w:r>
    </w:p>
    <w:sectPr w:rsidR="00F17639" w:rsidRPr="00050FCF" w:rsidSect="001649DE">
      <w:headerReference w:type="default" r:id="rId8"/>
      <w:pgSz w:w="11906" w:h="16838"/>
      <w:pgMar w:top="1021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EB" w:rsidRDefault="008A4BEB" w:rsidP="008A4BEB">
      <w:pPr>
        <w:spacing w:after="0" w:line="240" w:lineRule="auto"/>
      </w:pPr>
      <w:r>
        <w:separator/>
      </w:r>
    </w:p>
  </w:endnote>
  <w:endnote w:type="continuationSeparator" w:id="0">
    <w:p w:rsidR="008A4BEB" w:rsidRDefault="008A4BEB" w:rsidP="008A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EB" w:rsidRDefault="008A4BEB" w:rsidP="008A4BEB">
      <w:pPr>
        <w:spacing w:after="0" w:line="240" w:lineRule="auto"/>
      </w:pPr>
      <w:r>
        <w:separator/>
      </w:r>
    </w:p>
  </w:footnote>
  <w:footnote w:type="continuationSeparator" w:id="0">
    <w:p w:rsidR="008A4BEB" w:rsidRDefault="008A4BEB" w:rsidP="008A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EB" w:rsidRDefault="008A4BEB">
    <w:pPr>
      <w:pStyle w:val="En-tte"/>
    </w:pPr>
    <w:r>
      <w:t>Sciences Po. Préparation aux concours administratifs</w:t>
    </w:r>
    <w:r>
      <w:tab/>
      <w:t>2014/2015</w:t>
    </w:r>
  </w:p>
  <w:p w:rsidR="008A4BEB" w:rsidRDefault="008A4BEB">
    <w:pPr>
      <w:pStyle w:val="En-tte"/>
    </w:pPr>
    <w:r>
      <w:t>Didier SCHLACTHER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6A22"/>
    <w:multiLevelType w:val="hybridMultilevel"/>
    <w:tmpl w:val="AE300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07A8E"/>
    <w:multiLevelType w:val="hybridMultilevel"/>
    <w:tmpl w:val="FE441A2E"/>
    <w:lvl w:ilvl="0" w:tplc="237A6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024" w:hanging="180"/>
      </w:pPr>
    </w:lvl>
    <w:lvl w:ilvl="3" w:tplc="A49A48F4">
      <w:start w:val="4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EB"/>
    <w:rsid w:val="00050FCF"/>
    <w:rsid w:val="001649DE"/>
    <w:rsid w:val="00292358"/>
    <w:rsid w:val="00440A84"/>
    <w:rsid w:val="00486996"/>
    <w:rsid w:val="004E02BE"/>
    <w:rsid w:val="006A42EF"/>
    <w:rsid w:val="00820E95"/>
    <w:rsid w:val="008A4BEB"/>
    <w:rsid w:val="00CD64D6"/>
    <w:rsid w:val="00E77A59"/>
    <w:rsid w:val="00F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BEB"/>
  </w:style>
  <w:style w:type="paragraph" w:styleId="Pieddepage">
    <w:name w:val="footer"/>
    <w:basedOn w:val="Normal"/>
    <w:link w:val="PieddepageC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BEB"/>
  </w:style>
  <w:style w:type="paragraph" w:styleId="Paragraphedeliste">
    <w:name w:val="List Paragraph"/>
    <w:basedOn w:val="Normal"/>
    <w:uiPriority w:val="34"/>
    <w:qFormat/>
    <w:rsid w:val="008A4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BEB"/>
  </w:style>
  <w:style w:type="paragraph" w:styleId="Pieddepage">
    <w:name w:val="footer"/>
    <w:basedOn w:val="Normal"/>
    <w:link w:val="PieddepageC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BEB"/>
  </w:style>
  <w:style w:type="paragraph" w:styleId="Paragraphedeliste">
    <w:name w:val="List Paragraph"/>
    <w:basedOn w:val="Normal"/>
    <w:uiPriority w:val="34"/>
    <w:qFormat/>
    <w:rsid w:val="008A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3637B270.dotm</Template>
  <TotalTime>148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DE CHARSONVILLE</dc:creator>
  <cp:lastModifiedBy>Louis DE CHARSONVILLE</cp:lastModifiedBy>
  <cp:revision>9</cp:revision>
  <dcterms:created xsi:type="dcterms:W3CDTF">2015-06-09T12:36:00Z</dcterms:created>
  <dcterms:modified xsi:type="dcterms:W3CDTF">2015-06-09T15:04:00Z</dcterms:modified>
</cp:coreProperties>
</file>