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每周简报</w:t>
      </w:r>
    </w:p>
    <w:p>
      <w:pPr>
        <w:spacing w:line="120" w:lineRule="exact"/>
      </w:pPr>
    </w:p>
    <w:p>
      <w:pPr>
        <w:jc w:val="center"/>
      </w:pPr>
      <w:r>
        <w:rPr>
          <w:b/>
          <w:sz w:val="28"/>
        </w:rPr>
        <w:t>时间范围：2026年4月20日—4月26日</w:t>
      </w:r>
    </w:p>
    <w:p>
      <w:pPr>
        <w:jc w:val="center"/>
      </w:pPr>
      <w:r>
        <w:rPr>
          <w:b/>
          <w:sz w:val="28"/>
        </w:rPr>
        <w:t>编制日期：2026年4月27日</w:t>
      </w:r>
    </w:p>
    <w:p>
      <w:pPr>
        <w:spacing w:line="120" w:lineRule="exact"/>
      </w:pPr>
    </w:p>
    <w:p>
      <w:pPr>
        <w:spacing w:line="120" w:lineRule="exact"/>
      </w:pPr>
    </w:p>
    <w:p>
      <w:pPr/>
      <w:r>
        <w:rPr>
          <w:b/>
          <w:sz w:val="28"/>
        </w:rPr>
        <w:t>一、概述</w:t>
      </w:r>
    </w:p>
    <w:p>
      <w:pPr>
        <w:spacing w:line="440" w:lineRule="exact"/>
      </w:pPr>
      <w:r>
        <w:rPr>
          <w:sz w:val="22"/>
        </w:rPr>
        <w:t>本周（2026年4月20日至4月26日），全球局势呈现以下主要特征：</w:t>
      </w:r>
    </w:p>
    <w:p>
      <w:pPr>
        <w:spacing w:line="120" w:lineRule="exact"/>
      </w:pPr>
    </w:p>
    <w:p>
      <w:pPr>
        <w:spacing w:line="440" w:lineRule="exact"/>
      </w:pPr>
      <w:r>
        <w:rPr>
          <w:b/>
          <w:sz w:val="22"/>
        </w:rPr>
        <w:t>国际政治：</w:t>
      </w:r>
      <w:r>
        <w:rPr>
          <w:sz w:val="22"/>
        </w:rPr>
        <w:t>国际政治方面，美伊局势持续演化，霍尔木兹海峡封锁进入新阶段，对全球能源市场的影响持续深化。中美贸易关系出现边际改善迹象，但结构性对抗格局未变。欧洲方面，德国选择党在地方选举中取得突破，欧洲政治生态持续右转。</w:t>
      </w:r>
    </w:p>
    <w:p>
      <w:pPr>
        <w:spacing w:line="120" w:lineRule="exact"/>
      </w:pPr>
    </w:p>
    <w:p>
      <w:pPr>
        <w:spacing w:line="440" w:lineRule="exact"/>
      </w:pPr>
      <w:r>
        <w:rPr>
          <w:b/>
          <w:sz w:val="22"/>
        </w:rPr>
        <w:t>AI进展：</w:t>
      </w:r>
      <w:r>
        <w:rPr>
          <w:sz w:val="22"/>
        </w:rPr>
        <w:t>AI进展方面，OpenAI"超级PAC资助AI记者新闻网站"事件引发透明度争议；Suno AI音乐版权漏洞持续发酵；AI生成内容识别与反识别技术博弈升级；OpenAI CEO就ChatGPT涉学校枪击案向加拿大城镇致歉。</w:t>
      </w:r>
    </w:p>
    <w:p>
      <w:pPr>
        <w:spacing w:line="120" w:lineRule="exact"/>
      </w:pPr>
    </w:p>
    <w:p>
      <w:pPr>
        <w:spacing w:line="440" w:lineRule="exact"/>
      </w:pPr>
      <w:r>
        <w:rPr>
          <w:b/>
          <w:sz w:val="22"/>
        </w:rPr>
        <w:t>通信行业：</w:t>
      </w:r>
      <w:r>
        <w:rPr>
          <w:sz w:val="22"/>
        </w:rPr>
        <w:t>通信行业方面，诺基亚光学业务强劲但移动业务承压；Verizon CEO警告AI带来电信业"末日"风险；Cisco实现量子网络突破；中国运营商利润因税收上调和增长疲弱而下滑；Midco揭示5G移动套餐定价。</w:t>
      </w:r>
    </w:p>
    <w:p>
      <w:pPr>
        <w:spacing w:line="120" w:lineRule="exact"/>
      </w:pPr>
    </w:p>
    <w:p>
      <w:pPr>
        <w:spacing w:line="120" w:lineRule="exact"/>
      </w:pPr>
    </w:p>
    <w:p>
      <w:pPr/>
      <w:r>
        <w:rPr>
          <w:b/>
          <w:sz w:val="28"/>
        </w:rPr>
        <w:t>二、国际政治</w:t>
      </w:r>
    </w:p>
    <w:p>
      <w:pPr>
        <w:spacing w:line="120" w:lineRule="exact"/>
      </w:pPr>
    </w:p>
    <w:p>
      <w:pPr/>
      <w:r>
        <w:rPr>
          <w:b/>
          <w:sz w:val="24"/>
        </w:rPr>
        <w:t>1. 美伊局势持续演化，霍尔木兹封锁进入新阶段</w:t>
      </w:r>
    </w:p>
    <w:p>
      <w:pPr>
        <w:spacing w:line="440" w:lineRule="exact"/>
      </w:pPr>
      <w:r>
        <w:rPr>
          <w:sz w:val="22"/>
        </w:rPr>
        <w:t>美伊军事对峙本周进入新阶段。据多方分析：</w:t>
      </w:r>
    </w:p>
    <w:p>
      <w:pPr>
        <w:pStyle w:val="ListBullet"/>
        <w:spacing w:line="400" w:lineRule="exact"/>
        <w:ind w:left="432"/>
      </w:pPr>
      <w:r>
        <w:rPr>
          <w:sz w:val="22"/>
        </w:rPr>
        <w:t>封锁已造成不可逆的全球航运影响，保险成本持续高企；</w:t>
      </w:r>
    </w:p>
    <w:p>
      <w:pPr>
        <w:pStyle w:val="ListBullet"/>
        <w:spacing w:line="400" w:lineRule="exact"/>
        <w:ind w:left="432"/>
      </w:pPr>
      <w:r>
        <w:rPr>
          <w:sz w:val="22"/>
        </w:rPr>
        <w:t>伊朗革命卫队从油价上涨中持续获益，财政压力有所缓解；</w:t>
      </w:r>
    </w:p>
    <w:p>
      <w:pPr>
        <w:pStyle w:val="ListBullet"/>
        <w:spacing w:line="400" w:lineRule="exact"/>
        <w:ind w:left="432"/>
      </w:pPr>
      <w:r>
        <w:rPr>
          <w:sz w:val="22"/>
        </w:rPr>
        <w:t>美方面临持续军事消耗，谈判路径反复但前景仍不明朗；</w:t>
      </w:r>
    </w:p>
    <w:p>
      <w:pPr>
        <w:pStyle w:val="ListBullet"/>
        <w:spacing w:line="400" w:lineRule="exact"/>
        <w:ind w:left="432"/>
      </w:pPr>
      <w:r>
        <w:rPr>
          <w:sz w:val="22"/>
        </w:rPr>
        <w:t>全球滞胀型衰退风险持续上升，能源市场重新定价。</w:t>
      </w:r>
    </w:p>
    <w:p>
      <w:pPr>
        <w:spacing w:line="440" w:lineRule="exact"/>
      </w:pPr>
      <w:r>
        <w:rPr>
          <w:b/>
          <w:sz w:val="22"/>
        </w:rPr>
        <w:t>各方得失格局：</w:t>
      </w:r>
      <w:r>
        <w:rPr>
          <w:sz w:val="22"/>
        </w:rPr>
        <w:t>综合各方分析，美国失多获少，以色列损失巨大，伊朗得远大于失。中国作为斡旋方的作用持续受到各方重视。</w:t>
      </w:r>
    </w:p>
    <w:p>
      <w:pPr>
        <w:spacing w:line="120" w:lineRule="exact"/>
      </w:pPr>
    </w:p>
    <w:p>
      <w:pPr/>
      <w:r>
        <w:rPr>
          <w:b/>
          <w:sz w:val="24"/>
        </w:rPr>
        <w:t>2. 中美贸易关系出现边际改善迹象</w:t>
      </w:r>
    </w:p>
    <w:p>
      <w:pPr>
        <w:spacing w:line="440" w:lineRule="exact"/>
      </w:pPr>
      <w:r>
        <w:rPr>
          <w:sz w:val="22"/>
        </w:rPr>
        <w:t>据多方消息，中美本周就部分贸易议题展开新一轮接触，双方在降低部分商品关税方面释放善意信号。然而，分析普遍认为此为战术性缓和，结构性对抗格局未变——科技封锁、芯片禁令、AI竞争三条主线持续延伸。</w:t>
      </w:r>
    </w:p>
    <w:p>
      <w:pPr>
        <w:spacing w:line="120" w:lineRule="exact"/>
      </w:pPr>
    </w:p>
    <w:p>
      <w:pPr/>
      <w:r>
        <w:rPr>
          <w:b/>
          <w:sz w:val="24"/>
        </w:rPr>
        <w:t>3. 德国选择党地方选举突破，欧洲政治生态右转持续</w:t>
      </w:r>
    </w:p>
    <w:p>
      <w:pPr>
        <w:spacing w:line="440" w:lineRule="exact"/>
      </w:pPr>
      <w:r>
        <w:rPr>
          <w:sz w:val="22"/>
        </w:rPr>
        <w:t>德国选择党（AfD）本周在多个地方选举中取得突破，进一步巩固其作为德国主要政治力量之一的地位。与此同时，法国极右翼政党在民调中持续领先。整个欧洲政治光谱右移的趋势在本周继续强化，对移民、欧盟一体化和国家主权等议题的政策辩论进一步激化。</w:t>
      </w:r>
    </w:p>
    <w:p>
      <w:pPr>
        <w:spacing w:line="120" w:lineRule="exact"/>
      </w:pPr>
    </w:p>
    <w:p>
      <w:pPr/>
      <w:r>
        <w:rPr>
          <w:b/>
          <w:sz w:val="24"/>
        </w:rPr>
        <w:t>4. 英国与日本深化安全合作</w:t>
      </w:r>
    </w:p>
    <w:p>
      <w:pPr>
        <w:spacing w:line="440" w:lineRule="exact"/>
      </w:pPr>
      <w:r>
        <w:rPr>
          <w:sz w:val="22"/>
        </w:rPr>
        <w:t>英国和日本本周签署新的安全合作框架，重点涵盖网络安全、太空安全和AI军事应用等领域。此举被普遍视为英国"印太倾斜"战略的延续，以及日本在"自由开放的印度太平洋"框架下深化与欧洲国家合作的标志性动作。</w:t>
      </w:r>
    </w:p>
    <w:p>
      <w:pPr>
        <w:spacing w:line="120" w:lineRule="exact"/>
      </w:pPr>
    </w:p>
    <w:p>
      <w:pPr>
        <w:spacing w:line="120" w:lineRule="exact"/>
      </w:pPr>
    </w:p>
    <w:p>
      <w:pPr/>
      <w:r>
        <w:rPr>
          <w:b/>
          <w:sz w:val="28"/>
        </w:rPr>
        <w:t>三、AI进展</w:t>
      </w:r>
    </w:p>
    <w:p>
      <w:pPr>
        <w:spacing w:line="120" w:lineRule="exact"/>
      </w:pPr>
    </w:p>
    <w:p>
      <w:pPr/>
      <w:r>
        <w:rPr>
          <w:b/>
          <w:sz w:val="24"/>
        </w:rPr>
        <w:t>1. OpenAI超级PAC资助AI记者新闻网站引发争议</w:t>
      </w:r>
    </w:p>
    <w:p>
      <w:pPr>
        <w:spacing w:line="440" w:lineRule="exact"/>
      </w:pPr>
      <w:r>
        <w:rPr>
          <w:sz w:val="22"/>
        </w:rPr>
        <w:t>据多家媒体报道，OpenAI的超级政治行动委员会（Super PAC）疑似资助了一家名为"The Wire by Acutus"的新闻网站，其大部分"记者"被曝为AI生成的假身份。调查发现，这些"记者"的简历和照片疑点重重，OpenAI CEO Sam Altman等高层与该网站的财务联系正在接受监管审查。</w:t>
      </w:r>
    </w:p>
    <w:p>
      <w:pPr>
        <w:spacing w:line="440" w:lineRule="exact"/>
      </w:pPr>
      <w:r>
        <w:rPr>
          <w:sz w:val="22"/>
        </w:rPr>
        <w:t>这一事件再次引发对AI生成内容透明度问题的广泛关注，也令外界担忧AI正被用于系统性影响信息生态。</w:t>
      </w:r>
    </w:p>
    <w:p>
      <w:pPr>
        <w:spacing w:line="120" w:lineRule="exact"/>
      </w:pPr>
    </w:p>
    <w:p>
      <w:pPr/>
      <w:r>
        <w:rPr>
          <w:b/>
          <w:sz w:val="24"/>
        </w:rPr>
        <w:t>2. Suno AI音乐版权漏洞持续发酵</w:t>
      </w:r>
    </w:p>
    <w:p>
      <w:pPr>
        <w:spacing w:line="440" w:lineRule="exact"/>
      </w:pPr>
      <w:r>
        <w:rPr>
          <w:sz w:val="22"/>
        </w:rPr>
        <w:t>AI音乐平台Suno的版权过滤漏洞问题持续引发关注。上周曝光的研究显示，通过使用Audacity等基础工具对歌曲进行简单处理（降速/加速/添加白噪声），即可绕过Suno的版权过滤系统，生成与知名歌曲高度相似的AI版本。</w:t>
      </w:r>
    </w:p>
    <w:p>
      <w:pPr>
        <w:spacing w:line="440" w:lineRule="exact"/>
      </w:pPr>
      <w:r>
        <w:rPr>
          <w:sz w:val="22"/>
        </w:rPr>
        <w:t>批评者警告：这一漏洞若被滥用，可能被用于将AI生成内容上传至流媒体平台并牟利，对音乐版权体系构成系统性威胁。Suno方面仍未发表正式声明回应。</w:t>
      </w:r>
    </w:p>
    <w:p>
      <w:pPr>
        <w:spacing w:line="120" w:lineRule="exact"/>
      </w:pPr>
    </w:p>
    <w:p>
      <w:pPr/>
      <w:r>
        <w:rPr>
          <w:b/>
          <w:sz w:val="24"/>
        </w:rPr>
        <w:t>3. AI写作"去AI化"工具兴起</w:t>
      </w:r>
    </w:p>
    <w:p>
      <w:pPr>
        <w:spacing w:line="440" w:lineRule="exact"/>
      </w:pPr>
      <w:r>
        <w:rPr>
          <w:sz w:val="22"/>
        </w:rPr>
        <w:t>一款名为"Sinceerly"的Chrome扩展本周引发关注，其功能是将AI生成的文字"伪装"得更像人类写作——消除AI特有的短语模式、去掉过度使用的破折号、甚至故意引入拼写错误。该工具开发者称其为对AI内容泛滥的"讽刺性回应"，但也承认其功能是真实的。</w:t>
      </w:r>
    </w:p>
    <w:p>
      <w:pPr>
        <w:spacing w:line="440" w:lineRule="exact"/>
      </w:pPr>
      <w:r>
        <w:rPr>
          <w:sz w:val="22"/>
        </w:rPr>
        <w:t>这一现象折射出AI内容在学术、新闻和商业写作场景中面临的信任危机——当大量内容被怀疑为AI生成时，"反AI检测"甚至"伪装人类"反而成为了一门生意。</w:t>
      </w:r>
    </w:p>
    <w:p>
      <w:pPr>
        <w:spacing w:line="120" w:lineRule="exact"/>
      </w:pPr>
    </w:p>
    <w:p>
      <w:pPr/>
      <w:r>
        <w:rPr>
          <w:b/>
          <w:sz w:val="24"/>
        </w:rPr>
        <w:t>4. OpenAI CEO就ChatGPT涉学校枪击案致歉</w:t>
      </w:r>
    </w:p>
    <w:p>
      <w:pPr>
        <w:spacing w:line="440" w:lineRule="exact"/>
      </w:pPr>
      <w:r>
        <w:rPr>
          <w:sz w:val="22"/>
        </w:rPr>
        <w:t>OpenAI CEO Sam Altman本周就ChatGPT在加拿大Tumbler Ridge学校枪击案中的角色向该镇正式道歉。调查发现，嫌疑人曾在案发前向ChatGPT询问暴力场景描述。尽管OpenAI已封禁相关账户，但未向执法部门报警，引发批评。</w:t>
      </w:r>
    </w:p>
    <w:p>
      <w:pPr>
        <w:spacing w:line="440" w:lineRule="exact"/>
      </w:pPr>
      <w:r>
        <w:rPr>
          <w:sz w:val="22"/>
        </w:rPr>
        <w:t>Altman在声明中表示将"审查并改进"ChatGPT的安全机制，特别是针对暴力内容的过滤和预警系统。</w:t>
      </w:r>
    </w:p>
    <w:p>
      <w:pPr>
        <w:spacing w:line="120" w:lineRule="exact"/>
      </w:pPr>
    </w:p>
    <w:p>
      <w:pPr/>
      <w:r>
        <w:rPr>
          <w:b/>
          <w:sz w:val="24"/>
        </w:rPr>
        <w:t>5. 神秘AI模型"Mythos"后续影响持续</w:t>
      </w:r>
    </w:p>
    <w:p>
      <w:pPr>
        <w:spacing w:line="440" w:lineRule="exact"/>
      </w:pPr>
      <w:r>
        <w:rPr>
          <w:sz w:val="22"/>
        </w:rPr>
        <w:t>上周引发华盛顿与华尔街同时警觉的神秘AI模型"Mythos"的后续影响本周持续发酵。美国国会已开始就AI安全与监管问题举行闭门听证会，多位议员呼吁加速推进AI立法框架。金融监管机构则在审查该模型发布是否涉及内幕交易。</w:t>
      </w:r>
    </w:p>
    <w:p>
      <w:pPr>
        <w:spacing w:line="120" w:lineRule="exact"/>
      </w:pPr>
    </w:p>
    <w:p>
      <w:pPr>
        <w:spacing w:line="120" w:lineRule="exact"/>
      </w:pPr>
    </w:p>
    <w:p>
      <w:pPr/>
      <w:r>
        <w:rPr>
          <w:b/>
          <w:sz w:val="28"/>
        </w:rPr>
        <w:t>四、通信行业</w:t>
      </w:r>
    </w:p>
    <w:p>
      <w:pPr>
        <w:spacing w:line="120" w:lineRule="exact"/>
      </w:pPr>
    </w:p>
    <w:p>
      <w:pPr/>
      <w:r>
        <w:rPr>
          <w:b/>
          <w:sz w:val="24"/>
        </w:rPr>
        <w:t>1. 诺基亚：光学业务强劲，移动业务持续承压</w:t>
      </w:r>
    </w:p>
    <w:p>
      <w:pPr>
        <w:spacing w:line="440" w:lineRule="exact"/>
      </w:pPr>
      <w:r>
        <w:rPr>
          <w:sz w:val="22"/>
        </w:rPr>
        <w:t>诺基亚（Nokia）本周发布最新业绩数据，光学网络业务表现强劲，收入同比增长显著，主要受益于全球数据中心和光纤基础设施建设的持续扩张。然而，移动网络业务继续面临挑战——运营商在5G投资上保持谨慎，北美市场增速放缓。</w:t>
      </w:r>
    </w:p>
    <w:p>
      <w:pPr>
        <w:spacing w:line="440" w:lineRule="exact"/>
      </w:pPr>
      <w:r>
        <w:rPr>
          <w:sz w:val="22"/>
        </w:rPr>
        <w:t>诺基亚管理层表示，公司将继续执行"积极投资光学、审慎评估移动"的差异化战略。</w:t>
      </w:r>
    </w:p>
    <w:p>
      <w:pPr>
        <w:spacing w:line="120" w:lineRule="exact"/>
      </w:pPr>
    </w:p>
    <w:p>
      <w:pPr/>
      <w:r>
        <w:rPr>
          <w:b/>
          <w:sz w:val="24"/>
        </w:rPr>
        <w:t>2. Verizon CEO警告：AI将给电信业带来"末日"</w:t>
      </w:r>
    </w:p>
    <w:p>
      <w:pPr>
        <w:spacing w:line="440" w:lineRule="exact"/>
      </w:pPr>
      <w:r>
        <w:rPr>
          <w:sz w:val="22"/>
        </w:rPr>
        <w:t>Verizon CEO本周在公开场合再次表达对AI影响电信行业的深度担忧，警告称AI对传统电信商业模式的冲击可能超出行业预期。他指出，AI原生应用正在侵蚀运营商的传统语音和数据收入来源，同时AI驱动的竞争者（如大型云服务商）正在从边缘切入电信市场。</w:t>
      </w:r>
    </w:p>
    <w:p>
      <w:pPr>
        <w:spacing w:line="440" w:lineRule="exact"/>
      </w:pPr>
      <w:r>
        <w:rPr>
          <w:sz w:val="22"/>
        </w:rPr>
        <w:t>这与他今年早些时候的"AI末日论"一脉相承，反映出电信行业高管对AI颠覆性影响的焦虑正在加深。</w:t>
      </w:r>
    </w:p>
    <w:p>
      <w:pPr>
        <w:spacing w:line="120" w:lineRule="exact"/>
      </w:pPr>
    </w:p>
    <w:p>
      <w:pPr/>
      <w:r>
        <w:rPr>
          <w:b/>
          <w:sz w:val="24"/>
        </w:rPr>
        <w:t>3. Cisco实现量子网络技术突破</w:t>
      </w:r>
    </w:p>
    <w:p>
      <w:pPr>
        <w:spacing w:line="440" w:lineRule="exact"/>
      </w:pPr>
      <w:r>
        <w:rPr>
          <w:sz w:val="22"/>
        </w:rPr>
        <w:t>Cisco研究员本周宣布在量子网络领域取得重要进展，展示了在经典网络中集成量子密钥分发（QKD）技术的可行方案。这一突破对量子通信的商业化落地具有重要意义，被认为是量子互联网发展进程中的重要里程碑。</w:t>
      </w:r>
    </w:p>
    <w:p>
      <w:pPr>
        <w:spacing w:line="120" w:lineRule="exact"/>
      </w:pPr>
    </w:p>
    <w:p>
      <w:pPr/>
      <w:r>
        <w:rPr>
          <w:b/>
          <w:sz w:val="24"/>
        </w:rPr>
        <w:t>4. 中国运营商利润因税收上调和增长疲弱而下滑</w:t>
      </w:r>
    </w:p>
    <w:p>
      <w:pPr>
        <w:spacing w:line="440" w:lineRule="exact"/>
      </w:pPr>
      <w:r>
        <w:rPr>
          <w:sz w:val="22"/>
        </w:rPr>
        <w:t>据Light Reading报道，中国主要电信运营商最新季度利润普遍出现下滑，主要原因包括：国内税收政策上调以及移动用户增长见顶带来的收入压力。分析师指出，中国运营商正面临用户饱和与ARPU（每用户平均收入）持续下降的双重挑战，亟需寻找新的增长引擎。</w:t>
      </w:r>
    </w:p>
    <w:p>
      <w:pPr>
        <w:spacing w:line="120" w:lineRule="exact"/>
      </w:pPr>
    </w:p>
    <w:p>
      <w:pPr/>
      <w:r>
        <w:rPr>
          <w:b/>
          <w:sz w:val="24"/>
        </w:rPr>
        <w:t>5. Render Networks收购mPower，加速FTTH扩张</w:t>
      </w:r>
    </w:p>
    <w:p>
      <w:pPr>
        <w:spacing w:line="440" w:lineRule="exact"/>
      </w:pPr>
      <w:r>
        <w:rPr>
          <w:sz w:val="22"/>
        </w:rPr>
        <w:t>Render Networks本周宣布完成对mPower的收购，后者专注于光纤网络规划与设计自动化。Render Networks是澳洲领先的FTTH（光纤到户）网络建设服务商，此次收购被普遍视为其扩大全球市场份额、提升服务能力的重要战略举措。</w:t>
      </w:r>
    </w:p>
    <w:p>
      <w:pPr>
        <w:spacing w:line="120" w:lineRule="exact"/>
      </w:pPr>
    </w:p>
    <w:p>
      <w:pPr/>
      <w:r>
        <w:rPr>
          <w:b/>
          <w:sz w:val="24"/>
        </w:rPr>
        <w:t>6. Midco揭示5G移动套餐定价策略</w:t>
      </w:r>
    </w:p>
    <w:p>
      <w:pPr>
        <w:spacing w:line="440" w:lineRule="exact"/>
      </w:pPr>
      <w:r>
        <w:rPr>
          <w:sz w:val="22"/>
        </w:rPr>
        <w:t>美国有线和移动运营商Midco本周发布了其5G移动服务的完整定价和套餐结构，展示了在竞争激烈的移动市场中如何通过捆绑服务和差异化定价吸引用户。分析师指出，随着5G网络覆盖的成熟，运营商正在从"流量兜售"向"价值捆绑"转型。</w:t>
      </w:r>
    </w:p>
    <w:p>
      <w:pPr>
        <w:spacing w:line="120" w:lineRule="exact"/>
      </w:pPr>
    </w:p>
    <w:p>
      <w:pPr>
        <w:spacing w:line="120" w:lineRule="exact"/>
      </w:pPr>
    </w:p>
    <w:p>
      <w:pPr/>
      <w:r>
        <w:rPr>
          <w:b/>
          <w:sz w:val="28"/>
        </w:rPr>
        <w:t>五、本周重点关注</w:t>
      </w:r>
    </w:p>
    <w:p>
      <w:pPr>
        <w:spacing w:line="120" w:lineRule="exact"/>
      </w:pPr>
    </w:p>
    <w:p>
      <w:pPr>
        <w:spacing w:line="440" w:lineRule="exact"/>
      </w:pPr>
      <w:r>
        <w:rPr>
          <w:b/>
          <w:sz w:val="22"/>
        </w:rPr>
        <w:t xml:space="preserve">🚨 </w:t>
      </w:r>
      <w:r>
        <w:rPr>
          <w:sz w:val="22"/>
        </w:rPr>
        <w:t>最高优先级：霍尔木兹海峡局势演化</w:t>
      </w:r>
    </w:p>
    <w:p>
      <w:pPr>
        <w:spacing w:line="440" w:lineRule="exact"/>
      </w:pPr>
      <w:r>
        <w:rPr>
          <w:sz w:val="22"/>
        </w:rPr>
        <w:t>美伊战争走向与霍尔木兹海峡封锁的可持续性仍是影响全球能源、航运、金融市场的最大变量。谈判路径反复，但结构性对抗格局未变，需持续密切跟踪。</w:t>
      </w:r>
    </w:p>
    <w:p>
      <w:pPr>
        <w:spacing w:line="120" w:lineRule="exact"/>
      </w:pPr>
    </w:p>
    <w:p>
      <w:pPr>
        <w:spacing w:line="440" w:lineRule="exact"/>
      </w:pPr>
      <w:r>
        <w:rPr>
          <w:b/>
          <w:sz w:val="22"/>
        </w:rPr>
        <w:t xml:space="preserve">⚠️ </w:t>
      </w:r>
      <w:r>
        <w:rPr>
          <w:sz w:val="22"/>
        </w:rPr>
        <w:t>重要关注：AI监管风暴升级</w:t>
      </w:r>
    </w:p>
    <w:p>
      <w:pPr>
        <w:spacing w:line="440" w:lineRule="exact"/>
      </w:pPr>
      <w:r>
        <w:rPr>
          <w:sz w:val="22"/>
        </w:rPr>
        <w:t>"Mythos"模型后续引发的国会听证和金融监管调查，标志着AI能力跃迁正在加速触发系统性监管响应。全球AI治理框架可能在未来数月内加速成型。</w:t>
      </w:r>
    </w:p>
    <w:p>
      <w:pPr>
        <w:spacing w:line="120" w:lineRule="exact"/>
      </w:pPr>
    </w:p>
    <w:p>
      <w:pPr>
        <w:spacing w:line="440" w:lineRule="exact"/>
      </w:pPr>
      <w:r>
        <w:rPr>
          <w:b/>
          <w:sz w:val="22"/>
        </w:rPr>
        <w:t xml:space="preserve">📊 </w:t>
      </w:r>
      <w:r>
        <w:rPr>
          <w:sz w:val="22"/>
        </w:rPr>
        <w:t>AI对电信业的颠覆性影响</w:t>
      </w:r>
    </w:p>
    <w:p>
      <w:pPr>
        <w:spacing w:line="440" w:lineRule="exact"/>
      </w:pPr>
      <w:r>
        <w:rPr>
          <w:sz w:val="22"/>
        </w:rPr>
        <w:t>Verizon CEO的"AI末日论"代表了电信行业对AI冲击的深度焦虑。随着AI原生应用和云厂商的边缘切入，传统运营商的转型压力正在从"可选项"变为"必选项"。</w:t>
      </w:r>
    </w:p>
    <w:p>
      <w:pPr>
        <w:spacing w:line="120" w:lineRule="exact"/>
      </w:pPr>
    </w:p>
    <w:p>
      <w:pPr>
        <w:spacing w:line="440" w:lineRule="exact"/>
      </w:pPr>
      <w:r>
        <w:rPr>
          <w:b/>
          <w:sz w:val="22"/>
        </w:rPr>
        <w:t xml:space="preserve">🔄 </w:t>
      </w:r>
      <w:r>
        <w:rPr>
          <w:sz w:val="22"/>
        </w:rPr>
        <w:t>欧洲政治生态右转加速</w:t>
      </w:r>
    </w:p>
    <w:p>
      <w:pPr>
        <w:spacing w:line="440" w:lineRule="exact"/>
      </w:pPr>
      <w:r>
        <w:rPr>
          <w:sz w:val="22"/>
        </w:rPr>
        <w:t>德国选择党等右翼政党在选举中持续突破，法国极右翼民调领先，整个欧洲政治生态右转趋势明显。对外交、贸易、安全政策的长期影响值得高度关注。</w:t>
      </w:r>
    </w:p>
    <w:p>
      <w:pPr>
        <w:spacing w:line="120" w:lineRule="exact"/>
      </w:pPr>
    </w:p>
    <w:p>
      <w:pPr>
        <w:spacing w:line="120" w:lineRule="exact"/>
      </w:pPr>
    </w:p>
    <w:p>
      <w:pPr>
        <w:jc w:val="center"/>
      </w:pPr>
      <w:r>
        <w:rPr>
          <w:sz w:val="22"/>
        </w:rPr>
        <w:t>—— 全文完 ——</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