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webextensions/taskpanes.xml" ContentType="application/vnd.ms-office.webextensiontaskpanes+xml"/>
  <Override PartName="/word/webextensions/webextension1.xml" ContentType="application/vnd.ms-office.webextension+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docMetadata/LabelInfo.xml" ContentType="application/vnd.ms-office.classificationlabel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microsoft.com/office/2011/relationships/webextensiontaskpanes" Target="word/webextensions/taskpanes.xml"/><Relationship Id="rId1" Type="http://schemas.openxmlformats.org/officeDocument/2006/relationships/officeDocument" Target="word/document.xml"/><Relationship Id="rId6" Type="http://schemas.microsoft.com/office/2020/02/relationships/classificationlabels" Target="docMetadata/LabelInfo.xml"/><Relationship Id="rId5" Type="http://schemas.openxmlformats.org/officeDocument/2006/relationships/custom-properties" Target="docProps/custom.xml"/><Relationship Id="rId4" Type="http://schemas.openxmlformats.org/officeDocument/2006/relationships/extended-properties" Target="docProps/app.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2B7C1E9" w14:textId="648F44E2" w:rsidR="003E394E" w:rsidRPr="00611AB3" w:rsidRDefault="003E394E" w:rsidP="004E1CA4">
      <w:pPr>
        <w:rPr>
          <w:rFonts w:ascii="Times New Roman" w:hAnsi="Times New Roman" w:cs="Times New Roman"/>
          <w:sz w:val="24"/>
          <w:szCs w:val="24"/>
        </w:rPr>
      </w:pPr>
      <w:r w:rsidRPr="00611AB3">
        <w:rPr>
          <w:rFonts w:ascii="Times New Roman" w:hAnsi="Times New Roman" w:cs="Times New Roman"/>
          <w:sz w:val="24"/>
          <w:szCs w:val="24"/>
        </w:rPr>
        <w:t xml:space="preserve">Dear </w:t>
      </w:r>
      <w:r w:rsidR="007A73AE" w:rsidRPr="00611AB3">
        <w:rPr>
          <w:rFonts w:ascii="Times New Roman" w:hAnsi="Times New Roman" w:cs="Times New Roman"/>
          <w:sz w:val="24"/>
          <w:szCs w:val="24"/>
        </w:rPr>
        <w:t>Dr. Buongiorno</w:t>
      </w:r>
      <w:r w:rsidR="00B170E9" w:rsidRPr="00611AB3">
        <w:rPr>
          <w:rFonts w:ascii="Times New Roman" w:hAnsi="Times New Roman" w:cs="Times New Roman"/>
          <w:sz w:val="24"/>
          <w:szCs w:val="24"/>
        </w:rPr>
        <w:t>,</w:t>
      </w:r>
    </w:p>
    <w:p w14:paraId="0775301E" w14:textId="19A99A47" w:rsidR="001C7A70" w:rsidRDefault="003E394E" w:rsidP="004E1CA4">
      <w:pPr>
        <w:rPr>
          <w:rFonts w:ascii="Times New Roman" w:hAnsi="Times New Roman" w:cs="Times New Roman"/>
          <w:sz w:val="24"/>
          <w:szCs w:val="24"/>
        </w:rPr>
      </w:pPr>
      <w:r w:rsidRPr="00611AB3">
        <w:rPr>
          <w:rFonts w:ascii="Times New Roman" w:hAnsi="Times New Roman" w:cs="Times New Roman"/>
          <w:sz w:val="24"/>
          <w:szCs w:val="24"/>
        </w:rPr>
        <w:t xml:space="preserve">We would like to sincerely thank you and the reviewers for the time and effort invested in evaluating our manuscript, </w:t>
      </w:r>
      <w:r w:rsidRPr="00611AB3">
        <w:rPr>
          <w:rFonts w:ascii="Times New Roman" w:hAnsi="Times New Roman" w:cs="Times New Roman"/>
          <w:i/>
          <w:iCs/>
          <w:sz w:val="24"/>
          <w:szCs w:val="24"/>
          <w:lang w:val="en-GB"/>
        </w:rPr>
        <w:t>"</w:t>
      </w:r>
      <w:r w:rsidR="004C6C78" w:rsidRPr="00611AB3">
        <w:rPr>
          <w:rFonts w:ascii="Times New Roman" w:hAnsi="Times New Roman" w:cs="Times New Roman"/>
          <w:i/>
          <w:iCs/>
          <w:sz w:val="24"/>
          <w:szCs w:val="24"/>
          <w:lang w:val="en-GB"/>
        </w:rPr>
        <w:t>Spatial redistribution of a globally constant marine biological carbon pump</w:t>
      </w:r>
      <w:r w:rsidRPr="00611AB3">
        <w:rPr>
          <w:rFonts w:ascii="Times New Roman" w:hAnsi="Times New Roman" w:cs="Times New Roman"/>
          <w:i/>
          <w:iCs/>
          <w:sz w:val="24"/>
          <w:szCs w:val="24"/>
          <w:lang w:val="en-GB"/>
        </w:rPr>
        <w:t xml:space="preserve">". </w:t>
      </w:r>
      <w:r w:rsidRPr="00611AB3">
        <w:rPr>
          <w:rFonts w:ascii="Times New Roman" w:hAnsi="Times New Roman" w:cs="Times New Roman"/>
          <w:sz w:val="24"/>
          <w:szCs w:val="24"/>
        </w:rPr>
        <w:t>We greatly appreciate the constructive feedback and the opportunity to provide an appeal.</w:t>
      </w:r>
      <w:r w:rsidR="00103C4C">
        <w:rPr>
          <w:rFonts w:ascii="Times New Roman" w:hAnsi="Times New Roman" w:cs="Times New Roman"/>
          <w:sz w:val="24"/>
          <w:szCs w:val="24"/>
        </w:rPr>
        <w:t xml:space="preserve"> </w:t>
      </w:r>
      <w:r w:rsidR="00EB5E90" w:rsidRPr="00611AB3">
        <w:rPr>
          <w:rFonts w:ascii="Times New Roman" w:hAnsi="Times New Roman" w:cs="Times New Roman"/>
          <w:sz w:val="24"/>
          <w:szCs w:val="24"/>
        </w:rPr>
        <w:t>Across the reviews and the editorial assessment, three major concerns were raised</w:t>
      </w:r>
      <w:r w:rsidR="00EC0A67">
        <w:rPr>
          <w:rFonts w:ascii="Times New Roman" w:hAnsi="Times New Roman" w:cs="Times New Roman"/>
          <w:sz w:val="24"/>
          <w:szCs w:val="24"/>
        </w:rPr>
        <w:t xml:space="preserve"> which we would like to argue </w:t>
      </w:r>
      <w:r w:rsidR="003F4B6C">
        <w:rPr>
          <w:rFonts w:ascii="Times New Roman" w:hAnsi="Times New Roman" w:cs="Times New Roman"/>
          <w:sz w:val="24"/>
          <w:szCs w:val="24"/>
        </w:rPr>
        <w:t>were relatively straightforward to address</w:t>
      </w:r>
      <w:r w:rsidR="00EB5E90" w:rsidRPr="00611AB3">
        <w:rPr>
          <w:rFonts w:ascii="Times New Roman" w:hAnsi="Times New Roman" w:cs="Times New Roman"/>
          <w:sz w:val="24"/>
          <w:szCs w:val="24"/>
        </w:rPr>
        <w:t>:</w:t>
      </w:r>
    </w:p>
    <w:p w14:paraId="57233B57" w14:textId="6675160E" w:rsidR="00691870" w:rsidRDefault="00691870" w:rsidP="004E1CA4">
      <w:pPr>
        <w:rPr>
          <w:rFonts w:ascii="Times New Roman" w:hAnsi="Times New Roman" w:cs="Times New Roman"/>
          <w:b/>
          <w:bCs/>
          <w:sz w:val="24"/>
          <w:szCs w:val="24"/>
        </w:rPr>
      </w:pPr>
      <w:r>
        <w:rPr>
          <w:rFonts w:ascii="Times New Roman" w:hAnsi="Times New Roman" w:cs="Times New Roman"/>
          <w:b/>
          <w:bCs/>
          <w:sz w:val="24"/>
          <w:szCs w:val="24"/>
        </w:rPr>
        <w:t>1</w:t>
      </w:r>
      <w:r w:rsidRPr="00611AB3">
        <w:rPr>
          <w:rFonts w:ascii="Times New Roman" w:hAnsi="Times New Roman" w:cs="Times New Roman"/>
          <w:b/>
          <w:bCs/>
          <w:sz w:val="24"/>
          <w:szCs w:val="24"/>
        </w:rPr>
        <w:t>. Robustness of the results with respect to oxygen data products</w:t>
      </w:r>
    </w:p>
    <w:p w14:paraId="5176E334" w14:textId="38D1A4F6" w:rsidR="003F481E" w:rsidRDefault="00E1361F" w:rsidP="004E1CA4">
      <w:pPr>
        <w:pStyle w:val="NormalWeb"/>
      </w:pPr>
      <w:r>
        <w:t xml:space="preserve">We have substantially strengthened the </w:t>
      </w:r>
      <w:r w:rsidR="003F4B6C">
        <w:t xml:space="preserve">revised </w:t>
      </w:r>
      <w:r>
        <w:t>manuscript by introducing a direct comparison with an independent global oxygen reconstruction, ML</w:t>
      </w:r>
      <w:r w:rsidRPr="00E1361F">
        <w:rPr>
          <w:vertAlign w:val="subscript"/>
        </w:rPr>
        <w:t>4</w:t>
      </w:r>
      <w:r>
        <w:t>O</w:t>
      </w:r>
      <w:r w:rsidRPr="00E1361F">
        <w:rPr>
          <w:vertAlign w:val="subscript"/>
        </w:rPr>
        <w:t>2</w:t>
      </w:r>
      <w:r>
        <w:t xml:space="preserve"> (Ito et al., 2024</w:t>
      </w:r>
      <w:r w:rsidR="004379C8">
        <w:t xml:space="preserve">; </w:t>
      </w:r>
      <w:r w:rsidR="009F1064">
        <w:t xml:space="preserve">as </w:t>
      </w:r>
      <w:r w:rsidR="004379C8">
        <w:t>suggested by the reviewers</w:t>
      </w:r>
      <w:r w:rsidR="004F7009">
        <w:t xml:space="preserve">; see </w:t>
      </w:r>
      <w:r w:rsidR="004F7009" w:rsidRPr="0007475E">
        <w:t xml:space="preserve">p. </w:t>
      </w:r>
      <w:r w:rsidR="004F7009">
        <w:t>3</w:t>
      </w:r>
      <w:r w:rsidR="004F7009" w:rsidRPr="0007475E">
        <w:t xml:space="preserve"> of this letter</w:t>
      </w:r>
      <w:r>
        <w:t>), which is based on a distinct machine-learning mapping framework with different predictor choices, training strategies, and uncertainty formulations. Two new Supplementary Figures (Figs. S3 and S4) present a side-by-side comparison of thickness-weighted mean oxygen trends over the 0–1000 m depth range for the common 200</w:t>
      </w:r>
      <w:r w:rsidR="00E417C6">
        <w:t>4</w:t>
      </w:r>
      <w:r>
        <w:t>–2020 period, as well as a spatially explicit map of regions where the sign of the oxygen trend differs between the two products.</w:t>
      </w:r>
      <w:r w:rsidR="003F481E" w:rsidRPr="003F481E">
        <w:t xml:space="preserve"> </w:t>
      </w:r>
      <w:r w:rsidR="003F481E">
        <w:t>Their interpretation</w:t>
      </w:r>
      <w:r w:rsidR="00935301">
        <w:t>s</w:t>
      </w:r>
      <w:r w:rsidR="003F481E">
        <w:t xml:space="preserve"> are presented in a new Supplementary Text (Text S1</w:t>
      </w:r>
      <w:r w:rsidR="00B3690B">
        <w:t>, see p. 3 of this letter</w:t>
      </w:r>
      <w:r w:rsidR="003F481E">
        <w:t>), where we explicitly describe the methodological differences between GOBAI-O</w:t>
      </w:r>
      <w:r w:rsidR="00E76C49" w:rsidRPr="00E76C49">
        <w:rPr>
          <w:vertAlign w:val="subscript"/>
        </w:rPr>
        <w:t>2</w:t>
      </w:r>
      <w:r w:rsidR="003F481E">
        <w:t xml:space="preserve"> and ML</w:t>
      </w:r>
      <w:r w:rsidR="003F481E" w:rsidRPr="00E76C49">
        <w:rPr>
          <w:vertAlign w:val="subscript"/>
        </w:rPr>
        <w:t>4</w:t>
      </w:r>
      <w:r w:rsidR="003F481E">
        <w:t>O</w:t>
      </w:r>
      <w:r w:rsidR="003F481E" w:rsidRPr="00E76C49">
        <w:rPr>
          <w:vertAlign w:val="subscript"/>
        </w:rPr>
        <w:t>2</w:t>
      </w:r>
      <w:r w:rsidR="003F481E">
        <w:t xml:space="preserve"> and discuss how localized discrepancies can arise from distinct predictor choices, regionalization strategies, and training designs</w:t>
      </w:r>
      <w:r w:rsidR="00FD7A8C">
        <w:t>. Th</w:t>
      </w:r>
      <w:r>
        <w:t xml:space="preserve">e large-scale basin patterns of oxygen change are highly consistent across </w:t>
      </w:r>
      <w:r w:rsidR="005079D0">
        <w:t xml:space="preserve">both </w:t>
      </w:r>
      <w:r>
        <w:t xml:space="preserve">reconstructions. </w:t>
      </w:r>
      <w:r w:rsidR="006C1EE1" w:rsidRPr="006C1EE1">
        <w:rPr>
          <w:u w:val="single"/>
        </w:rPr>
        <w:t xml:space="preserve">Quantitatively, sign disagreement between the two products is limited to 15.1% of valid ocean grid cells globally (i.e. 84.9% sign agreement). More importantly, </w:t>
      </w:r>
      <w:r w:rsidR="00A43F66">
        <w:rPr>
          <w:u w:val="single"/>
        </w:rPr>
        <w:t xml:space="preserve">this means that </w:t>
      </w:r>
      <w:r w:rsidR="006C1EE1" w:rsidRPr="006C1EE1">
        <w:rPr>
          <w:u w:val="single"/>
        </w:rPr>
        <w:t>only 7.90% of valid ocean grid cells show sign disagreement in regions where GOBAI-O</w:t>
      </w:r>
      <w:r w:rsidR="006C1EE1" w:rsidRPr="00A43F66">
        <w:rPr>
          <w:u w:val="single"/>
          <w:vertAlign w:val="subscript"/>
        </w:rPr>
        <w:t>2</w:t>
      </w:r>
      <w:r w:rsidR="006C1EE1" w:rsidRPr="006C1EE1">
        <w:rPr>
          <w:u w:val="single"/>
        </w:rPr>
        <w:t xml:space="preserve"> indicates a statistically significant trend, meaning that product disagreement is confined to a relatively small fraction of the ocean in the part of the signal that is most relevant for interpretation.</w:t>
      </w:r>
      <w:r w:rsidR="006C1EE1" w:rsidRPr="006C1EE1">
        <w:t xml:space="preserve"> The remaining discrepancies are either associated with non-significant GOBAI-O</w:t>
      </w:r>
      <w:r w:rsidR="006C1EE1" w:rsidRPr="00A43F66">
        <w:rPr>
          <w:vertAlign w:val="subscript"/>
        </w:rPr>
        <w:t>2</w:t>
      </w:r>
      <w:r w:rsidR="006C1EE1" w:rsidRPr="006C1EE1">
        <w:t xml:space="preserve"> trends or are geographically localized, occurring mainly in specific regions such as parts of the tropical Indian Ocean and equatorial Pacific rather than as a basin-scale inconsistency (Fig. S4).</w:t>
      </w:r>
      <w:r w:rsidR="00EB5784">
        <w:t xml:space="preserve"> </w:t>
      </w:r>
      <w:r w:rsidR="00850D61" w:rsidRPr="00850D61">
        <w:t>These localized discrepancies are explicitly discussed both in the ma</w:t>
      </w:r>
      <w:r w:rsidR="00B468BF">
        <w:t xml:space="preserve">nuscript </w:t>
      </w:r>
      <w:r w:rsidR="00850D61" w:rsidRPr="00850D61">
        <w:t>and in the Supplementary Material (Text S1), where we relate them to methodological differences between reconstructions and regional dynamical regimes, rather than to data artefacts or oxygen data sparsity.</w:t>
      </w:r>
      <w:r w:rsidR="007C70CC">
        <w:t xml:space="preserve"> Together this </w:t>
      </w:r>
      <w:r w:rsidR="002E16D3">
        <w:t xml:space="preserve">shows the robustness the oxygen data product used here. </w:t>
      </w:r>
      <w:r w:rsidR="007C70CC">
        <w:t xml:space="preserve"> </w:t>
      </w:r>
    </w:p>
    <w:p w14:paraId="36452D85" w14:textId="5BF497F8" w:rsidR="00F3268F" w:rsidRDefault="00691870" w:rsidP="004E1CA4">
      <w:pPr>
        <w:pStyle w:val="NormalWeb"/>
        <w:rPr>
          <w:b/>
          <w:bCs/>
        </w:rPr>
      </w:pPr>
      <w:r>
        <w:rPr>
          <w:b/>
          <w:bCs/>
        </w:rPr>
        <w:t>2</w:t>
      </w:r>
      <w:r w:rsidR="00A43D05" w:rsidRPr="00611AB3">
        <w:rPr>
          <w:b/>
          <w:bCs/>
        </w:rPr>
        <w:t xml:space="preserve">. </w:t>
      </w:r>
      <w:r w:rsidR="008307F9" w:rsidRPr="00611AB3">
        <w:rPr>
          <w:b/>
          <w:bCs/>
        </w:rPr>
        <w:t xml:space="preserve">Strength of evidence supporting mechanistic interpretations </w:t>
      </w:r>
    </w:p>
    <w:p w14:paraId="1B4A8E00" w14:textId="0FEFCAEB" w:rsidR="00A4707B" w:rsidRDefault="00A4707B" w:rsidP="004E1CA4">
      <w:pPr>
        <w:pStyle w:val="NormalWeb"/>
      </w:pPr>
      <w:r>
        <w:t xml:space="preserve">Reviewers expressed concern that several interpretations in the original manuscript implied mechanistic attribution (e.g., to export, remineralization depth, circulation, or stratification) without independent </w:t>
      </w:r>
      <w:r w:rsidR="00B2102C">
        <w:t>evidence</w:t>
      </w:r>
      <w:r>
        <w:t xml:space="preserve">. </w:t>
      </w:r>
      <w:r w:rsidR="00B679F0">
        <w:t xml:space="preserve">This attribution is, however, not central in our </w:t>
      </w:r>
      <w:r w:rsidR="005E1A3A">
        <w:t xml:space="preserve">study and hence </w:t>
      </w:r>
      <w:r>
        <w:t>the revised manuscript, we remove</w:t>
      </w:r>
      <w:r w:rsidR="00B2102C">
        <w:t>d</w:t>
      </w:r>
      <w:r>
        <w:t xml:space="preserve"> causal language where such attribution is not warranted. We now explicitly interpret changes in DIC</w:t>
      </w:r>
      <w:r w:rsidRPr="00A4707B">
        <w:rPr>
          <w:vertAlign w:val="subscript"/>
        </w:rPr>
        <w:t>soft</w:t>
      </w:r>
      <w:r>
        <w:t xml:space="preserve"> as a diagnostic of redistribution </w:t>
      </w:r>
      <w:r w:rsidR="003709C2">
        <w:t>only</w:t>
      </w:r>
      <w:r>
        <w:t xml:space="preserve">. Regional patterns are consistently framed as physically consistent with—but not attributable to—changes in stratification, ventilation, or biological export. </w:t>
      </w:r>
      <w:r w:rsidR="00FE1DE6" w:rsidRPr="00047B45">
        <w:rPr>
          <w:u w:val="single"/>
        </w:rPr>
        <w:t xml:space="preserve">To further constrain interpretation, we </w:t>
      </w:r>
      <w:r w:rsidR="00A25D1C" w:rsidRPr="00047B45">
        <w:rPr>
          <w:u w:val="single"/>
        </w:rPr>
        <w:t>conducted a</w:t>
      </w:r>
      <w:r w:rsidR="00121209" w:rsidRPr="00047B45">
        <w:rPr>
          <w:u w:val="single"/>
        </w:rPr>
        <w:t>n additional</w:t>
      </w:r>
      <w:r w:rsidR="00A25D1C" w:rsidRPr="00047B45">
        <w:rPr>
          <w:u w:val="single"/>
        </w:rPr>
        <w:t xml:space="preserve"> full, </w:t>
      </w:r>
      <w:r w:rsidR="00FE1DE6" w:rsidRPr="00047B45">
        <w:rPr>
          <w:u w:val="single"/>
        </w:rPr>
        <w:t xml:space="preserve">independent physical </w:t>
      </w:r>
      <w:r w:rsidR="006872AA" w:rsidRPr="00047B45">
        <w:rPr>
          <w:u w:val="single"/>
        </w:rPr>
        <w:t>analysis</w:t>
      </w:r>
      <w:r w:rsidR="00FE1DE6" w:rsidRPr="00047B45">
        <w:rPr>
          <w:u w:val="single"/>
        </w:rPr>
        <w:t xml:space="preserve"> (buoyancy frequency and ideal age</w:t>
      </w:r>
      <w:r w:rsidR="006C5C31" w:rsidRPr="00047B45">
        <w:rPr>
          <w:u w:val="single"/>
        </w:rPr>
        <w:t xml:space="preserve">, now a new Figure </w:t>
      </w:r>
      <w:r w:rsidR="00B24048">
        <w:rPr>
          <w:u w:val="single"/>
        </w:rPr>
        <w:t>3</w:t>
      </w:r>
      <w:r w:rsidR="00FE1DE6" w:rsidRPr="00047B45">
        <w:rPr>
          <w:u w:val="single"/>
        </w:rPr>
        <w:t>) and explicitly acknowledge alternative explanations and the role of internal variability</w:t>
      </w:r>
      <w:r w:rsidR="0007475E" w:rsidRPr="00047B45">
        <w:rPr>
          <w:u w:val="single"/>
        </w:rPr>
        <w:t xml:space="preserve"> (details of these diagnostics are summarized on p. </w:t>
      </w:r>
      <w:r w:rsidR="00415572" w:rsidRPr="00047B45">
        <w:rPr>
          <w:u w:val="single"/>
        </w:rPr>
        <w:t>4</w:t>
      </w:r>
      <w:r w:rsidR="0007475E" w:rsidRPr="00047B45">
        <w:rPr>
          <w:u w:val="single"/>
        </w:rPr>
        <w:t xml:space="preserve"> of this letter).</w:t>
      </w:r>
      <w:r w:rsidR="0007475E">
        <w:t xml:space="preserve"> </w:t>
      </w:r>
      <w:r w:rsidR="0066499D" w:rsidRPr="00FE1DE6">
        <w:t xml:space="preserve">Dr. Lynne D. Talley </w:t>
      </w:r>
      <w:r w:rsidR="0066499D">
        <w:t xml:space="preserve">has been added </w:t>
      </w:r>
      <w:r w:rsidR="0066499D" w:rsidRPr="00FE1DE6">
        <w:t xml:space="preserve">as a co-author </w:t>
      </w:r>
      <w:r w:rsidR="0066499D">
        <w:t>t</w:t>
      </w:r>
      <w:r w:rsidR="00FE1DE6" w:rsidRPr="00FE1DE6">
        <w:t xml:space="preserve">o ensure the physical </w:t>
      </w:r>
      <w:r w:rsidR="0066499D">
        <w:t xml:space="preserve">oceanographic </w:t>
      </w:r>
      <w:r w:rsidR="00FE1DE6" w:rsidRPr="00FE1DE6">
        <w:t xml:space="preserve">consistency of </w:t>
      </w:r>
      <w:r w:rsidR="0066499D">
        <w:t xml:space="preserve">our </w:t>
      </w:r>
      <w:r w:rsidR="00FE1DE6" w:rsidRPr="00FE1DE6">
        <w:t xml:space="preserve">revised interpretation </w:t>
      </w:r>
      <w:r w:rsidR="00632849">
        <w:t>All t</w:t>
      </w:r>
      <w:r w:rsidR="00632849" w:rsidRPr="00FE1DE6">
        <w:t xml:space="preserve">hese </w:t>
      </w:r>
      <w:r w:rsidR="00FE1DE6" w:rsidRPr="00FE1DE6">
        <w:t xml:space="preserve">revisions directly address the </w:t>
      </w:r>
      <w:r w:rsidR="009F09B1">
        <w:t xml:space="preserve">main </w:t>
      </w:r>
      <w:r w:rsidR="00FE1DE6" w:rsidRPr="00FE1DE6">
        <w:t xml:space="preserve">concern </w:t>
      </w:r>
      <w:r w:rsidR="009F09B1">
        <w:t xml:space="preserve">raised, </w:t>
      </w:r>
      <w:r w:rsidR="00FE1DE6" w:rsidRPr="00FE1DE6">
        <w:t xml:space="preserve">that </w:t>
      </w:r>
      <w:r w:rsidR="00FE1DE6" w:rsidRPr="00FE1DE6">
        <w:lastRenderedPageBreak/>
        <w:t>interpretations were speculative</w:t>
      </w:r>
      <w:r w:rsidR="00632849">
        <w:t>, now</w:t>
      </w:r>
      <w:r w:rsidR="00FE1DE6" w:rsidRPr="00FE1DE6">
        <w:t xml:space="preserve"> ensuring they </w:t>
      </w:r>
      <w:r w:rsidR="00632849">
        <w:t>are</w:t>
      </w:r>
      <w:r w:rsidR="00632849" w:rsidRPr="00FE1DE6">
        <w:t xml:space="preserve"> </w:t>
      </w:r>
      <w:r w:rsidR="00FE1DE6" w:rsidRPr="00FE1DE6">
        <w:t xml:space="preserve">observationally grounded and </w:t>
      </w:r>
      <w:r w:rsidR="00E406B8">
        <w:t>not</w:t>
      </w:r>
      <w:r w:rsidR="00E406B8" w:rsidRPr="00FE1DE6">
        <w:t xml:space="preserve"> attributive</w:t>
      </w:r>
      <w:r w:rsidR="00FE1DE6" w:rsidRPr="00FE1DE6">
        <w:t>.</w:t>
      </w:r>
    </w:p>
    <w:p w14:paraId="28455B14" w14:textId="761CC006" w:rsidR="00EB4E1F" w:rsidRDefault="00691870" w:rsidP="004E1CA4">
      <w:pPr>
        <w:pStyle w:val="NormalWeb"/>
        <w:rPr>
          <w:b/>
          <w:bCs/>
        </w:rPr>
      </w:pPr>
      <w:r>
        <w:rPr>
          <w:b/>
          <w:bCs/>
        </w:rPr>
        <w:t>3</w:t>
      </w:r>
      <w:r w:rsidR="00A43D05" w:rsidRPr="00611AB3">
        <w:rPr>
          <w:b/>
          <w:bCs/>
        </w:rPr>
        <w:t xml:space="preserve">. </w:t>
      </w:r>
      <w:r w:rsidR="004356E3" w:rsidRPr="00611AB3">
        <w:rPr>
          <w:b/>
          <w:bCs/>
        </w:rPr>
        <w:t>Interpretation of trends over a relatively short observational time scale</w:t>
      </w:r>
    </w:p>
    <w:p w14:paraId="6CA2AE7B" w14:textId="15DFE3C0" w:rsidR="00586DB0" w:rsidRDefault="00BB5FE6" w:rsidP="00BB5FE6">
      <w:pPr>
        <w:rPr>
          <w:rFonts w:ascii="Times New Roman" w:hAnsi="Times New Roman" w:cs="Times New Roman"/>
          <w:sz w:val="24"/>
          <w:szCs w:val="24"/>
        </w:rPr>
      </w:pPr>
      <w:r w:rsidRPr="00BB5FE6">
        <w:rPr>
          <w:rFonts w:ascii="Times New Roman" w:hAnsi="Times New Roman" w:cs="Times New Roman"/>
          <w:sz w:val="24"/>
          <w:szCs w:val="24"/>
        </w:rPr>
        <w:t xml:space="preserve">The editor and reviewers raised concerns that the 2004–2022 period is too short to robustly infer externally forced or irreversible changes in the biological carbon pump. We agree that </w:t>
      </w:r>
      <w:r w:rsidR="00B54C22">
        <w:rPr>
          <w:rFonts w:ascii="Times New Roman" w:hAnsi="Times New Roman" w:cs="Times New Roman"/>
          <w:sz w:val="24"/>
          <w:szCs w:val="24"/>
        </w:rPr>
        <w:t>the limited</w:t>
      </w:r>
      <w:r w:rsidR="00B54C22" w:rsidRPr="00BB5FE6">
        <w:rPr>
          <w:rFonts w:ascii="Times New Roman" w:hAnsi="Times New Roman" w:cs="Times New Roman"/>
          <w:sz w:val="24"/>
          <w:szCs w:val="24"/>
        </w:rPr>
        <w:t xml:space="preserve"> </w:t>
      </w:r>
      <w:r w:rsidRPr="00BB5FE6">
        <w:rPr>
          <w:rFonts w:ascii="Times New Roman" w:hAnsi="Times New Roman" w:cs="Times New Roman"/>
          <w:sz w:val="24"/>
          <w:szCs w:val="24"/>
        </w:rPr>
        <w:t xml:space="preserve">time span </w:t>
      </w:r>
      <w:r w:rsidR="00B54C22">
        <w:rPr>
          <w:rFonts w:ascii="Times New Roman" w:hAnsi="Times New Roman" w:cs="Times New Roman"/>
          <w:sz w:val="24"/>
          <w:szCs w:val="24"/>
        </w:rPr>
        <w:t>makes</w:t>
      </w:r>
      <w:r w:rsidR="00B54C22" w:rsidRPr="00BB5FE6">
        <w:rPr>
          <w:rFonts w:ascii="Times New Roman" w:hAnsi="Times New Roman" w:cs="Times New Roman"/>
          <w:sz w:val="24"/>
          <w:szCs w:val="24"/>
        </w:rPr>
        <w:t xml:space="preserve"> </w:t>
      </w:r>
      <w:r w:rsidRPr="00BB5FE6">
        <w:rPr>
          <w:rFonts w:ascii="Times New Roman" w:hAnsi="Times New Roman" w:cs="Times New Roman"/>
          <w:sz w:val="24"/>
          <w:szCs w:val="24"/>
        </w:rPr>
        <w:t xml:space="preserve">formal attribution </w:t>
      </w:r>
      <w:r w:rsidR="00B54C22">
        <w:rPr>
          <w:rFonts w:ascii="Times New Roman" w:hAnsi="Times New Roman" w:cs="Times New Roman"/>
          <w:sz w:val="24"/>
          <w:szCs w:val="24"/>
        </w:rPr>
        <w:t xml:space="preserve">difficult </w:t>
      </w:r>
      <w:r w:rsidRPr="00BB5FE6">
        <w:rPr>
          <w:rFonts w:ascii="Times New Roman" w:hAnsi="Times New Roman" w:cs="Times New Roman"/>
          <w:sz w:val="24"/>
          <w:szCs w:val="24"/>
        </w:rPr>
        <w:t>and precludes claims of irreversibility, and we have revised the manuscript accordingly</w:t>
      </w:r>
      <w:r w:rsidRPr="008C6283">
        <w:rPr>
          <w:rFonts w:ascii="Times New Roman" w:hAnsi="Times New Roman" w:cs="Times New Roman"/>
          <w:sz w:val="24"/>
          <w:szCs w:val="24"/>
        </w:rPr>
        <w:t>.</w:t>
      </w:r>
      <w:r w:rsidRPr="003328CB">
        <w:rPr>
          <w:rFonts w:ascii="Times New Roman" w:hAnsi="Times New Roman" w:cs="Times New Roman"/>
          <w:sz w:val="24"/>
          <w:szCs w:val="24"/>
        </w:rPr>
        <w:t xml:space="preserve"> </w:t>
      </w:r>
      <w:r w:rsidR="00C87ABA" w:rsidRPr="00641A86">
        <w:rPr>
          <w:rFonts w:ascii="Times New Roman" w:hAnsi="Times New Roman" w:cs="Times New Roman"/>
          <w:sz w:val="24"/>
          <w:szCs w:val="24"/>
          <w:u w:val="single"/>
        </w:rPr>
        <w:t>In addition, the revised analysis now uses the latest GOBAI-O</w:t>
      </w:r>
      <w:r w:rsidR="00C87ABA" w:rsidRPr="00641A86">
        <w:rPr>
          <w:rFonts w:ascii="Times New Roman" w:hAnsi="Times New Roman" w:cs="Times New Roman"/>
          <w:sz w:val="24"/>
          <w:szCs w:val="24"/>
          <w:u w:val="single"/>
          <w:vertAlign w:val="subscript"/>
        </w:rPr>
        <w:t>2</w:t>
      </w:r>
      <w:r w:rsidR="00C87ABA" w:rsidRPr="00641A86">
        <w:rPr>
          <w:rFonts w:ascii="Times New Roman" w:hAnsi="Times New Roman" w:cs="Times New Roman"/>
          <w:sz w:val="24"/>
          <w:szCs w:val="24"/>
          <w:u w:val="single"/>
        </w:rPr>
        <w:t xml:space="preserve"> version (v2.3), which extends the record to 2024, thereby providing a full two-decade observational window.</w:t>
      </w:r>
      <w:r w:rsidR="00C87ABA">
        <w:rPr>
          <w:rFonts w:ascii="Times New Roman" w:hAnsi="Times New Roman" w:cs="Times New Roman"/>
          <w:sz w:val="24"/>
          <w:szCs w:val="24"/>
        </w:rPr>
        <w:t xml:space="preserve"> </w:t>
      </w:r>
      <w:r w:rsidRPr="00BB5FE6">
        <w:rPr>
          <w:rFonts w:ascii="Times New Roman" w:hAnsi="Times New Roman" w:cs="Times New Roman"/>
          <w:sz w:val="24"/>
          <w:szCs w:val="24"/>
        </w:rPr>
        <w:t>Our results are now framed as diagnostic of non-stationary spatial and vertical redistribution of DIC</w:t>
      </w:r>
      <w:r w:rsidRPr="003E61C3">
        <w:rPr>
          <w:rFonts w:ascii="Times New Roman" w:hAnsi="Times New Roman" w:cs="Times New Roman"/>
          <w:sz w:val="24"/>
          <w:szCs w:val="24"/>
          <w:vertAlign w:val="subscript"/>
        </w:rPr>
        <w:t>soft</w:t>
      </w:r>
      <w:r w:rsidRPr="00BB5FE6">
        <w:rPr>
          <w:rFonts w:ascii="Times New Roman" w:hAnsi="Times New Roman" w:cs="Times New Roman"/>
          <w:sz w:val="24"/>
          <w:szCs w:val="24"/>
        </w:rPr>
        <w:t xml:space="preserve"> </w:t>
      </w:r>
      <w:r w:rsidR="00D73F81">
        <w:rPr>
          <w:rFonts w:ascii="Times New Roman" w:hAnsi="Times New Roman" w:cs="Times New Roman"/>
          <w:sz w:val="24"/>
          <w:szCs w:val="24"/>
        </w:rPr>
        <w:t>as a consequence of</w:t>
      </w:r>
      <w:r w:rsidR="00D73F81" w:rsidRPr="00BB5FE6">
        <w:rPr>
          <w:rFonts w:ascii="Times New Roman" w:hAnsi="Times New Roman" w:cs="Times New Roman"/>
          <w:sz w:val="24"/>
          <w:szCs w:val="24"/>
        </w:rPr>
        <w:t xml:space="preserve"> </w:t>
      </w:r>
      <w:r w:rsidRPr="00BB5FE6">
        <w:rPr>
          <w:rFonts w:ascii="Times New Roman" w:hAnsi="Times New Roman" w:cs="Times New Roman"/>
          <w:sz w:val="24"/>
          <w:szCs w:val="24"/>
        </w:rPr>
        <w:t>recent climate variability</w:t>
      </w:r>
      <w:r w:rsidR="008F1F4C">
        <w:rPr>
          <w:rFonts w:ascii="Times New Roman" w:hAnsi="Times New Roman" w:cs="Times New Roman"/>
          <w:sz w:val="24"/>
          <w:szCs w:val="24"/>
        </w:rPr>
        <w:t>.</w:t>
      </w:r>
      <w:r>
        <w:rPr>
          <w:rFonts w:ascii="Times New Roman" w:hAnsi="Times New Roman" w:cs="Times New Roman"/>
          <w:sz w:val="24"/>
          <w:szCs w:val="24"/>
        </w:rPr>
        <w:t xml:space="preserve"> </w:t>
      </w:r>
      <w:r w:rsidRPr="00101EB4">
        <w:rPr>
          <w:rFonts w:ascii="Times New Roman" w:hAnsi="Times New Roman" w:cs="Times New Roman"/>
          <w:sz w:val="24"/>
          <w:szCs w:val="24"/>
          <w:u w:val="single"/>
        </w:rPr>
        <w:t xml:space="preserve">We avoid interpretation in terms of changes in global inventories and emphasize instead that the reported patterns represent </w:t>
      </w:r>
      <w:r w:rsidR="00B5691F">
        <w:rPr>
          <w:rFonts w:ascii="Times New Roman" w:hAnsi="Times New Roman" w:cs="Times New Roman"/>
          <w:sz w:val="24"/>
          <w:szCs w:val="24"/>
          <w:u w:val="single"/>
        </w:rPr>
        <w:t xml:space="preserve">the first </w:t>
      </w:r>
      <w:r w:rsidRPr="00101EB4">
        <w:rPr>
          <w:rFonts w:ascii="Times New Roman" w:hAnsi="Times New Roman" w:cs="Times New Roman"/>
          <w:sz w:val="24"/>
          <w:szCs w:val="24"/>
          <w:u w:val="single"/>
        </w:rPr>
        <w:t>emergent</w:t>
      </w:r>
      <w:r w:rsidR="00D220BD">
        <w:rPr>
          <w:rFonts w:ascii="Times New Roman" w:hAnsi="Times New Roman" w:cs="Times New Roman"/>
          <w:sz w:val="24"/>
          <w:szCs w:val="24"/>
          <w:u w:val="single"/>
        </w:rPr>
        <w:t xml:space="preserve"> changes in carbon cycling. This </w:t>
      </w:r>
      <w:r w:rsidR="006C527E">
        <w:rPr>
          <w:rFonts w:ascii="Times New Roman" w:hAnsi="Times New Roman" w:cs="Times New Roman"/>
          <w:sz w:val="24"/>
          <w:szCs w:val="24"/>
          <w:u w:val="single"/>
        </w:rPr>
        <w:t xml:space="preserve">is now possible because of the </w:t>
      </w:r>
      <w:r w:rsidRPr="00101EB4">
        <w:rPr>
          <w:rFonts w:ascii="Times New Roman" w:hAnsi="Times New Roman" w:cs="Times New Roman"/>
          <w:sz w:val="24"/>
          <w:szCs w:val="24"/>
          <w:u w:val="single"/>
        </w:rPr>
        <w:t xml:space="preserve">depth-resolved structure over the observational window </w:t>
      </w:r>
      <w:r w:rsidR="006A1381">
        <w:rPr>
          <w:rFonts w:ascii="Times New Roman" w:hAnsi="Times New Roman" w:cs="Times New Roman"/>
          <w:sz w:val="24"/>
          <w:szCs w:val="24"/>
          <w:u w:val="single"/>
        </w:rPr>
        <w:t>based on</w:t>
      </w:r>
      <w:r w:rsidRPr="00101EB4">
        <w:rPr>
          <w:rFonts w:ascii="Times New Roman" w:hAnsi="Times New Roman" w:cs="Times New Roman"/>
          <w:sz w:val="24"/>
          <w:szCs w:val="24"/>
          <w:u w:val="single"/>
        </w:rPr>
        <w:t xml:space="preserve"> the modern oxygen observing system</w:t>
      </w:r>
      <w:r w:rsidR="006A1381">
        <w:rPr>
          <w:rFonts w:ascii="Times New Roman" w:hAnsi="Times New Roman" w:cs="Times New Roman"/>
          <w:sz w:val="24"/>
          <w:szCs w:val="24"/>
          <w:u w:val="single"/>
        </w:rPr>
        <w:t>.</w:t>
      </w:r>
      <w:r w:rsidR="006A1381" w:rsidRPr="00604523">
        <w:rPr>
          <w:rFonts w:ascii="Times New Roman" w:hAnsi="Times New Roman" w:cs="Times New Roman"/>
          <w:sz w:val="24"/>
          <w:szCs w:val="24"/>
        </w:rPr>
        <w:t xml:space="preserve"> </w:t>
      </w:r>
      <w:r w:rsidR="006C5740">
        <w:rPr>
          <w:rFonts w:ascii="Times New Roman" w:hAnsi="Times New Roman" w:cs="Times New Roman"/>
          <w:sz w:val="24"/>
          <w:szCs w:val="24"/>
        </w:rPr>
        <w:t>In our view,</w:t>
      </w:r>
      <w:r w:rsidR="003D57D5">
        <w:rPr>
          <w:rFonts w:ascii="Times New Roman" w:hAnsi="Times New Roman" w:cs="Times New Roman"/>
          <w:sz w:val="24"/>
          <w:szCs w:val="24"/>
        </w:rPr>
        <w:t xml:space="preserve"> using the </w:t>
      </w:r>
      <w:r w:rsidR="00FB4B5E">
        <w:rPr>
          <w:rFonts w:ascii="Times New Roman" w:hAnsi="Times New Roman" w:cs="Times New Roman"/>
          <w:sz w:val="24"/>
          <w:szCs w:val="24"/>
        </w:rPr>
        <w:t>two-decade</w:t>
      </w:r>
      <w:r w:rsidR="003D57D5">
        <w:rPr>
          <w:rFonts w:ascii="Times New Roman" w:hAnsi="Times New Roman" w:cs="Times New Roman"/>
          <w:sz w:val="24"/>
          <w:szCs w:val="24"/>
        </w:rPr>
        <w:t xml:space="preserve"> period over which we have data is already </w:t>
      </w:r>
      <w:r w:rsidR="00174A8F">
        <w:rPr>
          <w:rFonts w:ascii="Times New Roman" w:hAnsi="Times New Roman" w:cs="Times New Roman"/>
          <w:sz w:val="24"/>
          <w:szCs w:val="24"/>
        </w:rPr>
        <w:t>giving</w:t>
      </w:r>
      <w:r w:rsidR="001A2058">
        <w:rPr>
          <w:rFonts w:ascii="Times New Roman" w:hAnsi="Times New Roman" w:cs="Times New Roman"/>
          <w:sz w:val="24"/>
          <w:szCs w:val="24"/>
        </w:rPr>
        <w:t xml:space="preserve"> a lot of new information.</w:t>
      </w:r>
      <w:r w:rsidR="003D57D5">
        <w:rPr>
          <w:rFonts w:ascii="Times New Roman" w:hAnsi="Times New Roman" w:cs="Times New Roman"/>
          <w:sz w:val="24"/>
          <w:szCs w:val="24"/>
        </w:rPr>
        <w:t xml:space="preserve"> </w:t>
      </w:r>
      <w:r w:rsidRPr="00BB5FE6">
        <w:rPr>
          <w:rFonts w:ascii="Times New Roman" w:hAnsi="Times New Roman" w:cs="Times New Roman"/>
          <w:sz w:val="24"/>
          <w:szCs w:val="24"/>
        </w:rPr>
        <w:t xml:space="preserve">Analyses over </w:t>
      </w:r>
      <w:r w:rsidR="001A2058">
        <w:rPr>
          <w:rFonts w:ascii="Times New Roman" w:hAnsi="Times New Roman" w:cs="Times New Roman"/>
          <w:sz w:val="24"/>
          <w:szCs w:val="24"/>
        </w:rPr>
        <w:t>such a</w:t>
      </w:r>
      <w:r w:rsidR="001A2058" w:rsidRPr="00BB5FE6">
        <w:rPr>
          <w:rFonts w:ascii="Times New Roman" w:hAnsi="Times New Roman" w:cs="Times New Roman"/>
          <w:sz w:val="24"/>
          <w:szCs w:val="24"/>
        </w:rPr>
        <w:t xml:space="preserve"> </w:t>
      </w:r>
      <w:r w:rsidRPr="00BB5FE6">
        <w:rPr>
          <w:rFonts w:ascii="Times New Roman" w:hAnsi="Times New Roman" w:cs="Times New Roman"/>
          <w:sz w:val="24"/>
          <w:szCs w:val="24"/>
        </w:rPr>
        <w:t xml:space="preserve">two-decade period </w:t>
      </w:r>
      <w:r w:rsidR="001A2058">
        <w:rPr>
          <w:rFonts w:ascii="Times New Roman" w:hAnsi="Times New Roman" w:cs="Times New Roman"/>
          <w:sz w:val="24"/>
          <w:szCs w:val="24"/>
        </w:rPr>
        <w:t>is</w:t>
      </w:r>
      <w:r w:rsidR="001A2058" w:rsidRPr="00BB5FE6">
        <w:rPr>
          <w:rFonts w:ascii="Times New Roman" w:hAnsi="Times New Roman" w:cs="Times New Roman"/>
          <w:sz w:val="24"/>
          <w:szCs w:val="24"/>
        </w:rPr>
        <w:t xml:space="preserve"> </w:t>
      </w:r>
      <w:r w:rsidRPr="00BB5FE6">
        <w:rPr>
          <w:rFonts w:ascii="Times New Roman" w:hAnsi="Times New Roman" w:cs="Times New Roman"/>
          <w:sz w:val="24"/>
          <w:szCs w:val="24"/>
        </w:rPr>
        <w:t>increasingly common in recent observation-based studies</w:t>
      </w:r>
      <w:r w:rsidR="000F47DC">
        <w:rPr>
          <w:rFonts w:ascii="Times New Roman" w:hAnsi="Times New Roman" w:cs="Times New Roman"/>
          <w:sz w:val="24"/>
          <w:szCs w:val="24"/>
        </w:rPr>
        <w:t xml:space="preserve">. For </w:t>
      </w:r>
      <w:r w:rsidRPr="00BB5FE6">
        <w:rPr>
          <w:rFonts w:ascii="Times New Roman" w:hAnsi="Times New Roman" w:cs="Times New Roman"/>
          <w:sz w:val="24"/>
          <w:szCs w:val="24"/>
        </w:rPr>
        <w:t xml:space="preserve">example, Zhao et al. (2025) identify large-scale, spatially coherent trends in surface ocean biogeochemistry over a similar period using independent observational constraints, while Liniger et al. (2025) report statistically significant increases in Southern Ocean net community production from 2004 to 2022 based on BGC-Argo–constrained reconstructions. </w:t>
      </w:r>
      <w:r w:rsidRPr="004674CB">
        <w:rPr>
          <w:rFonts w:ascii="Times New Roman" w:hAnsi="Times New Roman" w:cs="Times New Roman"/>
          <w:sz w:val="24"/>
          <w:szCs w:val="24"/>
          <w:u w:val="single"/>
        </w:rPr>
        <w:t>Consistent with recent assessments (Henson et al., 2016), these studies</w:t>
      </w:r>
      <w:r w:rsidR="00613CDB" w:rsidRPr="004674CB">
        <w:rPr>
          <w:rFonts w:ascii="Times New Roman" w:hAnsi="Times New Roman" w:cs="Times New Roman"/>
          <w:sz w:val="24"/>
          <w:szCs w:val="24"/>
          <w:u w:val="single"/>
        </w:rPr>
        <w:t>, and ours,</w:t>
      </w:r>
      <w:r w:rsidRPr="004674CB">
        <w:rPr>
          <w:rFonts w:ascii="Times New Roman" w:hAnsi="Times New Roman" w:cs="Times New Roman"/>
          <w:sz w:val="24"/>
          <w:szCs w:val="24"/>
          <w:u w:val="single"/>
        </w:rPr>
        <w:t xml:space="preserve"> demonstrate that thermocline oxygen and related biogeochemical variables can exhibit detectable, spatially organized signals on decadal (</w:t>
      </w:r>
      <w:r w:rsidRPr="004674CB">
        <w:rPr>
          <w:rFonts w:ascii="Cambria Math" w:hAnsi="Cambria Math" w:cs="Cambria Math"/>
          <w:sz w:val="24"/>
          <w:szCs w:val="24"/>
          <w:u w:val="single"/>
        </w:rPr>
        <w:t>∼</w:t>
      </w:r>
      <w:r w:rsidRPr="004674CB">
        <w:rPr>
          <w:rFonts w:ascii="Times New Roman" w:hAnsi="Times New Roman" w:cs="Times New Roman"/>
          <w:sz w:val="24"/>
          <w:szCs w:val="24"/>
          <w:u w:val="single"/>
        </w:rPr>
        <w:t>15–25 yr) timescales despite limited attribution.</w:t>
      </w:r>
      <w:r w:rsidR="003E61C3">
        <w:rPr>
          <w:rFonts w:ascii="Times New Roman" w:hAnsi="Times New Roman" w:cs="Times New Roman"/>
          <w:sz w:val="24"/>
          <w:szCs w:val="24"/>
        </w:rPr>
        <w:t xml:space="preserve"> </w:t>
      </w:r>
      <w:r w:rsidR="001E5F26" w:rsidRPr="001E5F26">
        <w:rPr>
          <w:rFonts w:ascii="Times New Roman" w:hAnsi="Times New Roman" w:cs="Times New Roman"/>
          <w:sz w:val="24"/>
          <w:szCs w:val="24"/>
        </w:rPr>
        <w:t xml:space="preserve">Within this context, we position our study not as evidence for irreversible change, but as a rigorously constrained, observation-based </w:t>
      </w:r>
      <w:r w:rsidR="00E06491">
        <w:rPr>
          <w:rFonts w:ascii="Times New Roman" w:hAnsi="Times New Roman" w:cs="Times New Roman"/>
          <w:sz w:val="24"/>
          <w:szCs w:val="24"/>
        </w:rPr>
        <w:t>study</w:t>
      </w:r>
      <w:r w:rsidR="00E06491" w:rsidRPr="001E5F26">
        <w:rPr>
          <w:rFonts w:ascii="Times New Roman" w:hAnsi="Times New Roman" w:cs="Times New Roman"/>
          <w:sz w:val="24"/>
          <w:szCs w:val="24"/>
        </w:rPr>
        <w:t xml:space="preserve"> </w:t>
      </w:r>
      <w:r w:rsidR="001E5F26" w:rsidRPr="001E5F26">
        <w:rPr>
          <w:rFonts w:ascii="Times New Roman" w:hAnsi="Times New Roman" w:cs="Times New Roman"/>
          <w:sz w:val="24"/>
          <w:szCs w:val="24"/>
        </w:rPr>
        <w:t>that provides the first depth-resolved global assessment of how the biological carbon pump</w:t>
      </w:r>
      <w:r w:rsidR="00A002FF">
        <w:rPr>
          <w:rFonts w:ascii="Times New Roman" w:hAnsi="Times New Roman" w:cs="Times New Roman"/>
          <w:sz w:val="24"/>
          <w:szCs w:val="24"/>
        </w:rPr>
        <w:t xml:space="preserve"> may</w:t>
      </w:r>
      <w:r w:rsidR="001E5F26" w:rsidRPr="001E5F26">
        <w:rPr>
          <w:rFonts w:ascii="Times New Roman" w:hAnsi="Times New Roman" w:cs="Times New Roman"/>
          <w:sz w:val="24"/>
          <w:szCs w:val="24"/>
        </w:rPr>
        <w:t xml:space="preserve"> redistribute biologically respired carbon.</w:t>
      </w:r>
    </w:p>
    <w:p w14:paraId="031785A7" w14:textId="77777777" w:rsidR="006A4452" w:rsidRDefault="006A4452" w:rsidP="00BB5FE6">
      <w:pPr>
        <w:rPr>
          <w:rFonts w:ascii="Times New Roman" w:hAnsi="Times New Roman" w:cs="Times New Roman"/>
          <w:sz w:val="24"/>
          <w:szCs w:val="24"/>
        </w:rPr>
      </w:pPr>
    </w:p>
    <w:p w14:paraId="0EC848C9" w14:textId="1D63B7FB" w:rsidR="008657FD" w:rsidRPr="00EB218C" w:rsidRDefault="002C0215" w:rsidP="00BB5FE6">
      <w:pPr>
        <w:rPr>
          <w:rFonts w:ascii="Times New Roman" w:hAnsi="Times New Roman" w:cs="Times New Roman"/>
          <w:sz w:val="24"/>
          <w:szCs w:val="24"/>
        </w:rPr>
      </w:pPr>
      <w:r w:rsidRPr="00497CC8">
        <w:rPr>
          <w:rFonts w:ascii="Times New Roman" w:hAnsi="Times New Roman" w:cs="Times New Roman"/>
          <w:sz w:val="24"/>
          <w:szCs w:val="24"/>
        </w:rPr>
        <w:t xml:space="preserve">We are grateful for the reviewers’ constructive feedback and provide below a point-by-point response addressing all comments. </w:t>
      </w:r>
      <w:r w:rsidR="00AB76C4" w:rsidRPr="00EB218C">
        <w:rPr>
          <w:rFonts w:ascii="Times New Roman" w:hAnsi="Times New Roman" w:cs="Times New Roman"/>
          <w:sz w:val="24"/>
          <w:szCs w:val="24"/>
        </w:rPr>
        <w:t xml:space="preserve">We respectfully </w:t>
      </w:r>
      <w:r w:rsidR="001F6D42">
        <w:rPr>
          <w:rFonts w:ascii="Times New Roman" w:hAnsi="Times New Roman" w:cs="Times New Roman"/>
          <w:sz w:val="24"/>
          <w:szCs w:val="24"/>
        </w:rPr>
        <w:t>believe</w:t>
      </w:r>
      <w:r w:rsidR="00AB76C4" w:rsidRPr="00EB218C">
        <w:rPr>
          <w:rFonts w:ascii="Times New Roman" w:hAnsi="Times New Roman" w:cs="Times New Roman"/>
          <w:sz w:val="24"/>
          <w:szCs w:val="24"/>
        </w:rPr>
        <w:t xml:space="preserve"> that the revised manuscript now directly addresses all substantive concerns raised in review. </w:t>
      </w:r>
      <w:r w:rsidR="00AB76C4" w:rsidRPr="00100285">
        <w:rPr>
          <w:rFonts w:ascii="Times New Roman" w:hAnsi="Times New Roman" w:cs="Times New Roman"/>
          <w:sz w:val="24"/>
          <w:szCs w:val="24"/>
          <w:u w:val="single"/>
        </w:rPr>
        <w:t>Because the climatic impact of the biological carbon pump depends primarily on the depth and residence time of stored carbon rather than its global inventory, this redistribution represents a fundamental and previously unquantified dimension of ocean carbon-cycle change.</w:t>
      </w:r>
      <w:r w:rsidR="00AB76C4" w:rsidRPr="00EB218C">
        <w:rPr>
          <w:rFonts w:ascii="Times New Roman" w:hAnsi="Times New Roman" w:cs="Times New Roman"/>
          <w:sz w:val="24"/>
          <w:szCs w:val="24"/>
        </w:rPr>
        <w:t xml:space="preserve"> We therefore </w:t>
      </w:r>
      <w:r w:rsidR="00655504">
        <w:rPr>
          <w:rFonts w:ascii="Times New Roman" w:hAnsi="Times New Roman" w:cs="Times New Roman"/>
          <w:sz w:val="24"/>
          <w:szCs w:val="24"/>
        </w:rPr>
        <w:t>hope</w:t>
      </w:r>
      <w:r w:rsidR="00655504" w:rsidRPr="00EB218C">
        <w:rPr>
          <w:rFonts w:ascii="Times New Roman" w:hAnsi="Times New Roman" w:cs="Times New Roman"/>
          <w:sz w:val="24"/>
          <w:szCs w:val="24"/>
        </w:rPr>
        <w:t xml:space="preserve"> </w:t>
      </w:r>
      <w:r w:rsidR="00AB76C4" w:rsidRPr="00EB218C">
        <w:rPr>
          <w:rFonts w:ascii="Times New Roman" w:hAnsi="Times New Roman" w:cs="Times New Roman"/>
          <w:sz w:val="24"/>
          <w:szCs w:val="24"/>
        </w:rPr>
        <w:t>the revised manuscript now meets the criteria for publication in Nature Communications and respectfully request reconsideration.</w:t>
      </w:r>
    </w:p>
    <w:p w14:paraId="574E5B02" w14:textId="70F471C0" w:rsidR="00462736" w:rsidRDefault="003E394E" w:rsidP="00EE3C8A">
      <w:pPr>
        <w:jc w:val="left"/>
        <w:rPr>
          <w:rFonts w:ascii="Times New Roman" w:hAnsi="Times New Roman" w:cs="Times New Roman"/>
          <w:sz w:val="24"/>
          <w:szCs w:val="24"/>
        </w:rPr>
      </w:pPr>
      <w:r w:rsidRPr="00611AB3">
        <w:rPr>
          <w:rFonts w:ascii="Times New Roman" w:hAnsi="Times New Roman" w:cs="Times New Roman"/>
          <w:sz w:val="24"/>
          <w:szCs w:val="24"/>
        </w:rPr>
        <w:t>Sincerely,</w:t>
      </w:r>
      <w:r w:rsidRPr="00611AB3">
        <w:rPr>
          <w:rFonts w:ascii="Times New Roman" w:hAnsi="Times New Roman" w:cs="Times New Roman"/>
          <w:sz w:val="24"/>
          <w:szCs w:val="24"/>
        </w:rPr>
        <w:br/>
      </w:r>
      <w:r w:rsidR="00513541">
        <w:rPr>
          <w:rFonts w:ascii="Times New Roman" w:hAnsi="Times New Roman" w:cs="Times New Roman"/>
          <w:sz w:val="24"/>
          <w:szCs w:val="24"/>
        </w:rPr>
        <w:t xml:space="preserve">Dr. </w:t>
      </w:r>
      <w:r w:rsidR="00297E55" w:rsidRPr="00611AB3">
        <w:rPr>
          <w:rFonts w:ascii="Times New Roman" w:hAnsi="Times New Roman" w:cs="Times New Roman"/>
          <w:sz w:val="24"/>
          <w:szCs w:val="24"/>
        </w:rPr>
        <w:t>Louise Delaigue</w:t>
      </w:r>
    </w:p>
    <w:p w14:paraId="3B979B19" w14:textId="01849B81" w:rsidR="00DD606F" w:rsidRPr="00611AB3" w:rsidRDefault="003E394E" w:rsidP="00EE3C8A">
      <w:pPr>
        <w:jc w:val="left"/>
        <w:rPr>
          <w:rFonts w:ascii="Times New Roman" w:hAnsi="Times New Roman" w:cs="Times New Roman"/>
          <w:sz w:val="24"/>
          <w:szCs w:val="24"/>
        </w:rPr>
      </w:pPr>
      <w:r w:rsidRPr="00611AB3">
        <w:rPr>
          <w:rFonts w:ascii="Times New Roman" w:hAnsi="Times New Roman" w:cs="Times New Roman"/>
          <w:sz w:val="24"/>
          <w:szCs w:val="24"/>
        </w:rPr>
        <w:t>On behalf of all co-authors</w:t>
      </w:r>
    </w:p>
    <w:p w14:paraId="07D6AB8F" w14:textId="2C9300A6" w:rsidR="00191627" w:rsidRPr="008D03FF" w:rsidRDefault="00C03269" w:rsidP="004E1CA4">
      <w:pPr>
        <w:rPr>
          <w:rFonts w:ascii="Times New Roman" w:eastAsiaTheme="majorEastAsia" w:hAnsi="Times New Roman" w:cs="Times New Roman"/>
          <w:color w:val="000000" w:themeColor="text1"/>
          <w:sz w:val="24"/>
          <w:szCs w:val="24"/>
        </w:rPr>
      </w:pPr>
      <w:r>
        <w:rPr>
          <w:rFonts w:ascii="Times New Roman" w:hAnsi="Times New Roman" w:cs="Times New Roman"/>
          <w:noProof/>
          <w:sz w:val="24"/>
          <w:szCs w:val="24"/>
        </w:rPr>
        <w:drawing>
          <wp:inline distT="0" distB="0" distL="0" distR="0" wp14:anchorId="1E8CAC22" wp14:editId="44EBAB5F">
            <wp:extent cx="2286000" cy="660400"/>
            <wp:effectExtent l="0" t="0" r="0" b="0"/>
            <wp:docPr id="126578109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65781090" name="Picture 1265781090"/>
                    <pic:cNvPicPr/>
                  </pic:nvPicPr>
                  <pic:blipFill>
                    <a:blip r:embed="rId11">
                      <a:extLst>
                        <a:ext uri="{28A0092B-C50C-407E-A947-70E740481C1C}">
                          <a14:useLocalDpi xmlns:a14="http://schemas.microsoft.com/office/drawing/2010/main" val="0"/>
                        </a:ext>
                      </a:extLst>
                    </a:blip>
                    <a:stretch>
                      <a:fillRect/>
                    </a:stretch>
                  </pic:blipFill>
                  <pic:spPr>
                    <a:xfrm>
                      <a:off x="0" y="0"/>
                      <a:ext cx="2286000" cy="660400"/>
                    </a:xfrm>
                    <a:prstGeom prst="rect">
                      <a:avLst/>
                    </a:prstGeom>
                  </pic:spPr>
                </pic:pic>
              </a:graphicData>
            </a:graphic>
          </wp:inline>
        </w:drawing>
      </w:r>
      <w:r w:rsidR="00297E55" w:rsidRPr="00611AB3">
        <w:rPr>
          <w:rFonts w:ascii="Times New Roman" w:hAnsi="Times New Roman" w:cs="Times New Roman"/>
          <w:sz w:val="24"/>
          <w:szCs w:val="24"/>
        </w:rPr>
        <w:br w:type="page"/>
      </w:r>
      <w:r w:rsidR="00191627" w:rsidRPr="00191627">
        <w:rPr>
          <w:rFonts w:ascii="Times New Roman" w:eastAsiaTheme="majorEastAsia" w:hAnsi="Times New Roman" w:cs="Times New Roman"/>
          <w:b/>
          <w:bCs/>
          <w:color w:val="000000" w:themeColor="text1"/>
          <w:sz w:val="24"/>
          <w:szCs w:val="24"/>
          <w:lang w:val="en-GB"/>
        </w:rPr>
        <w:lastRenderedPageBreak/>
        <w:t>Paucity of O</w:t>
      </w:r>
      <w:r w:rsidR="00191627" w:rsidRPr="00191627">
        <w:rPr>
          <w:rFonts w:ascii="Times New Roman" w:eastAsiaTheme="majorEastAsia" w:hAnsi="Times New Roman" w:cs="Times New Roman"/>
          <w:b/>
          <w:bCs/>
          <w:color w:val="000000" w:themeColor="text1"/>
          <w:sz w:val="24"/>
          <w:szCs w:val="24"/>
          <w:vertAlign w:val="subscript"/>
          <w:lang w:val="en-GB"/>
        </w:rPr>
        <w:t>2</w:t>
      </w:r>
      <w:r w:rsidR="00191627" w:rsidRPr="00191627">
        <w:rPr>
          <w:rFonts w:ascii="Times New Roman" w:eastAsiaTheme="majorEastAsia" w:hAnsi="Times New Roman" w:cs="Times New Roman"/>
          <w:b/>
          <w:bCs/>
          <w:color w:val="000000" w:themeColor="text1"/>
          <w:sz w:val="24"/>
          <w:szCs w:val="24"/>
          <w:lang w:val="en-GB"/>
        </w:rPr>
        <w:t xml:space="preserve"> data products</w:t>
      </w:r>
      <w:r w:rsidR="00BE05D7">
        <w:rPr>
          <w:rFonts w:ascii="Times New Roman" w:eastAsiaTheme="majorEastAsia" w:hAnsi="Times New Roman" w:cs="Times New Roman"/>
          <w:b/>
          <w:bCs/>
          <w:color w:val="000000" w:themeColor="text1"/>
          <w:sz w:val="24"/>
          <w:szCs w:val="24"/>
          <w:lang w:val="en-GB"/>
        </w:rPr>
        <w:t xml:space="preserve"> (now Text S1 from the Supplementary Material)</w:t>
      </w:r>
    </w:p>
    <w:p w14:paraId="22F67253" w14:textId="69B543A5" w:rsidR="002F7425" w:rsidRPr="002F7425" w:rsidRDefault="002F7425" w:rsidP="00AE0C47">
      <w:pPr>
        <w:spacing w:before="100" w:beforeAutospacing="1" w:after="100" w:afterAutospacing="1" w:line="240" w:lineRule="auto"/>
        <w:rPr>
          <w:rFonts w:ascii="Times New Roman" w:eastAsia="Times New Roman" w:hAnsi="Times New Roman" w:cs="Times New Roman"/>
          <w:kern w:val="0"/>
          <w:sz w:val="24"/>
          <w:szCs w:val="24"/>
          <w14:ligatures w14:val="none"/>
        </w:rPr>
      </w:pPr>
      <w:r w:rsidRPr="002F7425">
        <w:rPr>
          <w:rFonts w:ascii="Times New Roman" w:eastAsia="Times New Roman" w:hAnsi="Times New Roman" w:cs="Times New Roman"/>
          <w:kern w:val="0"/>
          <w:sz w:val="24"/>
          <w:szCs w:val="24"/>
          <w14:ligatures w14:val="none"/>
        </w:rPr>
        <w:t>We evaluated the sensitivity of inferred large-scale oxygen trend patterns to oxygen product choice using the independent ML</w:t>
      </w:r>
      <w:r w:rsidRPr="002F7425">
        <w:rPr>
          <w:rFonts w:ascii="Times New Roman" w:eastAsia="Times New Roman" w:hAnsi="Times New Roman" w:cs="Times New Roman"/>
          <w:kern w:val="0"/>
          <w:sz w:val="24"/>
          <w:szCs w:val="24"/>
          <w:vertAlign w:val="subscript"/>
          <w14:ligatures w14:val="none"/>
        </w:rPr>
        <w:t>4</w:t>
      </w:r>
      <w:r w:rsidRPr="002F7425">
        <w:rPr>
          <w:rFonts w:ascii="Times New Roman" w:eastAsia="Times New Roman" w:hAnsi="Times New Roman" w:cs="Times New Roman"/>
          <w:kern w:val="0"/>
          <w:sz w:val="24"/>
          <w:szCs w:val="24"/>
          <w14:ligatures w14:val="none"/>
        </w:rPr>
        <w:t>O</w:t>
      </w:r>
      <w:r w:rsidRPr="002F7425">
        <w:rPr>
          <w:rFonts w:ascii="Times New Roman" w:eastAsia="Times New Roman" w:hAnsi="Times New Roman" w:cs="Times New Roman"/>
          <w:kern w:val="0"/>
          <w:sz w:val="24"/>
          <w:szCs w:val="24"/>
          <w:vertAlign w:val="subscript"/>
          <w14:ligatures w14:val="none"/>
        </w:rPr>
        <w:t>2</w:t>
      </w:r>
      <w:r w:rsidRPr="002F7425">
        <w:rPr>
          <w:rFonts w:ascii="Times New Roman" w:eastAsia="Times New Roman" w:hAnsi="Times New Roman" w:cs="Times New Roman"/>
          <w:kern w:val="0"/>
          <w:sz w:val="24"/>
          <w:szCs w:val="24"/>
          <w14:ligatures w14:val="none"/>
        </w:rPr>
        <w:t xml:space="preserve"> reconstruction (Ito et al., 2024). Over the common 2004–2020 period and the 0–1000 m depth range, GOBAI-O</w:t>
      </w:r>
      <w:r w:rsidRPr="002F7425">
        <w:rPr>
          <w:rFonts w:ascii="Times New Roman" w:eastAsia="Times New Roman" w:hAnsi="Times New Roman" w:cs="Times New Roman"/>
          <w:kern w:val="0"/>
          <w:sz w:val="24"/>
          <w:szCs w:val="24"/>
          <w:vertAlign w:val="subscript"/>
          <w14:ligatures w14:val="none"/>
        </w:rPr>
        <w:t>2</w:t>
      </w:r>
      <w:r w:rsidRPr="002F7425">
        <w:rPr>
          <w:rFonts w:ascii="Times New Roman" w:eastAsia="Times New Roman" w:hAnsi="Times New Roman" w:cs="Times New Roman"/>
          <w:kern w:val="0"/>
          <w:sz w:val="24"/>
          <w:szCs w:val="24"/>
          <w14:ligatures w14:val="none"/>
        </w:rPr>
        <w:t xml:space="preserve"> v2.3, updated from v2.1 used in the original submission, and </w:t>
      </w:r>
      <w:r w:rsidR="00345960" w:rsidRPr="002F7425">
        <w:rPr>
          <w:rFonts w:ascii="Times New Roman" w:eastAsia="Times New Roman" w:hAnsi="Times New Roman" w:cs="Times New Roman"/>
          <w:kern w:val="0"/>
          <w:sz w:val="24"/>
          <w:szCs w:val="24"/>
          <w14:ligatures w14:val="none"/>
        </w:rPr>
        <w:t>ML</w:t>
      </w:r>
      <w:r w:rsidR="00345960" w:rsidRPr="002F7425">
        <w:rPr>
          <w:rFonts w:ascii="Times New Roman" w:eastAsia="Times New Roman" w:hAnsi="Times New Roman" w:cs="Times New Roman"/>
          <w:kern w:val="0"/>
          <w:sz w:val="24"/>
          <w:szCs w:val="24"/>
          <w:vertAlign w:val="subscript"/>
          <w14:ligatures w14:val="none"/>
        </w:rPr>
        <w:t>4</w:t>
      </w:r>
      <w:r w:rsidR="00345960" w:rsidRPr="002F7425">
        <w:rPr>
          <w:rFonts w:ascii="Times New Roman" w:eastAsia="Times New Roman" w:hAnsi="Times New Roman" w:cs="Times New Roman"/>
          <w:kern w:val="0"/>
          <w:sz w:val="24"/>
          <w:szCs w:val="24"/>
          <w14:ligatures w14:val="none"/>
        </w:rPr>
        <w:t>O</w:t>
      </w:r>
      <w:r w:rsidR="00345960" w:rsidRPr="002F7425">
        <w:rPr>
          <w:rFonts w:ascii="Times New Roman" w:eastAsia="Times New Roman" w:hAnsi="Times New Roman" w:cs="Times New Roman"/>
          <w:kern w:val="0"/>
          <w:sz w:val="24"/>
          <w:szCs w:val="24"/>
          <w:vertAlign w:val="subscript"/>
          <w14:ligatures w14:val="none"/>
        </w:rPr>
        <w:t>2</w:t>
      </w:r>
      <w:r w:rsidR="00345960" w:rsidRPr="002F7425">
        <w:rPr>
          <w:rFonts w:ascii="Times New Roman" w:eastAsia="Times New Roman" w:hAnsi="Times New Roman" w:cs="Times New Roman"/>
          <w:kern w:val="0"/>
          <w:sz w:val="24"/>
          <w:szCs w:val="24"/>
          <w14:ligatures w14:val="none"/>
        </w:rPr>
        <w:t xml:space="preserve"> </w:t>
      </w:r>
      <w:r w:rsidRPr="002F7425">
        <w:rPr>
          <w:rFonts w:ascii="Times New Roman" w:eastAsia="Times New Roman" w:hAnsi="Times New Roman" w:cs="Times New Roman"/>
          <w:kern w:val="0"/>
          <w:sz w:val="24"/>
          <w:szCs w:val="24"/>
          <w14:ligatures w14:val="none"/>
        </w:rPr>
        <w:t>show broadly similar basin-scale patterns in thickness-weighted mean O</w:t>
      </w:r>
      <w:r w:rsidRPr="002F7425">
        <w:rPr>
          <w:rFonts w:ascii="Times New Roman" w:eastAsia="Times New Roman" w:hAnsi="Times New Roman" w:cs="Times New Roman"/>
          <w:kern w:val="0"/>
          <w:sz w:val="24"/>
          <w:szCs w:val="24"/>
          <w:vertAlign w:val="subscript"/>
          <w14:ligatures w14:val="none"/>
        </w:rPr>
        <w:t>2</w:t>
      </w:r>
      <w:r w:rsidRPr="002F7425">
        <w:rPr>
          <w:rFonts w:ascii="Times New Roman" w:eastAsia="Times New Roman" w:hAnsi="Times New Roman" w:cs="Times New Roman"/>
          <w:kern w:val="0"/>
          <w:sz w:val="24"/>
          <w:szCs w:val="24"/>
          <w14:ligatures w14:val="none"/>
        </w:rPr>
        <w:t xml:space="preserve"> trends despite substantial methodological differences (Fig. S3). In both products, negative oxygen trends dominate large parts of the Pacific, Atlantic, and Southern oceans, while positive trends appear in more localized regions, particularly in parts of the subpolar North Atlantic and the northwestern Pacific. This broad agreement indicates that the large-scale pattern of contemporary oxygen redistribution is not tied to a single mapping methodology.</w:t>
      </w:r>
    </w:p>
    <w:p w14:paraId="638CA452" w14:textId="26A6032E" w:rsidR="002F7425" w:rsidRPr="002F7425" w:rsidRDefault="002F7425" w:rsidP="00AE0C47">
      <w:pPr>
        <w:spacing w:before="100" w:beforeAutospacing="1" w:after="100" w:afterAutospacing="1" w:line="240" w:lineRule="auto"/>
        <w:rPr>
          <w:rFonts w:ascii="Times New Roman" w:eastAsia="Times New Roman" w:hAnsi="Times New Roman" w:cs="Times New Roman"/>
          <w:kern w:val="0"/>
          <w:sz w:val="24"/>
          <w:szCs w:val="24"/>
          <w14:ligatures w14:val="none"/>
        </w:rPr>
      </w:pPr>
      <w:r w:rsidRPr="002F7425">
        <w:rPr>
          <w:rFonts w:ascii="Times New Roman" w:eastAsia="Times New Roman" w:hAnsi="Times New Roman" w:cs="Times New Roman"/>
          <w:kern w:val="0"/>
          <w:sz w:val="24"/>
          <w:szCs w:val="24"/>
          <w14:ligatures w14:val="none"/>
        </w:rPr>
        <w:t>At the same time, localized differences are evident (Fig. S4). Grid cells where the sign of the thickness-weighted mean O</w:t>
      </w:r>
      <w:r w:rsidRPr="002F7425">
        <w:rPr>
          <w:rFonts w:ascii="Times New Roman" w:eastAsia="Times New Roman" w:hAnsi="Times New Roman" w:cs="Times New Roman"/>
          <w:kern w:val="0"/>
          <w:sz w:val="24"/>
          <w:szCs w:val="24"/>
          <w:vertAlign w:val="subscript"/>
          <w14:ligatures w14:val="none"/>
        </w:rPr>
        <w:t>2</w:t>
      </w:r>
      <w:r w:rsidRPr="002F7425">
        <w:rPr>
          <w:rFonts w:ascii="Times New Roman" w:eastAsia="Times New Roman" w:hAnsi="Times New Roman" w:cs="Times New Roman"/>
          <w:kern w:val="0"/>
          <w:sz w:val="24"/>
          <w:szCs w:val="24"/>
          <w14:ligatures w14:val="none"/>
        </w:rPr>
        <w:t xml:space="preserve"> trend differs between GOBAI-O</w:t>
      </w:r>
      <w:r w:rsidRPr="002F7425">
        <w:rPr>
          <w:rFonts w:ascii="Times New Roman" w:eastAsia="Times New Roman" w:hAnsi="Times New Roman" w:cs="Times New Roman"/>
          <w:kern w:val="0"/>
          <w:sz w:val="24"/>
          <w:szCs w:val="24"/>
          <w:vertAlign w:val="subscript"/>
          <w14:ligatures w14:val="none"/>
        </w:rPr>
        <w:t>2</w:t>
      </w:r>
      <w:r w:rsidRPr="002F7425">
        <w:rPr>
          <w:rFonts w:ascii="Times New Roman" w:eastAsia="Times New Roman" w:hAnsi="Times New Roman" w:cs="Times New Roman"/>
          <w:kern w:val="0"/>
          <w:sz w:val="24"/>
          <w:szCs w:val="24"/>
          <w14:ligatures w14:val="none"/>
        </w:rPr>
        <w:t xml:space="preserve"> and </w:t>
      </w:r>
      <w:r w:rsidR="009410C3" w:rsidRPr="002F7425">
        <w:rPr>
          <w:rFonts w:ascii="Times New Roman" w:eastAsia="Times New Roman" w:hAnsi="Times New Roman" w:cs="Times New Roman"/>
          <w:kern w:val="0"/>
          <w:sz w:val="24"/>
          <w:szCs w:val="24"/>
          <w14:ligatures w14:val="none"/>
        </w:rPr>
        <w:t>ML</w:t>
      </w:r>
      <w:r w:rsidR="009410C3" w:rsidRPr="002F7425">
        <w:rPr>
          <w:rFonts w:ascii="Times New Roman" w:eastAsia="Times New Roman" w:hAnsi="Times New Roman" w:cs="Times New Roman"/>
          <w:kern w:val="0"/>
          <w:sz w:val="24"/>
          <w:szCs w:val="24"/>
          <w:vertAlign w:val="subscript"/>
          <w14:ligatures w14:val="none"/>
        </w:rPr>
        <w:t>4</w:t>
      </w:r>
      <w:r w:rsidR="009410C3" w:rsidRPr="002F7425">
        <w:rPr>
          <w:rFonts w:ascii="Times New Roman" w:eastAsia="Times New Roman" w:hAnsi="Times New Roman" w:cs="Times New Roman"/>
          <w:kern w:val="0"/>
          <w:sz w:val="24"/>
          <w:szCs w:val="24"/>
          <w14:ligatures w14:val="none"/>
        </w:rPr>
        <w:t>O</w:t>
      </w:r>
      <w:r w:rsidR="009410C3" w:rsidRPr="002F7425">
        <w:rPr>
          <w:rFonts w:ascii="Times New Roman" w:eastAsia="Times New Roman" w:hAnsi="Times New Roman" w:cs="Times New Roman"/>
          <w:kern w:val="0"/>
          <w:sz w:val="24"/>
          <w:szCs w:val="24"/>
          <w:vertAlign w:val="subscript"/>
          <w14:ligatures w14:val="none"/>
        </w:rPr>
        <w:t>2</w:t>
      </w:r>
      <w:r w:rsidR="009410C3" w:rsidRPr="002F7425">
        <w:rPr>
          <w:rFonts w:ascii="Times New Roman" w:eastAsia="Times New Roman" w:hAnsi="Times New Roman" w:cs="Times New Roman"/>
          <w:kern w:val="0"/>
          <w:sz w:val="24"/>
          <w:szCs w:val="24"/>
          <w14:ligatures w14:val="none"/>
        </w:rPr>
        <w:t xml:space="preserve"> </w:t>
      </w:r>
      <w:r w:rsidRPr="002F7425">
        <w:rPr>
          <w:rFonts w:ascii="Times New Roman" w:eastAsia="Times New Roman" w:hAnsi="Times New Roman" w:cs="Times New Roman"/>
          <w:kern w:val="0"/>
          <w:sz w:val="24"/>
          <w:szCs w:val="24"/>
          <w14:ligatures w14:val="none"/>
        </w:rPr>
        <w:t>account for 15.1% of valid ocean grid cells globally, corresponding to 84.9% sign agreement. These disagreement regions are spatially structured rather than basin-wide, occurring notably in parts of the equatorial Pacific, tropical Indian Ocean, Southern Ocean, and selected mid-latitude frontal regions. This pattern suggests that disagreement is concentrated in dynamically complex regions where mapping choices and data constraints can exert a stronger influence on local trend estimates.</w:t>
      </w:r>
    </w:p>
    <w:p w14:paraId="2588C800" w14:textId="27536925" w:rsidR="002F7425" w:rsidRPr="002F7425" w:rsidRDefault="002F7425" w:rsidP="00AE0C47">
      <w:pPr>
        <w:spacing w:before="100" w:beforeAutospacing="1" w:after="100" w:afterAutospacing="1" w:line="240" w:lineRule="auto"/>
        <w:rPr>
          <w:rFonts w:ascii="Times New Roman" w:eastAsia="Times New Roman" w:hAnsi="Times New Roman" w:cs="Times New Roman"/>
          <w:kern w:val="0"/>
          <w:sz w:val="24"/>
          <w:szCs w:val="24"/>
          <w14:ligatures w14:val="none"/>
        </w:rPr>
      </w:pPr>
      <w:r w:rsidRPr="002F7425">
        <w:rPr>
          <w:rFonts w:ascii="Times New Roman" w:eastAsia="Times New Roman" w:hAnsi="Times New Roman" w:cs="Times New Roman"/>
          <w:kern w:val="0"/>
          <w:sz w:val="24"/>
          <w:szCs w:val="24"/>
          <w14:ligatures w14:val="none"/>
        </w:rPr>
        <w:t>Such localized differences are expected given the methodological contrasts between the two reconstructions. GOBAI-O</w:t>
      </w:r>
      <w:r w:rsidRPr="002F7425">
        <w:rPr>
          <w:rFonts w:ascii="Times New Roman" w:eastAsia="Times New Roman" w:hAnsi="Times New Roman" w:cs="Times New Roman"/>
          <w:kern w:val="0"/>
          <w:sz w:val="24"/>
          <w:szCs w:val="24"/>
          <w:vertAlign w:val="subscript"/>
          <w14:ligatures w14:val="none"/>
        </w:rPr>
        <w:t>2</w:t>
      </w:r>
      <w:r w:rsidRPr="002F7425">
        <w:rPr>
          <w:rFonts w:ascii="Times New Roman" w:eastAsia="Times New Roman" w:hAnsi="Times New Roman" w:cs="Times New Roman"/>
          <w:kern w:val="0"/>
          <w:sz w:val="24"/>
          <w:szCs w:val="24"/>
          <w14:ligatures w14:val="none"/>
        </w:rPr>
        <w:t xml:space="preserve"> is trained on post-2004 quality-controlled GLODAP and BGC-Argo oxygen observations, with all profiles interpolated to the 58 standard pressure levels used in the final product, and applies regional feed-forward neural-network and random-forest regressions to gridded temperature and salinity fields </w:t>
      </w:r>
      <w:r w:rsidR="00E7259A">
        <w:rPr>
          <w:rFonts w:ascii="Times New Roman" w:eastAsia="Times New Roman" w:hAnsi="Times New Roman" w:cs="Times New Roman"/>
          <w:kern w:val="0"/>
          <w:sz w:val="24"/>
          <w:szCs w:val="24"/>
          <w14:ligatures w14:val="none"/>
        </w:rPr>
        <w:t>from an</w:t>
      </w:r>
      <w:r w:rsidRPr="002F7425">
        <w:rPr>
          <w:rFonts w:ascii="Times New Roman" w:eastAsia="Times New Roman" w:hAnsi="Times New Roman" w:cs="Times New Roman"/>
          <w:kern w:val="0"/>
          <w:sz w:val="24"/>
          <w:szCs w:val="24"/>
          <w14:ligatures w14:val="none"/>
        </w:rPr>
        <w:t xml:space="preserve"> Argo climatology</w:t>
      </w:r>
      <w:r w:rsidR="00B80EFD" w:rsidRPr="00E7259A">
        <w:rPr>
          <w:rFonts w:ascii="Times New Roman" w:eastAsia="Times New Roman" w:hAnsi="Times New Roman" w:cs="Times New Roman"/>
          <w:kern w:val="0"/>
          <w:sz w:val="24"/>
          <w:szCs w:val="24"/>
          <w14:ligatures w14:val="none"/>
        </w:rPr>
        <w:t xml:space="preserve"> (</w:t>
      </w:r>
      <w:r w:rsidR="00E7259A" w:rsidRPr="00E7259A">
        <w:rPr>
          <w:rFonts w:ascii="Times New Roman" w:hAnsi="Times New Roman" w:cs="Times New Roman"/>
          <w:noProof/>
          <w:sz w:val="24"/>
          <w:szCs w:val="24"/>
        </w:rPr>
        <w:t>Roemmich, D., &amp; Gilson, J., 2009</w:t>
      </w:r>
      <w:r w:rsidR="00B80EFD" w:rsidRPr="00E7259A">
        <w:rPr>
          <w:rFonts w:ascii="Times New Roman" w:eastAsia="Times New Roman" w:hAnsi="Times New Roman" w:cs="Times New Roman"/>
          <w:kern w:val="0"/>
          <w:sz w:val="24"/>
          <w:szCs w:val="24"/>
          <w14:ligatures w14:val="none"/>
        </w:rPr>
        <w:t>)</w:t>
      </w:r>
      <w:r w:rsidRPr="002F7425">
        <w:rPr>
          <w:rFonts w:ascii="Times New Roman" w:eastAsia="Times New Roman" w:hAnsi="Times New Roman" w:cs="Times New Roman"/>
          <w:kern w:val="0"/>
          <w:sz w:val="24"/>
          <w:szCs w:val="24"/>
          <w14:ligatures w14:val="none"/>
        </w:rPr>
        <w:t>, with overlap regions blended to reduce sharp regional transitions. GOBAI-O</w:t>
      </w:r>
      <w:r w:rsidRPr="002F7425">
        <w:rPr>
          <w:rFonts w:ascii="Times New Roman" w:eastAsia="Times New Roman" w:hAnsi="Times New Roman" w:cs="Times New Roman"/>
          <w:kern w:val="0"/>
          <w:sz w:val="24"/>
          <w:szCs w:val="24"/>
          <w:vertAlign w:val="subscript"/>
          <w14:ligatures w14:val="none"/>
        </w:rPr>
        <w:t>2</w:t>
      </w:r>
      <w:r w:rsidRPr="002F7425">
        <w:rPr>
          <w:rFonts w:ascii="Times New Roman" w:eastAsia="Times New Roman" w:hAnsi="Times New Roman" w:cs="Times New Roman"/>
          <w:kern w:val="0"/>
          <w:sz w:val="24"/>
          <w:szCs w:val="24"/>
          <w14:ligatures w14:val="none"/>
        </w:rPr>
        <w:t xml:space="preserve"> </w:t>
      </w:r>
      <w:r w:rsidR="00A55718">
        <w:rPr>
          <w:rFonts w:ascii="Times New Roman" w:eastAsia="Times New Roman" w:hAnsi="Times New Roman" w:cs="Times New Roman"/>
          <w:kern w:val="0"/>
          <w:sz w:val="24"/>
          <w:szCs w:val="24"/>
          <w14:ligatures w14:val="none"/>
        </w:rPr>
        <w:t>also</w:t>
      </w:r>
      <w:r w:rsidRPr="002F7425">
        <w:rPr>
          <w:rFonts w:ascii="Times New Roman" w:eastAsia="Times New Roman" w:hAnsi="Times New Roman" w:cs="Times New Roman"/>
          <w:kern w:val="0"/>
          <w:sz w:val="24"/>
          <w:szCs w:val="24"/>
          <w14:ligatures w14:val="none"/>
        </w:rPr>
        <w:t xml:space="preserve"> provides an explicit uncertainty framework that combines measurement, gridding, and algorithm components, and its published global-scale RMSD against withheld validation data is 8.8 µmol kg</w:t>
      </w:r>
      <w:r w:rsidRPr="002F7425">
        <w:rPr>
          <w:rFonts w:ascii="Times New Roman" w:eastAsia="Times New Roman" w:hAnsi="Times New Roman" w:cs="Times New Roman"/>
          <w:kern w:val="0"/>
          <w:sz w:val="24"/>
          <w:szCs w:val="24"/>
          <w:vertAlign w:val="superscript"/>
          <w14:ligatures w14:val="none"/>
        </w:rPr>
        <w:t>−1</w:t>
      </w:r>
      <w:r w:rsidRPr="002F7425">
        <w:rPr>
          <w:rFonts w:ascii="Times New Roman" w:eastAsia="Times New Roman" w:hAnsi="Times New Roman" w:cs="Times New Roman"/>
          <w:kern w:val="0"/>
          <w:sz w:val="24"/>
          <w:szCs w:val="24"/>
          <w14:ligatures w14:val="none"/>
        </w:rPr>
        <w:t>. In contrast, ML</w:t>
      </w:r>
      <w:r w:rsidRPr="00911C42">
        <w:rPr>
          <w:rFonts w:ascii="Times New Roman" w:eastAsia="Times New Roman" w:hAnsi="Times New Roman" w:cs="Times New Roman"/>
          <w:kern w:val="0"/>
          <w:sz w:val="24"/>
          <w:szCs w:val="24"/>
          <w:vertAlign w:val="subscript"/>
          <w14:ligatures w14:val="none"/>
        </w:rPr>
        <w:t>4</w:t>
      </w:r>
      <w:r w:rsidRPr="002F7425">
        <w:rPr>
          <w:rFonts w:ascii="Times New Roman" w:eastAsia="Times New Roman" w:hAnsi="Times New Roman" w:cs="Times New Roman"/>
          <w:kern w:val="0"/>
          <w:sz w:val="24"/>
          <w:szCs w:val="24"/>
          <w14:ligatures w14:val="none"/>
        </w:rPr>
        <w:t>O</w:t>
      </w:r>
      <w:r w:rsidRPr="00911C42">
        <w:rPr>
          <w:rFonts w:ascii="Times New Roman" w:eastAsia="Times New Roman" w:hAnsi="Times New Roman" w:cs="Times New Roman"/>
          <w:kern w:val="0"/>
          <w:sz w:val="24"/>
          <w:szCs w:val="24"/>
          <w:vertAlign w:val="subscript"/>
          <w14:ligatures w14:val="none"/>
        </w:rPr>
        <w:t>2</w:t>
      </w:r>
      <w:r w:rsidRPr="002F7425">
        <w:rPr>
          <w:rFonts w:ascii="Times New Roman" w:eastAsia="Times New Roman" w:hAnsi="Times New Roman" w:cs="Times New Roman"/>
          <w:kern w:val="0"/>
          <w:sz w:val="24"/>
          <w:szCs w:val="24"/>
          <w14:ligatures w14:val="none"/>
        </w:rPr>
        <w:t xml:space="preserve"> combines historical shipboard observations from WOD18 with Argo-O</w:t>
      </w:r>
      <w:r w:rsidRPr="002F7425">
        <w:rPr>
          <w:rFonts w:ascii="Times New Roman" w:eastAsia="Times New Roman" w:hAnsi="Times New Roman" w:cs="Times New Roman"/>
          <w:kern w:val="0"/>
          <w:sz w:val="24"/>
          <w:szCs w:val="24"/>
          <w:vertAlign w:val="subscript"/>
          <w14:ligatures w14:val="none"/>
        </w:rPr>
        <w:t>2</w:t>
      </w:r>
      <w:r w:rsidRPr="002F7425">
        <w:rPr>
          <w:rFonts w:ascii="Times New Roman" w:eastAsia="Times New Roman" w:hAnsi="Times New Roman" w:cs="Times New Roman"/>
          <w:kern w:val="0"/>
          <w:sz w:val="24"/>
          <w:szCs w:val="24"/>
          <w14:ligatures w14:val="none"/>
        </w:rPr>
        <w:t xml:space="preserve"> data over a longer training period beginning in 1965, uses basin-based ensemble reconstructions with different predictor sets and hyperparameters, and constrains robustness through decadal cross-validation. Ito et al. report a larger global-scale RMSE for </w:t>
      </w:r>
      <w:r w:rsidR="003A2169" w:rsidRPr="002F7425">
        <w:rPr>
          <w:rFonts w:ascii="Times New Roman" w:eastAsia="Times New Roman" w:hAnsi="Times New Roman" w:cs="Times New Roman"/>
          <w:kern w:val="0"/>
          <w:sz w:val="24"/>
          <w:szCs w:val="24"/>
          <w14:ligatures w14:val="none"/>
        </w:rPr>
        <w:t>ML</w:t>
      </w:r>
      <w:r w:rsidR="003A2169" w:rsidRPr="002F7425">
        <w:rPr>
          <w:rFonts w:ascii="Times New Roman" w:eastAsia="Times New Roman" w:hAnsi="Times New Roman" w:cs="Times New Roman"/>
          <w:kern w:val="0"/>
          <w:sz w:val="24"/>
          <w:szCs w:val="24"/>
          <w:vertAlign w:val="subscript"/>
          <w14:ligatures w14:val="none"/>
        </w:rPr>
        <w:t>4</w:t>
      </w:r>
      <w:r w:rsidR="003A2169" w:rsidRPr="002F7425">
        <w:rPr>
          <w:rFonts w:ascii="Times New Roman" w:eastAsia="Times New Roman" w:hAnsi="Times New Roman" w:cs="Times New Roman"/>
          <w:kern w:val="0"/>
          <w:sz w:val="24"/>
          <w:szCs w:val="24"/>
          <w14:ligatures w14:val="none"/>
        </w:rPr>
        <w:t>O</w:t>
      </w:r>
      <w:r w:rsidR="003A2169" w:rsidRPr="002F7425">
        <w:rPr>
          <w:rFonts w:ascii="Times New Roman" w:eastAsia="Times New Roman" w:hAnsi="Times New Roman" w:cs="Times New Roman"/>
          <w:kern w:val="0"/>
          <w:sz w:val="24"/>
          <w:szCs w:val="24"/>
          <w:vertAlign w:val="subscript"/>
          <w14:ligatures w14:val="none"/>
        </w:rPr>
        <w:t>2</w:t>
      </w:r>
      <w:r w:rsidR="003A2169" w:rsidRPr="002F7425">
        <w:rPr>
          <w:rFonts w:ascii="Times New Roman" w:eastAsia="Times New Roman" w:hAnsi="Times New Roman" w:cs="Times New Roman"/>
          <w:kern w:val="0"/>
          <w:sz w:val="24"/>
          <w:szCs w:val="24"/>
          <w14:ligatures w14:val="none"/>
        </w:rPr>
        <w:t xml:space="preserve"> </w:t>
      </w:r>
      <w:r w:rsidRPr="002F7425">
        <w:rPr>
          <w:rFonts w:ascii="Times New Roman" w:eastAsia="Times New Roman" w:hAnsi="Times New Roman" w:cs="Times New Roman"/>
          <w:kern w:val="0"/>
          <w:sz w:val="24"/>
          <w:szCs w:val="24"/>
          <w14:ligatures w14:val="none"/>
        </w:rPr>
        <w:t>of about 13–18 µmol kg</w:t>
      </w:r>
      <w:r w:rsidRPr="002F7425">
        <w:rPr>
          <w:rFonts w:ascii="Times New Roman" w:eastAsia="Times New Roman" w:hAnsi="Times New Roman" w:cs="Times New Roman"/>
          <w:kern w:val="0"/>
          <w:sz w:val="24"/>
          <w:szCs w:val="24"/>
          <w:vertAlign w:val="superscript"/>
          <w14:ligatures w14:val="none"/>
        </w:rPr>
        <w:t>−1</w:t>
      </w:r>
      <w:r w:rsidRPr="002F7425">
        <w:rPr>
          <w:rFonts w:ascii="Times New Roman" w:eastAsia="Times New Roman" w:hAnsi="Times New Roman" w:cs="Times New Roman"/>
          <w:kern w:val="0"/>
          <w:sz w:val="24"/>
          <w:szCs w:val="24"/>
          <w14:ligatures w14:val="none"/>
        </w:rPr>
        <w:t>, consistent with differences in source data, training strategy, and ensemble design. These contrasts in source databases, temporal coverage, predictor choice, regionalization, and validation framework provide a plausible explanation for the observed local mismatches in trend amplitude and, in some cases, trend sign.</w:t>
      </w:r>
    </w:p>
    <w:p w14:paraId="0B6D80F2" w14:textId="7B577428" w:rsidR="002F7425" w:rsidRPr="002F7425" w:rsidRDefault="002F7425" w:rsidP="00AE0C47">
      <w:pPr>
        <w:spacing w:before="100" w:beforeAutospacing="1" w:after="100" w:afterAutospacing="1" w:line="240" w:lineRule="auto"/>
        <w:rPr>
          <w:rFonts w:ascii="Times New Roman" w:eastAsia="Times New Roman" w:hAnsi="Times New Roman" w:cs="Times New Roman"/>
          <w:kern w:val="0"/>
          <w:sz w:val="24"/>
          <w:szCs w:val="24"/>
          <w14:ligatures w14:val="none"/>
        </w:rPr>
      </w:pPr>
      <w:r w:rsidRPr="002F7425">
        <w:rPr>
          <w:rFonts w:ascii="Times New Roman" w:eastAsia="Times New Roman" w:hAnsi="Times New Roman" w:cs="Times New Roman"/>
          <w:kern w:val="0"/>
          <w:sz w:val="24"/>
          <w:szCs w:val="24"/>
          <w14:ligatures w14:val="none"/>
        </w:rPr>
        <w:t>To assess whether disagreement tends to occur preferentially where GOBAI-O</w:t>
      </w:r>
      <w:r w:rsidRPr="002F7425">
        <w:rPr>
          <w:rFonts w:ascii="Times New Roman" w:eastAsia="Times New Roman" w:hAnsi="Times New Roman" w:cs="Times New Roman"/>
          <w:kern w:val="0"/>
          <w:sz w:val="24"/>
          <w:szCs w:val="24"/>
          <w:vertAlign w:val="subscript"/>
          <w14:ligatures w14:val="none"/>
        </w:rPr>
        <w:t>2</w:t>
      </w:r>
      <w:r w:rsidRPr="002F7425">
        <w:rPr>
          <w:rFonts w:ascii="Times New Roman" w:eastAsia="Times New Roman" w:hAnsi="Times New Roman" w:cs="Times New Roman"/>
          <w:kern w:val="0"/>
          <w:sz w:val="24"/>
          <w:szCs w:val="24"/>
          <w14:ligatures w14:val="none"/>
        </w:rPr>
        <w:t xml:space="preserve"> trends are weakly constrained, we further separated sign-disagreement pixels according to whether the GOBAI-O</w:t>
      </w:r>
      <w:r w:rsidRPr="002F7425">
        <w:rPr>
          <w:rFonts w:ascii="Times New Roman" w:eastAsia="Times New Roman" w:hAnsi="Times New Roman" w:cs="Times New Roman"/>
          <w:kern w:val="0"/>
          <w:sz w:val="24"/>
          <w:szCs w:val="24"/>
          <w:vertAlign w:val="subscript"/>
          <w14:ligatures w14:val="none"/>
        </w:rPr>
        <w:t>2</w:t>
      </w:r>
      <w:r w:rsidRPr="002F7425">
        <w:rPr>
          <w:rFonts w:ascii="Times New Roman" w:eastAsia="Times New Roman" w:hAnsi="Times New Roman" w:cs="Times New Roman"/>
          <w:kern w:val="0"/>
          <w:sz w:val="24"/>
          <w:szCs w:val="24"/>
          <w14:ligatures w14:val="none"/>
        </w:rPr>
        <w:t xml:space="preserve"> trend was statistically distinguishable from zero. Of all disagreement pixels, 52.33% occur where the GOBAI-O</w:t>
      </w:r>
      <w:r w:rsidRPr="002F7425">
        <w:rPr>
          <w:rFonts w:ascii="Times New Roman" w:eastAsia="Times New Roman" w:hAnsi="Times New Roman" w:cs="Times New Roman"/>
          <w:kern w:val="0"/>
          <w:sz w:val="24"/>
          <w:szCs w:val="24"/>
          <w:vertAlign w:val="subscript"/>
          <w14:ligatures w14:val="none"/>
        </w:rPr>
        <w:t>2</w:t>
      </w:r>
      <w:r w:rsidRPr="002F7425">
        <w:rPr>
          <w:rFonts w:ascii="Times New Roman" w:eastAsia="Times New Roman" w:hAnsi="Times New Roman" w:cs="Times New Roman"/>
          <w:kern w:val="0"/>
          <w:sz w:val="24"/>
          <w:szCs w:val="24"/>
          <w14:ligatures w14:val="none"/>
        </w:rPr>
        <w:t xml:space="preserve"> trend is significant at p &lt; 0.05, whereas 47.67% occur where the GOBAI-O</w:t>
      </w:r>
      <w:r w:rsidRPr="002F7425">
        <w:rPr>
          <w:rFonts w:ascii="Times New Roman" w:eastAsia="Times New Roman" w:hAnsi="Times New Roman" w:cs="Times New Roman"/>
          <w:kern w:val="0"/>
          <w:sz w:val="24"/>
          <w:szCs w:val="24"/>
          <w:vertAlign w:val="subscript"/>
          <w14:ligatures w14:val="none"/>
        </w:rPr>
        <w:t>2</w:t>
      </w:r>
      <w:r w:rsidRPr="002F7425">
        <w:rPr>
          <w:rFonts w:ascii="Times New Roman" w:eastAsia="Times New Roman" w:hAnsi="Times New Roman" w:cs="Times New Roman"/>
          <w:kern w:val="0"/>
          <w:sz w:val="24"/>
          <w:szCs w:val="24"/>
          <w14:ligatures w14:val="none"/>
        </w:rPr>
        <w:t xml:space="preserve"> trend is not significant (Fig. S4).</w:t>
      </w:r>
      <w:r w:rsidR="001A399A">
        <w:rPr>
          <w:rFonts w:ascii="Times New Roman" w:eastAsia="Times New Roman" w:hAnsi="Times New Roman" w:cs="Times New Roman"/>
          <w:kern w:val="0"/>
          <w:sz w:val="24"/>
          <w:szCs w:val="24"/>
          <w14:ligatures w14:val="none"/>
        </w:rPr>
        <w:t xml:space="preserve"> Thus,</w:t>
      </w:r>
      <w:r w:rsidRPr="002F7425">
        <w:rPr>
          <w:rFonts w:ascii="Times New Roman" w:eastAsia="Times New Roman" w:hAnsi="Times New Roman" w:cs="Times New Roman"/>
          <w:kern w:val="0"/>
          <w:sz w:val="24"/>
          <w:szCs w:val="24"/>
          <w14:ligatures w14:val="none"/>
        </w:rPr>
        <w:t xml:space="preserve"> </w:t>
      </w:r>
      <w:r w:rsidR="001A399A" w:rsidRPr="001A399A">
        <w:rPr>
          <w:rFonts w:ascii="Times New Roman" w:eastAsia="Times New Roman" w:hAnsi="Times New Roman" w:cs="Times New Roman"/>
          <w:kern w:val="0"/>
          <w:sz w:val="24"/>
          <w:szCs w:val="24"/>
          <w14:ligatures w14:val="none"/>
        </w:rPr>
        <w:t>only 7.90% of valid ocean grid cells show sign disagreement in regions where GOBAI-O</w:t>
      </w:r>
      <w:r w:rsidR="001A399A" w:rsidRPr="001A399A">
        <w:rPr>
          <w:rFonts w:ascii="Times New Roman" w:eastAsia="Times New Roman" w:hAnsi="Times New Roman" w:cs="Times New Roman"/>
          <w:kern w:val="0"/>
          <w:sz w:val="24"/>
          <w:szCs w:val="24"/>
          <w:vertAlign w:val="subscript"/>
          <w14:ligatures w14:val="none"/>
        </w:rPr>
        <w:t>2</w:t>
      </w:r>
      <w:r w:rsidR="001A399A" w:rsidRPr="001A399A">
        <w:rPr>
          <w:rFonts w:ascii="Times New Roman" w:eastAsia="Times New Roman" w:hAnsi="Times New Roman" w:cs="Times New Roman"/>
          <w:kern w:val="0"/>
          <w:sz w:val="24"/>
          <w:szCs w:val="24"/>
          <w14:ligatures w14:val="none"/>
        </w:rPr>
        <w:t xml:space="preserve"> indicates a statistically significant trend</w:t>
      </w:r>
      <w:r w:rsidR="00B2354A">
        <w:rPr>
          <w:rFonts w:ascii="Times New Roman" w:eastAsia="Times New Roman" w:hAnsi="Times New Roman" w:cs="Times New Roman"/>
          <w:kern w:val="0"/>
          <w:sz w:val="24"/>
          <w:szCs w:val="24"/>
          <w14:ligatures w14:val="none"/>
        </w:rPr>
        <w:t xml:space="preserve">. </w:t>
      </w:r>
      <w:r w:rsidRPr="002F7425">
        <w:rPr>
          <w:rFonts w:ascii="Times New Roman" w:eastAsia="Times New Roman" w:hAnsi="Times New Roman" w:cs="Times New Roman"/>
          <w:kern w:val="0"/>
          <w:sz w:val="24"/>
          <w:szCs w:val="24"/>
          <w14:ligatures w14:val="none"/>
        </w:rPr>
        <w:t>This implies that differences between the products reflect structural differences in reconstruction behavior in specific dynamical regimes, rather than arising only from weakly constrained regions in GOBAI-O</w:t>
      </w:r>
      <w:r w:rsidRPr="002F7425">
        <w:rPr>
          <w:rFonts w:ascii="Times New Roman" w:eastAsia="Times New Roman" w:hAnsi="Times New Roman" w:cs="Times New Roman"/>
          <w:kern w:val="0"/>
          <w:sz w:val="24"/>
          <w:szCs w:val="24"/>
          <w:vertAlign w:val="subscript"/>
          <w14:ligatures w14:val="none"/>
        </w:rPr>
        <w:t>2</w:t>
      </w:r>
      <w:r w:rsidRPr="002F7425">
        <w:rPr>
          <w:rFonts w:ascii="Times New Roman" w:eastAsia="Times New Roman" w:hAnsi="Times New Roman" w:cs="Times New Roman"/>
          <w:kern w:val="0"/>
          <w:sz w:val="24"/>
          <w:szCs w:val="24"/>
          <w14:ligatures w14:val="none"/>
        </w:rPr>
        <w:t>.</w:t>
      </w:r>
    </w:p>
    <w:p w14:paraId="0EC742FF" w14:textId="5CC2A385" w:rsidR="002F7425" w:rsidRPr="002F7425" w:rsidRDefault="002F7425" w:rsidP="00AE0C47">
      <w:pPr>
        <w:spacing w:before="100" w:beforeAutospacing="1" w:after="100" w:afterAutospacing="1" w:line="240" w:lineRule="auto"/>
        <w:rPr>
          <w:rFonts w:ascii="Times New Roman" w:eastAsia="Times New Roman" w:hAnsi="Times New Roman" w:cs="Times New Roman"/>
          <w:kern w:val="0"/>
          <w:sz w:val="24"/>
          <w:szCs w:val="24"/>
          <w14:ligatures w14:val="none"/>
        </w:rPr>
      </w:pPr>
      <w:r w:rsidRPr="00165357">
        <w:rPr>
          <w:rFonts w:ascii="Times New Roman" w:eastAsia="Times New Roman" w:hAnsi="Times New Roman" w:cs="Times New Roman"/>
          <w:kern w:val="0"/>
          <w:sz w:val="24"/>
          <w:szCs w:val="24"/>
          <w:u w:val="single"/>
          <w14:ligatures w14:val="none"/>
        </w:rPr>
        <w:lastRenderedPageBreak/>
        <w:t>Taken together, the broad agreement in large-scale oxygen trend patterns across two independent reconstructions indicates that the inferred oxygen redistribution underlying our DIC</w:t>
      </w:r>
      <w:r w:rsidRPr="00165357">
        <w:rPr>
          <w:rFonts w:ascii="Times New Roman" w:eastAsia="Times New Roman" w:hAnsi="Times New Roman" w:cs="Times New Roman"/>
          <w:kern w:val="0"/>
          <w:sz w:val="24"/>
          <w:szCs w:val="24"/>
          <w:u w:val="single"/>
          <w:vertAlign w:val="subscript"/>
          <w14:ligatures w14:val="none"/>
        </w:rPr>
        <w:t>soft</w:t>
      </w:r>
      <w:r w:rsidRPr="00165357">
        <w:rPr>
          <w:rFonts w:ascii="Times New Roman" w:eastAsia="Times New Roman" w:hAnsi="Times New Roman" w:cs="Times New Roman"/>
          <w:kern w:val="0"/>
          <w:sz w:val="24"/>
          <w:szCs w:val="24"/>
          <w:u w:val="single"/>
          <w14:ligatures w14:val="none"/>
        </w:rPr>
        <w:t xml:space="preserve"> analysis is unlikely to be an artefact of a single oxygen product or mapping methodology, while the localized disagreement highlights the sensitivity of regional trend estimates in observationally sparse or dynamically complex regions.</w:t>
      </w:r>
      <w:r w:rsidRPr="002F7425">
        <w:rPr>
          <w:rFonts w:ascii="Times New Roman" w:eastAsia="Times New Roman" w:hAnsi="Times New Roman" w:cs="Times New Roman"/>
          <w:kern w:val="0"/>
          <w:sz w:val="24"/>
          <w:szCs w:val="24"/>
          <w14:ligatures w14:val="none"/>
        </w:rPr>
        <w:t xml:space="preserve"> GOBAI-O</w:t>
      </w:r>
      <w:r w:rsidRPr="002F7425">
        <w:rPr>
          <w:rFonts w:ascii="Times New Roman" w:eastAsia="Times New Roman" w:hAnsi="Times New Roman" w:cs="Times New Roman"/>
          <w:kern w:val="0"/>
          <w:sz w:val="24"/>
          <w:szCs w:val="24"/>
          <w:vertAlign w:val="subscript"/>
          <w14:ligatures w14:val="none"/>
        </w:rPr>
        <w:t>2</w:t>
      </w:r>
      <w:r w:rsidRPr="002F7425">
        <w:rPr>
          <w:rFonts w:ascii="Times New Roman" w:eastAsia="Times New Roman" w:hAnsi="Times New Roman" w:cs="Times New Roman"/>
          <w:kern w:val="0"/>
          <w:sz w:val="24"/>
          <w:szCs w:val="24"/>
          <w14:ligatures w14:val="none"/>
        </w:rPr>
        <w:t xml:space="preserve"> v2.3 was therefore retained as the primary oxygen product because it is the product most technically compatible with the present end-to-end GCC-DIC workflow: it provides monthly global oxygen fields on a 1° × 1° grid from 2004 onward and, in its updated form, to 2024; extends from the surface to 2 km on 58 pressure levels; is embedded in a framework with gridded temperature and salinity fields required for the CONTENT and CANYON-B calculations; and includes an explicit gridded uncertainty framework that can be propagated through the downstream DIC analysis. </w:t>
      </w:r>
      <w:r w:rsidR="00CB58AE" w:rsidRPr="00CB58AE">
        <w:rPr>
          <w:rFonts w:ascii="Times New Roman" w:eastAsia="Times New Roman" w:hAnsi="Times New Roman" w:cs="Times New Roman"/>
          <w:kern w:val="0"/>
          <w:sz w:val="24"/>
          <w:szCs w:val="24"/>
          <w14:ligatures w14:val="none"/>
        </w:rPr>
        <w:t xml:space="preserve">By contrast, </w:t>
      </w:r>
      <w:r w:rsidR="00CB58AE" w:rsidRPr="002F7425">
        <w:rPr>
          <w:rFonts w:ascii="Times New Roman" w:eastAsia="Times New Roman" w:hAnsi="Times New Roman" w:cs="Times New Roman"/>
          <w:kern w:val="0"/>
          <w:sz w:val="24"/>
          <w:szCs w:val="24"/>
          <w14:ligatures w14:val="none"/>
        </w:rPr>
        <w:t>ML</w:t>
      </w:r>
      <w:r w:rsidR="00CB58AE" w:rsidRPr="002F7425">
        <w:rPr>
          <w:rFonts w:ascii="Times New Roman" w:eastAsia="Times New Roman" w:hAnsi="Times New Roman" w:cs="Times New Roman"/>
          <w:kern w:val="0"/>
          <w:sz w:val="24"/>
          <w:szCs w:val="24"/>
          <w:vertAlign w:val="subscript"/>
          <w14:ligatures w14:val="none"/>
        </w:rPr>
        <w:t>4</w:t>
      </w:r>
      <w:r w:rsidR="00CB58AE" w:rsidRPr="002F7425">
        <w:rPr>
          <w:rFonts w:ascii="Times New Roman" w:eastAsia="Times New Roman" w:hAnsi="Times New Roman" w:cs="Times New Roman"/>
          <w:kern w:val="0"/>
          <w:sz w:val="24"/>
          <w:szCs w:val="24"/>
          <w14:ligatures w14:val="none"/>
        </w:rPr>
        <w:t>O</w:t>
      </w:r>
      <w:r w:rsidR="00CB58AE" w:rsidRPr="002F7425">
        <w:rPr>
          <w:rFonts w:ascii="Times New Roman" w:eastAsia="Times New Roman" w:hAnsi="Times New Roman" w:cs="Times New Roman"/>
          <w:kern w:val="0"/>
          <w:sz w:val="24"/>
          <w:szCs w:val="24"/>
          <w:vertAlign w:val="subscript"/>
          <w14:ligatures w14:val="none"/>
        </w:rPr>
        <w:t>2</w:t>
      </w:r>
      <w:r w:rsidR="00CB58AE" w:rsidRPr="002F7425">
        <w:rPr>
          <w:rFonts w:ascii="Times New Roman" w:eastAsia="Times New Roman" w:hAnsi="Times New Roman" w:cs="Times New Roman"/>
          <w:kern w:val="0"/>
          <w:sz w:val="24"/>
          <w:szCs w:val="24"/>
          <w14:ligatures w14:val="none"/>
        </w:rPr>
        <w:t xml:space="preserve"> </w:t>
      </w:r>
      <w:r w:rsidR="00CB58AE" w:rsidRPr="00CB58AE">
        <w:rPr>
          <w:rFonts w:ascii="Times New Roman" w:eastAsia="Times New Roman" w:hAnsi="Times New Roman" w:cs="Times New Roman"/>
          <w:kern w:val="0"/>
          <w:sz w:val="24"/>
          <w:szCs w:val="24"/>
          <w14:ligatures w14:val="none"/>
        </w:rPr>
        <w:t>was used here as an independent oxygen-only sensitivity test because, in addition to having its own methodological uncertainties and a higher published RMSE</w:t>
      </w:r>
      <w:r w:rsidR="00116E01">
        <w:rPr>
          <w:rFonts w:ascii="Times New Roman" w:eastAsia="Times New Roman" w:hAnsi="Times New Roman" w:cs="Times New Roman"/>
          <w:kern w:val="0"/>
          <w:sz w:val="24"/>
          <w:szCs w:val="24"/>
          <w14:ligatures w14:val="none"/>
        </w:rPr>
        <w:t xml:space="preserve"> (</w:t>
      </w:r>
      <w:r w:rsidR="00116E01" w:rsidRPr="002F7425">
        <w:rPr>
          <w:rFonts w:ascii="Times New Roman" w:eastAsia="Times New Roman" w:hAnsi="Times New Roman" w:cs="Times New Roman"/>
          <w:kern w:val="0"/>
          <w:sz w:val="24"/>
          <w:szCs w:val="24"/>
          <w14:ligatures w14:val="none"/>
        </w:rPr>
        <w:t xml:space="preserve">13–18 </w:t>
      </w:r>
      <w:r w:rsidR="00116E01">
        <w:rPr>
          <w:rFonts w:ascii="Times New Roman" w:eastAsia="Times New Roman" w:hAnsi="Times New Roman" w:cs="Times New Roman"/>
          <w:kern w:val="0"/>
          <w:sz w:val="24"/>
          <w:szCs w:val="24"/>
          <w14:ligatures w14:val="none"/>
        </w:rPr>
        <w:t xml:space="preserve">&gt; 8.8 </w:t>
      </w:r>
      <w:r w:rsidR="00116E01" w:rsidRPr="002F7425">
        <w:rPr>
          <w:rFonts w:ascii="Times New Roman" w:eastAsia="Times New Roman" w:hAnsi="Times New Roman" w:cs="Times New Roman"/>
          <w:kern w:val="0"/>
          <w:sz w:val="24"/>
          <w:szCs w:val="24"/>
          <w14:ligatures w14:val="none"/>
        </w:rPr>
        <w:t>µmol kg</w:t>
      </w:r>
      <w:r w:rsidR="00116E01" w:rsidRPr="002F7425">
        <w:rPr>
          <w:rFonts w:ascii="Times New Roman" w:eastAsia="Times New Roman" w:hAnsi="Times New Roman" w:cs="Times New Roman"/>
          <w:kern w:val="0"/>
          <w:sz w:val="24"/>
          <w:szCs w:val="24"/>
          <w:vertAlign w:val="superscript"/>
          <w14:ligatures w14:val="none"/>
        </w:rPr>
        <w:t>−1</w:t>
      </w:r>
      <w:r w:rsidR="00116E01" w:rsidRPr="00116E01">
        <w:rPr>
          <w:rFonts w:ascii="Times New Roman" w:eastAsia="Times New Roman" w:hAnsi="Times New Roman" w:cs="Times New Roman"/>
          <w:kern w:val="0"/>
          <w:sz w:val="24"/>
          <w:szCs w:val="24"/>
          <w14:ligatures w14:val="none"/>
        </w:rPr>
        <w:t>)</w:t>
      </w:r>
      <w:r w:rsidR="00CB58AE" w:rsidRPr="00CB58AE">
        <w:rPr>
          <w:rFonts w:ascii="Times New Roman" w:eastAsia="Times New Roman" w:hAnsi="Times New Roman" w:cs="Times New Roman"/>
          <w:kern w:val="0"/>
          <w:sz w:val="24"/>
          <w:szCs w:val="24"/>
          <w14:ligatures w14:val="none"/>
        </w:rPr>
        <w:t>, it does not provide the corresponding hydrographic fields or directly comparable gridded uncertainty fields needed to reproduce the full workflow.</w:t>
      </w:r>
    </w:p>
    <w:p w14:paraId="7125644A" w14:textId="04B3E37D" w:rsidR="00FB608E" w:rsidRDefault="009506A7" w:rsidP="004E1CA4">
      <w:pPr>
        <w:pStyle w:val="Heading1"/>
        <w:rPr>
          <w:rFonts w:ascii="Times New Roman" w:hAnsi="Times New Roman" w:cs="Times New Roman"/>
          <w:b/>
          <w:bCs/>
          <w:sz w:val="24"/>
          <w:szCs w:val="24"/>
          <w:lang w:val="en-GB"/>
        </w:rPr>
      </w:pPr>
      <w:r w:rsidRPr="009506A7">
        <w:rPr>
          <w:rFonts w:ascii="Times New Roman" w:hAnsi="Times New Roman" w:cs="Times New Roman"/>
          <w:b/>
          <w:bCs/>
          <w:sz w:val="24"/>
          <w:szCs w:val="24"/>
          <w:lang w:val="en-GB"/>
        </w:rPr>
        <w:t>Physical diagnostics constraining interpretation of DIC</w:t>
      </w:r>
      <w:r w:rsidRPr="009506A7">
        <w:rPr>
          <w:rFonts w:ascii="Times New Roman" w:hAnsi="Times New Roman" w:cs="Times New Roman"/>
          <w:b/>
          <w:bCs/>
          <w:sz w:val="24"/>
          <w:szCs w:val="24"/>
          <w:vertAlign w:val="subscript"/>
          <w:lang w:val="en-GB"/>
        </w:rPr>
        <w:t>soft</w:t>
      </w:r>
      <w:r w:rsidRPr="009506A7">
        <w:rPr>
          <w:rFonts w:ascii="Times New Roman" w:hAnsi="Times New Roman" w:cs="Times New Roman"/>
          <w:b/>
          <w:bCs/>
          <w:sz w:val="24"/>
          <w:szCs w:val="24"/>
          <w:lang w:val="en-GB"/>
        </w:rPr>
        <w:t> redistribution</w:t>
      </w:r>
      <w:r w:rsidR="00D34D38">
        <w:rPr>
          <w:rFonts w:ascii="Times New Roman" w:hAnsi="Times New Roman" w:cs="Times New Roman"/>
          <w:b/>
          <w:bCs/>
          <w:sz w:val="24"/>
          <w:szCs w:val="24"/>
          <w:lang w:val="en-GB"/>
        </w:rPr>
        <w:t xml:space="preserve"> (now also as a Methods section)</w:t>
      </w:r>
    </w:p>
    <w:p w14:paraId="02F433C5" w14:textId="433BC305" w:rsidR="004E7874" w:rsidRPr="004E7874" w:rsidRDefault="004E7874" w:rsidP="004E1CA4">
      <w:pPr>
        <w:rPr>
          <w:rFonts w:ascii="Times New Roman" w:hAnsi="Times New Roman" w:cs="Times New Roman"/>
          <w:sz w:val="24"/>
          <w:szCs w:val="24"/>
        </w:rPr>
      </w:pPr>
      <w:r w:rsidRPr="004E7874">
        <w:rPr>
          <w:rFonts w:ascii="Times New Roman" w:hAnsi="Times New Roman" w:cs="Times New Roman"/>
          <w:sz w:val="24"/>
          <w:szCs w:val="24"/>
        </w:rPr>
        <w:t>To constrain the physical context of observed DIC</w:t>
      </w:r>
      <w:r w:rsidRPr="00761661">
        <w:rPr>
          <w:rFonts w:ascii="Times New Roman" w:hAnsi="Times New Roman" w:cs="Times New Roman"/>
          <w:sz w:val="24"/>
          <w:szCs w:val="24"/>
          <w:vertAlign w:val="subscript"/>
        </w:rPr>
        <w:t>soft</w:t>
      </w:r>
      <w:r w:rsidRPr="004E7874">
        <w:rPr>
          <w:rFonts w:ascii="Times New Roman" w:hAnsi="Times New Roman" w:cs="Times New Roman"/>
          <w:sz w:val="24"/>
          <w:szCs w:val="24"/>
        </w:rPr>
        <w:t xml:space="preserve"> redistribution patterns without implying mechanistic attribution, we complemented the biogeochemical analysis with independent diagnostics of upper-ocean stratification and water-mass ventilation. These diagnostics were used solely to assess physical consistency and were not employed to infer causal drivers.</w:t>
      </w:r>
    </w:p>
    <w:p w14:paraId="6D72C06A" w14:textId="77777777" w:rsidR="004E7874" w:rsidRPr="004E7874" w:rsidRDefault="004E7874" w:rsidP="004E1CA4">
      <w:pPr>
        <w:rPr>
          <w:rFonts w:ascii="Times New Roman" w:hAnsi="Times New Roman" w:cs="Times New Roman"/>
          <w:i/>
          <w:iCs/>
          <w:sz w:val="24"/>
          <w:szCs w:val="24"/>
          <w:u w:val="single"/>
        </w:rPr>
      </w:pPr>
      <w:r w:rsidRPr="004E7874">
        <w:rPr>
          <w:rFonts w:ascii="Times New Roman" w:hAnsi="Times New Roman" w:cs="Times New Roman"/>
          <w:i/>
          <w:iCs/>
          <w:sz w:val="24"/>
          <w:szCs w:val="24"/>
          <w:u w:val="single"/>
        </w:rPr>
        <w:t>Stratification proxy</w:t>
      </w:r>
    </w:p>
    <w:p w14:paraId="60FD3E01" w14:textId="7C9FD69B" w:rsidR="004E7874" w:rsidRPr="004E7874" w:rsidRDefault="004E7874" w:rsidP="004E1CA4">
      <w:pPr>
        <w:rPr>
          <w:rFonts w:ascii="Times New Roman" w:hAnsi="Times New Roman" w:cs="Times New Roman"/>
          <w:sz w:val="24"/>
          <w:szCs w:val="24"/>
        </w:rPr>
      </w:pPr>
      <w:r w:rsidRPr="004E7874">
        <w:rPr>
          <w:rFonts w:ascii="Times New Roman" w:hAnsi="Times New Roman" w:cs="Times New Roman"/>
          <w:sz w:val="24"/>
          <w:szCs w:val="24"/>
        </w:rPr>
        <w:t>Upper-ocean stratification was quantified using the vertically averaged buoyancy frequency squared (N</w:t>
      </w:r>
      <w:r w:rsidR="00D662C0" w:rsidRPr="00D662C0">
        <w:rPr>
          <w:rFonts w:ascii="Times New Roman" w:hAnsi="Times New Roman" w:cs="Times New Roman"/>
          <w:sz w:val="24"/>
          <w:szCs w:val="24"/>
          <w:vertAlign w:val="superscript"/>
        </w:rPr>
        <w:t>2</w:t>
      </w:r>
      <w:r w:rsidRPr="004E7874">
        <w:rPr>
          <w:rFonts w:ascii="Times New Roman" w:hAnsi="Times New Roman" w:cs="Times New Roman"/>
          <w:sz w:val="24"/>
          <w:szCs w:val="24"/>
        </w:rPr>
        <w:t xml:space="preserve">) over the upper 200 m. For each hydrographic profile, </w:t>
      </w:r>
      <w:r w:rsidR="00D662C0" w:rsidRPr="004E7874">
        <w:rPr>
          <w:rFonts w:ascii="Times New Roman" w:hAnsi="Times New Roman" w:cs="Times New Roman"/>
          <w:sz w:val="24"/>
          <w:szCs w:val="24"/>
        </w:rPr>
        <w:t>N</w:t>
      </w:r>
      <w:r w:rsidR="00D662C0" w:rsidRPr="00D662C0">
        <w:rPr>
          <w:rFonts w:ascii="Times New Roman" w:hAnsi="Times New Roman" w:cs="Times New Roman"/>
          <w:sz w:val="24"/>
          <w:szCs w:val="24"/>
          <w:vertAlign w:val="superscript"/>
        </w:rPr>
        <w:t>2</w:t>
      </w:r>
      <w:r w:rsidR="00D662C0">
        <w:rPr>
          <w:rFonts w:ascii="Times New Roman" w:hAnsi="Times New Roman" w:cs="Times New Roman"/>
          <w:sz w:val="24"/>
          <w:szCs w:val="24"/>
          <w:vertAlign w:val="superscript"/>
        </w:rPr>
        <w:t xml:space="preserve"> </w:t>
      </w:r>
      <w:r w:rsidRPr="004E7874">
        <w:rPr>
          <w:rFonts w:ascii="Times New Roman" w:hAnsi="Times New Roman" w:cs="Times New Roman"/>
          <w:sz w:val="24"/>
          <w:szCs w:val="24"/>
        </w:rPr>
        <w:t>was computed from Absolute Salinity and Conservative Temperature using the TEOS-10 framework. N</w:t>
      </w:r>
      <w:r w:rsidR="00C7389B" w:rsidRPr="00D662C0">
        <w:rPr>
          <w:rFonts w:ascii="Times New Roman" w:hAnsi="Times New Roman" w:cs="Times New Roman"/>
          <w:sz w:val="24"/>
          <w:szCs w:val="24"/>
          <w:vertAlign w:val="superscript"/>
        </w:rPr>
        <w:t>2</w:t>
      </w:r>
      <w:r w:rsidRPr="004E7874">
        <w:rPr>
          <w:rFonts w:ascii="Times New Roman" w:hAnsi="Times New Roman" w:cs="Times New Roman"/>
          <w:sz w:val="24"/>
          <w:szCs w:val="24"/>
        </w:rPr>
        <w:t xml:space="preserve"> values were calculated at pressure midpoints and vertically averaged over 0–200 m using pressure-weighted integration. Annual means were computed and linear trends estimated over the observational period. The resulting stratification trends were subsequently interpolated onto the analysis grid to facilitate spatial comparison with DIC</w:t>
      </w:r>
      <w:r w:rsidRPr="00844117">
        <w:rPr>
          <w:rFonts w:ascii="Times New Roman" w:hAnsi="Times New Roman" w:cs="Times New Roman"/>
          <w:sz w:val="24"/>
          <w:szCs w:val="24"/>
          <w:vertAlign w:val="subscript"/>
        </w:rPr>
        <w:t>soft</w:t>
      </w:r>
      <w:r w:rsidRPr="00844117">
        <w:rPr>
          <w:rFonts w:ascii="Times New Roman" w:hAnsi="Times New Roman" w:cs="Times New Roman"/>
          <w:sz w:val="24"/>
          <w:szCs w:val="24"/>
        </w:rPr>
        <w:t xml:space="preserve"> redistribution patterns.</w:t>
      </w:r>
    </w:p>
    <w:p w14:paraId="6E4086E0" w14:textId="5A90D4BF" w:rsidR="004E7874" w:rsidRPr="004E7874" w:rsidRDefault="004E7874" w:rsidP="004E1CA4">
      <w:pPr>
        <w:rPr>
          <w:rFonts w:ascii="Times New Roman" w:hAnsi="Times New Roman" w:cs="Times New Roman"/>
          <w:sz w:val="24"/>
          <w:szCs w:val="24"/>
        </w:rPr>
      </w:pPr>
      <w:r w:rsidRPr="004E7874">
        <w:rPr>
          <w:rFonts w:ascii="Times New Roman" w:hAnsi="Times New Roman" w:cs="Times New Roman"/>
          <w:sz w:val="24"/>
          <w:szCs w:val="24"/>
        </w:rPr>
        <w:t xml:space="preserve">This diagnostic provides an integrated measure of changes in upper-ocean density structure relevant to vertical exchange and </w:t>
      </w:r>
      <w:r w:rsidR="00D662C0" w:rsidRPr="004E7874">
        <w:rPr>
          <w:rFonts w:ascii="Times New Roman" w:hAnsi="Times New Roman" w:cs="Times New Roman"/>
          <w:sz w:val="24"/>
          <w:szCs w:val="24"/>
        </w:rPr>
        <w:t>isolation but</w:t>
      </w:r>
      <w:r w:rsidRPr="004E7874">
        <w:rPr>
          <w:rFonts w:ascii="Times New Roman" w:hAnsi="Times New Roman" w:cs="Times New Roman"/>
          <w:sz w:val="24"/>
          <w:szCs w:val="24"/>
        </w:rPr>
        <w:t xml:space="preserve"> does not resolve changes in export production or remineralization processes.</w:t>
      </w:r>
    </w:p>
    <w:p w14:paraId="3C832966" w14:textId="77777777" w:rsidR="004E7874" w:rsidRPr="00C0358E" w:rsidRDefault="004E7874" w:rsidP="004E1CA4">
      <w:pPr>
        <w:rPr>
          <w:rFonts w:ascii="Times New Roman" w:hAnsi="Times New Roman" w:cs="Times New Roman"/>
          <w:i/>
          <w:iCs/>
          <w:sz w:val="24"/>
          <w:szCs w:val="24"/>
          <w:u w:val="single"/>
          <w:lang w:val="en-GB"/>
        </w:rPr>
      </w:pPr>
      <w:r w:rsidRPr="00C0358E">
        <w:rPr>
          <w:rFonts w:ascii="Times New Roman" w:hAnsi="Times New Roman" w:cs="Times New Roman"/>
          <w:i/>
          <w:iCs/>
          <w:sz w:val="24"/>
          <w:szCs w:val="24"/>
          <w:u w:val="single"/>
          <w:lang w:val="en-GB"/>
        </w:rPr>
        <w:t>Ventilation proxy (ideal age)</w:t>
      </w:r>
    </w:p>
    <w:p w14:paraId="60549944" w14:textId="1B07A690" w:rsidR="004E7874" w:rsidRPr="00C0358E" w:rsidRDefault="004E7874" w:rsidP="004E1CA4">
      <w:pPr>
        <w:rPr>
          <w:rFonts w:ascii="Times New Roman" w:hAnsi="Times New Roman" w:cs="Times New Roman"/>
          <w:sz w:val="24"/>
          <w:szCs w:val="24"/>
          <w:lang w:val="en-GB"/>
        </w:rPr>
      </w:pPr>
      <w:r w:rsidRPr="00C0358E">
        <w:rPr>
          <w:rFonts w:ascii="Times New Roman" w:hAnsi="Times New Roman" w:cs="Times New Roman"/>
          <w:sz w:val="24"/>
          <w:szCs w:val="24"/>
          <w:lang w:val="en-GB"/>
        </w:rPr>
        <w:t>Water-mass ventilation was characterized using ideal age fields from a multi-model ocean transport ensemble (Millet et al., 2024). Ideal age represents the time elapsed since last surface contact and provides a diagnostic measure of physical isolation and residence time. We computed pressure-weighted mean ideal age within three depth ranges (0–200 m, 200–1000 m, and 1000–2000 m) and interpolated these fields onto the DIC</w:t>
      </w:r>
      <w:r w:rsidR="00C0358E" w:rsidRPr="00C0358E">
        <w:rPr>
          <w:rFonts w:ascii="Times New Roman" w:hAnsi="Times New Roman" w:cs="Times New Roman"/>
          <w:sz w:val="24"/>
          <w:szCs w:val="24"/>
          <w:vertAlign w:val="subscript"/>
          <w:lang w:val="en-GB"/>
        </w:rPr>
        <w:t>soft</w:t>
      </w:r>
      <w:r w:rsidR="00C0358E" w:rsidRPr="00C0358E">
        <w:rPr>
          <w:rFonts w:ascii="Times New Roman" w:hAnsi="Times New Roman" w:cs="Times New Roman"/>
          <w:sz w:val="24"/>
          <w:szCs w:val="24"/>
          <w:lang w:val="en-GB"/>
        </w:rPr>
        <w:t xml:space="preserve"> </w:t>
      </w:r>
      <w:r w:rsidRPr="00C0358E">
        <w:rPr>
          <w:rFonts w:ascii="Times New Roman" w:hAnsi="Times New Roman" w:cs="Times New Roman"/>
          <w:sz w:val="24"/>
          <w:szCs w:val="24"/>
          <w:lang w:val="en-GB"/>
        </w:rPr>
        <w:t>analysis grid.</w:t>
      </w:r>
    </w:p>
    <w:p w14:paraId="2888B905" w14:textId="77777777" w:rsidR="004E7874" w:rsidRPr="00C0358E" w:rsidRDefault="004E7874" w:rsidP="004E1CA4">
      <w:pPr>
        <w:rPr>
          <w:rFonts w:ascii="Times New Roman" w:hAnsi="Times New Roman" w:cs="Times New Roman"/>
          <w:sz w:val="24"/>
          <w:szCs w:val="24"/>
          <w:lang w:val="en-GB"/>
        </w:rPr>
      </w:pPr>
      <w:r w:rsidRPr="00C0358E">
        <w:rPr>
          <w:rFonts w:ascii="Times New Roman" w:hAnsi="Times New Roman" w:cs="Times New Roman"/>
          <w:sz w:val="24"/>
          <w:szCs w:val="24"/>
          <w:lang w:val="en-GB"/>
        </w:rPr>
        <w:t>Ideal age was used exclusively to contextualize the vertical distribution of respired carbon in relation to water-mass residence times and was not interpreted as evidence of circulation changes over the observational period.</w:t>
      </w:r>
    </w:p>
    <w:p w14:paraId="202ECB96" w14:textId="77777777" w:rsidR="004E7874" w:rsidRPr="00C0358E" w:rsidRDefault="004E7874" w:rsidP="004E1CA4">
      <w:pPr>
        <w:rPr>
          <w:rFonts w:ascii="Times New Roman" w:hAnsi="Times New Roman" w:cs="Times New Roman"/>
          <w:i/>
          <w:iCs/>
          <w:sz w:val="24"/>
          <w:szCs w:val="24"/>
          <w:u w:val="single"/>
          <w:lang w:val="en-GB"/>
        </w:rPr>
      </w:pPr>
      <w:r w:rsidRPr="00C0358E">
        <w:rPr>
          <w:rFonts w:ascii="Times New Roman" w:hAnsi="Times New Roman" w:cs="Times New Roman"/>
          <w:i/>
          <w:iCs/>
          <w:sz w:val="24"/>
          <w:szCs w:val="24"/>
          <w:u w:val="single"/>
          <w:lang w:val="en-GB"/>
        </w:rPr>
        <w:t>Monte Carlo uncertainty propagation and band-integrated diagnostics</w:t>
      </w:r>
    </w:p>
    <w:p w14:paraId="7A0085BC" w14:textId="03740681" w:rsidR="004E7874" w:rsidRPr="00C0358E" w:rsidRDefault="004E7874" w:rsidP="004E1CA4">
      <w:pPr>
        <w:rPr>
          <w:rFonts w:ascii="Times New Roman" w:hAnsi="Times New Roman" w:cs="Times New Roman"/>
          <w:sz w:val="24"/>
          <w:szCs w:val="24"/>
          <w:lang w:val="en-GB"/>
        </w:rPr>
      </w:pPr>
      <w:r w:rsidRPr="00C0358E">
        <w:rPr>
          <w:rFonts w:ascii="Times New Roman" w:hAnsi="Times New Roman" w:cs="Times New Roman"/>
          <w:sz w:val="24"/>
          <w:szCs w:val="24"/>
          <w:lang w:val="en-GB"/>
        </w:rPr>
        <w:lastRenderedPageBreak/>
        <w:t>To quantify uncertainties and ensure robustness of vertical redistribution estimates, we applied a Monte Carlo framework that propagates observational uncertainty in apparent oxygen utilization (AOU) and stoichiometric conversion parameters. For each realization, linear trends in AOU were computed at each depth, converted to DIC</w:t>
      </w:r>
      <w:r w:rsidR="00C0358E" w:rsidRPr="00C0358E">
        <w:rPr>
          <w:rFonts w:ascii="Times New Roman" w:hAnsi="Times New Roman" w:cs="Times New Roman"/>
          <w:sz w:val="24"/>
          <w:szCs w:val="24"/>
          <w:vertAlign w:val="subscript"/>
          <w:lang w:val="en-GB"/>
        </w:rPr>
        <w:t>soft</w:t>
      </w:r>
      <w:r w:rsidRPr="00C0358E">
        <w:rPr>
          <w:rFonts w:ascii="Times New Roman" w:hAnsi="Times New Roman" w:cs="Times New Roman"/>
          <w:sz w:val="24"/>
          <w:szCs w:val="24"/>
          <w:lang w:val="en-GB"/>
        </w:rPr>
        <w:t xml:space="preserve"> using a constant stoichiometric relationship, and vertically integrated over discrete pressure bands (0–200 m, 200–1000 m, and 1000–1975 m). Ensemble means and standard deviations were derived from 1000 realizations.</w:t>
      </w:r>
    </w:p>
    <w:p w14:paraId="01178020" w14:textId="77777777" w:rsidR="004E7874" w:rsidRPr="00C0358E" w:rsidRDefault="004E7874" w:rsidP="004E1CA4">
      <w:pPr>
        <w:rPr>
          <w:rFonts w:ascii="Times New Roman" w:hAnsi="Times New Roman" w:cs="Times New Roman"/>
          <w:sz w:val="24"/>
          <w:szCs w:val="24"/>
          <w:lang w:val="en-GB"/>
        </w:rPr>
      </w:pPr>
      <w:r w:rsidRPr="00C0358E">
        <w:rPr>
          <w:rFonts w:ascii="Times New Roman" w:hAnsi="Times New Roman" w:cs="Times New Roman"/>
          <w:sz w:val="24"/>
          <w:szCs w:val="24"/>
          <w:lang w:val="en-GB"/>
        </w:rPr>
        <w:t>This approach isolates changes in the vertical distribution of respired carbon while avoiding assumptions about export magnitude or remineralization depth.</w:t>
      </w:r>
    </w:p>
    <w:p w14:paraId="7D9B04A4" w14:textId="77777777" w:rsidR="004E7874" w:rsidRPr="00B27955" w:rsidRDefault="004E7874" w:rsidP="004E1CA4">
      <w:pPr>
        <w:rPr>
          <w:rFonts w:ascii="Times New Roman" w:hAnsi="Times New Roman" w:cs="Times New Roman"/>
          <w:i/>
          <w:iCs/>
          <w:sz w:val="24"/>
          <w:szCs w:val="24"/>
          <w:u w:val="single"/>
          <w:lang w:val="en-GB"/>
        </w:rPr>
      </w:pPr>
      <w:r w:rsidRPr="00B27955">
        <w:rPr>
          <w:rFonts w:ascii="Times New Roman" w:hAnsi="Times New Roman" w:cs="Times New Roman"/>
          <w:i/>
          <w:iCs/>
          <w:sz w:val="24"/>
          <w:szCs w:val="24"/>
          <w:u w:val="single"/>
          <w:lang w:val="en-GB"/>
        </w:rPr>
        <w:t>Interpretation framework</w:t>
      </w:r>
    </w:p>
    <w:p w14:paraId="0DB18B91" w14:textId="2109FC61" w:rsidR="009648EC" w:rsidRPr="00C0358E" w:rsidRDefault="004E7874" w:rsidP="004E1CA4">
      <w:pPr>
        <w:rPr>
          <w:rFonts w:ascii="Times New Roman" w:hAnsi="Times New Roman" w:cs="Times New Roman"/>
          <w:sz w:val="24"/>
          <w:szCs w:val="24"/>
          <w:lang w:val="en-GB"/>
        </w:rPr>
      </w:pPr>
      <w:r w:rsidRPr="00C0358E">
        <w:rPr>
          <w:rFonts w:ascii="Times New Roman" w:hAnsi="Times New Roman" w:cs="Times New Roman"/>
          <w:sz w:val="24"/>
          <w:szCs w:val="24"/>
          <w:lang w:val="en-GB"/>
        </w:rPr>
        <w:t>All physical diagnostics are interpreted diagnostically and comparatively. DIC</w:t>
      </w:r>
      <w:r w:rsidR="00C0358E" w:rsidRPr="00C0358E">
        <w:rPr>
          <w:rFonts w:ascii="Times New Roman" w:hAnsi="Times New Roman" w:cs="Times New Roman"/>
          <w:sz w:val="24"/>
          <w:szCs w:val="24"/>
          <w:vertAlign w:val="subscript"/>
          <w:lang w:val="en-GB"/>
        </w:rPr>
        <w:t>soft</w:t>
      </w:r>
      <w:r w:rsidR="00C0358E" w:rsidRPr="00C0358E">
        <w:rPr>
          <w:rFonts w:ascii="Times New Roman" w:hAnsi="Times New Roman" w:cs="Times New Roman"/>
          <w:sz w:val="24"/>
          <w:szCs w:val="24"/>
          <w:lang w:val="en-GB"/>
        </w:rPr>
        <w:t xml:space="preserve"> </w:t>
      </w:r>
      <w:r w:rsidRPr="00C0358E">
        <w:rPr>
          <w:rFonts w:ascii="Times New Roman" w:hAnsi="Times New Roman" w:cs="Times New Roman"/>
          <w:sz w:val="24"/>
          <w:szCs w:val="24"/>
          <w:lang w:val="en-GB"/>
        </w:rPr>
        <w:t>redistribution is interpreted as an integrated observational constraint on changing physical isolation and vertical storage geometry within the ocean interior, consistent with—but not attributable to—changes in stratification or ventilation.</w:t>
      </w:r>
    </w:p>
    <w:p w14:paraId="3FCC3506" w14:textId="617D7BCA" w:rsidR="0087774E" w:rsidRPr="004641CA" w:rsidRDefault="0087774E" w:rsidP="004E1CA4">
      <w:pPr>
        <w:rPr>
          <w:rFonts w:ascii="Times New Roman" w:hAnsi="Times New Roman" w:cs="Times New Roman"/>
          <w:b/>
          <w:bCs/>
          <w:sz w:val="24"/>
          <w:szCs w:val="24"/>
          <w:lang w:val="fr-FR"/>
        </w:rPr>
      </w:pPr>
      <w:r w:rsidRPr="004641CA">
        <w:rPr>
          <w:rFonts w:ascii="Times New Roman" w:hAnsi="Times New Roman" w:cs="Times New Roman"/>
          <w:b/>
          <w:bCs/>
          <w:sz w:val="24"/>
          <w:szCs w:val="24"/>
          <w:lang w:val="fr-FR"/>
        </w:rPr>
        <w:t>References</w:t>
      </w:r>
    </w:p>
    <w:p w14:paraId="648B54B8" w14:textId="77777777" w:rsidR="00F70439" w:rsidRPr="003C1BFA" w:rsidRDefault="00F70439" w:rsidP="0051607D">
      <w:pPr>
        <w:pStyle w:val="NormalWeb"/>
        <w:numPr>
          <w:ilvl w:val="0"/>
          <w:numId w:val="19"/>
        </w:numPr>
        <w:ind w:left="360"/>
        <w:rPr>
          <w:color w:val="000000"/>
          <w:sz w:val="22"/>
          <w:szCs w:val="22"/>
        </w:rPr>
      </w:pPr>
      <w:r w:rsidRPr="003C1BFA">
        <w:rPr>
          <w:color w:val="000000"/>
          <w:sz w:val="22"/>
          <w:szCs w:val="22"/>
          <w:lang w:val="fr-FR"/>
        </w:rPr>
        <w:t xml:space="preserve">Henson, S. A., Beaulieu, C. &amp; Lampitt, R. (2016). </w:t>
      </w:r>
      <w:r w:rsidRPr="003C1BFA">
        <w:rPr>
          <w:color w:val="000000"/>
          <w:sz w:val="22"/>
          <w:szCs w:val="22"/>
        </w:rPr>
        <w:t>Observing climate change trends in ocean biogeochemistry: when and where.</w:t>
      </w:r>
      <w:r w:rsidRPr="003C1BFA">
        <w:rPr>
          <w:rStyle w:val="apple-converted-space"/>
          <w:color w:val="000000"/>
          <w:sz w:val="22"/>
          <w:szCs w:val="22"/>
        </w:rPr>
        <w:t> </w:t>
      </w:r>
      <w:r w:rsidRPr="003C1BFA">
        <w:rPr>
          <w:rStyle w:val="Emphasis"/>
          <w:color w:val="000000"/>
          <w:sz w:val="22"/>
          <w:szCs w:val="22"/>
        </w:rPr>
        <w:t>Global Change Biology</w:t>
      </w:r>
      <w:r w:rsidRPr="003C1BFA">
        <w:rPr>
          <w:color w:val="000000"/>
          <w:sz w:val="22"/>
          <w:szCs w:val="22"/>
        </w:rPr>
        <w:t>,</w:t>
      </w:r>
      <w:r w:rsidRPr="003C1BFA">
        <w:rPr>
          <w:rStyle w:val="apple-converted-space"/>
          <w:color w:val="000000"/>
          <w:sz w:val="22"/>
          <w:szCs w:val="22"/>
        </w:rPr>
        <w:t> </w:t>
      </w:r>
      <w:r w:rsidRPr="003C1BFA">
        <w:rPr>
          <w:rStyle w:val="Strong"/>
          <w:color w:val="000000"/>
          <w:sz w:val="22"/>
          <w:szCs w:val="22"/>
        </w:rPr>
        <w:t>22</w:t>
      </w:r>
      <w:r w:rsidRPr="003C1BFA">
        <w:rPr>
          <w:color w:val="000000"/>
          <w:sz w:val="22"/>
          <w:szCs w:val="22"/>
        </w:rPr>
        <w:t>, 1561–1571.</w:t>
      </w:r>
      <w:r w:rsidRPr="003C1BFA">
        <w:rPr>
          <w:rStyle w:val="apple-converted-space"/>
          <w:color w:val="000000"/>
          <w:sz w:val="22"/>
          <w:szCs w:val="22"/>
        </w:rPr>
        <w:t> </w:t>
      </w:r>
      <w:hyperlink r:id="rId12" w:tgtFrame="_new" w:history="1">
        <w:r w:rsidRPr="003C1BFA">
          <w:rPr>
            <w:rStyle w:val="Hyperlink"/>
            <w:sz w:val="22"/>
            <w:szCs w:val="22"/>
          </w:rPr>
          <w:t>https://doi.org/10.1111/gcb.13152</w:t>
        </w:r>
      </w:hyperlink>
    </w:p>
    <w:p w14:paraId="503DF388" w14:textId="77777777" w:rsidR="00F70439" w:rsidRPr="003C1BFA" w:rsidRDefault="00F70439" w:rsidP="0051607D">
      <w:pPr>
        <w:pStyle w:val="NormalWeb"/>
        <w:numPr>
          <w:ilvl w:val="0"/>
          <w:numId w:val="19"/>
        </w:numPr>
        <w:ind w:left="360"/>
        <w:rPr>
          <w:color w:val="000000"/>
          <w:sz w:val="22"/>
          <w:szCs w:val="22"/>
        </w:rPr>
      </w:pPr>
      <w:r w:rsidRPr="003C1BFA">
        <w:rPr>
          <w:color w:val="000000"/>
          <w:sz w:val="22"/>
          <w:szCs w:val="22"/>
        </w:rPr>
        <w:t>Ito, T., Cervania, A., Cross, K., Ainchwar, S. &amp; Delawalla, S. (2024). Mapping dissolved oxygen concentrations by combining shipboard and Argo observations using machine learning algorithms.</w:t>
      </w:r>
      <w:r w:rsidRPr="003C1BFA">
        <w:rPr>
          <w:rStyle w:val="apple-converted-space"/>
          <w:color w:val="000000"/>
          <w:sz w:val="22"/>
          <w:szCs w:val="22"/>
        </w:rPr>
        <w:t> </w:t>
      </w:r>
      <w:r w:rsidRPr="003C1BFA">
        <w:rPr>
          <w:rStyle w:val="Emphasis"/>
          <w:color w:val="000000"/>
          <w:sz w:val="22"/>
          <w:szCs w:val="22"/>
        </w:rPr>
        <w:t>Journal of Geophysical Research: Machine Learning and Computation</w:t>
      </w:r>
      <w:r w:rsidRPr="003C1BFA">
        <w:rPr>
          <w:color w:val="000000"/>
          <w:sz w:val="22"/>
          <w:szCs w:val="22"/>
        </w:rPr>
        <w:t>,</w:t>
      </w:r>
      <w:r w:rsidRPr="003C1BFA">
        <w:rPr>
          <w:rStyle w:val="apple-converted-space"/>
          <w:color w:val="000000"/>
          <w:sz w:val="22"/>
          <w:szCs w:val="22"/>
        </w:rPr>
        <w:t> </w:t>
      </w:r>
      <w:r w:rsidRPr="003C1BFA">
        <w:rPr>
          <w:rStyle w:val="Strong"/>
          <w:color w:val="000000"/>
          <w:sz w:val="22"/>
          <w:szCs w:val="22"/>
        </w:rPr>
        <w:t>1</w:t>
      </w:r>
      <w:r w:rsidRPr="003C1BFA">
        <w:rPr>
          <w:color w:val="000000"/>
          <w:sz w:val="22"/>
          <w:szCs w:val="22"/>
        </w:rPr>
        <w:t>, e2024JH000272.</w:t>
      </w:r>
      <w:r w:rsidRPr="003C1BFA">
        <w:rPr>
          <w:rStyle w:val="apple-converted-space"/>
          <w:color w:val="000000"/>
          <w:sz w:val="22"/>
          <w:szCs w:val="22"/>
        </w:rPr>
        <w:t> </w:t>
      </w:r>
      <w:hyperlink r:id="rId13" w:tgtFrame="_new" w:history="1">
        <w:r w:rsidRPr="003C1BFA">
          <w:rPr>
            <w:rStyle w:val="Hyperlink"/>
            <w:sz w:val="22"/>
            <w:szCs w:val="22"/>
          </w:rPr>
          <w:t>https://doi.org/10.1029/2024JH000272</w:t>
        </w:r>
      </w:hyperlink>
    </w:p>
    <w:p w14:paraId="73B47654" w14:textId="77777777" w:rsidR="00F70439" w:rsidRPr="003C1BFA" w:rsidRDefault="00F70439" w:rsidP="0051607D">
      <w:pPr>
        <w:pStyle w:val="NormalWeb"/>
        <w:numPr>
          <w:ilvl w:val="0"/>
          <w:numId w:val="19"/>
        </w:numPr>
        <w:ind w:left="360"/>
        <w:rPr>
          <w:color w:val="000000"/>
          <w:sz w:val="22"/>
          <w:szCs w:val="22"/>
          <w:lang w:val="fr-FR"/>
        </w:rPr>
      </w:pPr>
      <w:r w:rsidRPr="003C1BFA">
        <w:rPr>
          <w:color w:val="000000"/>
          <w:sz w:val="22"/>
          <w:szCs w:val="22"/>
        </w:rPr>
        <w:t>Liniger, G., Sharp, J. D., Takeshita, Y. &amp; Johnson, K. S. (2025). Two decades of increase in Southern Ocean net community production revealed by BGC-Argo floats.</w:t>
      </w:r>
      <w:r w:rsidRPr="003C1BFA">
        <w:rPr>
          <w:rStyle w:val="apple-converted-space"/>
          <w:color w:val="000000"/>
          <w:sz w:val="22"/>
          <w:szCs w:val="22"/>
        </w:rPr>
        <w:t> </w:t>
      </w:r>
      <w:r w:rsidRPr="003C1BFA">
        <w:rPr>
          <w:rStyle w:val="Emphasis"/>
          <w:color w:val="000000"/>
          <w:sz w:val="22"/>
          <w:szCs w:val="22"/>
          <w:lang w:val="fr-FR"/>
        </w:rPr>
        <w:t>Global Biogeochemical Cycles</w:t>
      </w:r>
      <w:r w:rsidRPr="003C1BFA">
        <w:rPr>
          <w:color w:val="000000"/>
          <w:sz w:val="22"/>
          <w:szCs w:val="22"/>
          <w:lang w:val="fr-FR"/>
        </w:rPr>
        <w:t>,</w:t>
      </w:r>
      <w:r w:rsidRPr="003C1BFA">
        <w:rPr>
          <w:rStyle w:val="apple-converted-space"/>
          <w:color w:val="000000"/>
          <w:sz w:val="22"/>
          <w:szCs w:val="22"/>
          <w:lang w:val="fr-FR"/>
        </w:rPr>
        <w:t> </w:t>
      </w:r>
      <w:r w:rsidRPr="003C1BFA">
        <w:rPr>
          <w:rStyle w:val="Strong"/>
          <w:color w:val="000000"/>
          <w:sz w:val="22"/>
          <w:szCs w:val="22"/>
          <w:lang w:val="fr-FR"/>
        </w:rPr>
        <w:t>39</w:t>
      </w:r>
      <w:r w:rsidRPr="003C1BFA">
        <w:rPr>
          <w:color w:val="000000"/>
          <w:sz w:val="22"/>
          <w:szCs w:val="22"/>
          <w:lang w:val="fr-FR"/>
        </w:rPr>
        <w:t>, e2024GB008371.</w:t>
      </w:r>
      <w:r w:rsidRPr="003C1BFA">
        <w:rPr>
          <w:rStyle w:val="apple-converted-space"/>
          <w:color w:val="000000"/>
          <w:sz w:val="22"/>
          <w:szCs w:val="22"/>
          <w:lang w:val="fr-FR"/>
        </w:rPr>
        <w:t> </w:t>
      </w:r>
      <w:hyperlink r:id="rId14" w:tgtFrame="_new" w:history="1">
        <w:r w:rsidRPr="003C1BFA">
          <w:rPr>
            <w:rStyle w:val="Hyperlink"/>
            <w:sz w:val="22"/>
            <w:szCs w:val="22"/>
            <w:lang w:val="fr-FR"/>
          </w:rPr>
          <w:t>https://doi.org/10.1029/2024GB008371</w:t>
        </w:r>
      </w:hyperlink>
    </w:p>
    <w:p w14:paraId="31F81F11" w14:textId="4FECBB14" w:rsidR="00912AD8" w:rsidRPr="003C1BFA" w:rsidRDefault="00912AD8" w:rsidP="0051607D">
      <w:pPr>
        <w:pStyle w:val="NormalWeb"/>
        <w:numPr>
          <w:ilvl w:val="0"/>
          <w:numId w:val="19"/>
        </w:numPr>
        <w:ind w:left="360"/>
        <w:rPr>
          <w:sz w:val="22"/>
          <w:szCs w:val="22"/>
        </w:rPr>
      </w:pPr>
      <w:r w:rsidRPr="003C1BFA">
        <w:rPr>
          <w:color w:val="000000"/>
          <w:sz w:val="22"/>
          <w:szCs w:val="22"/>
          <w:lang w:val="fr-FR"/>
        </w:rPr>
        <w:t xml:space="preserve">Millet, B., de Lavergne, C., Gray, W., Ethé, C., Madec, G., Holzer, M., DeVries, T., Gebbie, G. &amp; Roche, D. (2024). </w:t>
      </w:r>
      <w:r w:rsidRPr="003C1BFA">
        <w:rPr>
          <w:color w:val="000000"/>
          <w:sz w:val="22"/>
          <w:szCs w:val="22"/>
        </w:rPr>
        <w:t>Water-mass fractions and ideal age from three models of ocean transport.</w:t>
      </w:r>
      <w:r w:rsidRPr="003C1BFA">
        <w:rPr>
          <w:rStyle w:val="apple-converted-space"/>
          <w:color w:val="000000"/>
          <w:sz w:val="22"/>
          <w:szCs w:val="22"/>
        </w:rPr>
        <w:t> </w:t>
      </w:r>
      <w:r w:rsidRPr="003C1BFA">
        <w:rPr>
          <w:rStyle w:val="Emphasis"/>
          <w:color w:val="000000"/>
          <w:sz w:val="22"/>
          <w:szCs w:val="22"/>
        </w:rPr>
        <w:t>SEANOE</w:t>
      </w:r>
      <w:r w:rsidRPr="003C1BFA">
        <w:rPr>
          <w:color w:val="000000"/>
          <w:sz w:val="22"/>
          <w:szCs w:val="22"/>
        </w:rPr>
        <w:t>.</w:t>
      </w:r>
      <w:r w:rsidRPr="003C1BFA">
        <w:rPr>
          <w:rStyle w:val="apple-converted-space"/>
          <w:color w:val="000000"/>
          <w:sz w:val="22"/>
          <w:szCs w:val="22"/>
        </w:rPr>
        <w:t> </w:t>
      </w:r>
      <w:hyperlink r:id="rId15" w:tgtFrame="_new" w:history="1">
        <w:r w:rsidRPr="003C1BFA">
          <w:rPr>
            <w:rStyle w:val="Hyperlink"/>
            <w:sz w:val="22"/>
            <w:szCs w:val="22"/>
          </w:rPr>
          <w:t>https://doi.org/10.17882/103915</w:t>
        </w:r>
      </w:hyperlink>
    </w:p>
    <w:p w14:paraId="35BA4927" w14:textId="77777777" w:rsidR="00F04783" w:rsidRPr="003C1BFA" w:rsidRDefault="00F04783" w:rsidP="0051607D">
      <w:pPr>
        <w:pStyle w:val="EndNoteBibliography"/>
        <w:numPr>
          <w:ilvl w:val="0"/>
          <w:numId w:val="19"/>
        </w:numPr>
        <w:ind w:left="360"/>
        <w:rPr>
          <w:sz w:val="22"/>
          <w:szCs w:val="22"/>
        </w:rPr>
      </w:pPr>
      <w:bookmarkStart w:id="0" w:name="_ENREF_89"/>
      <w:r w:rsidRPr="003C1BFA">
        <w:rPr>
          <w:sz w:val="22"/>
          <w:szCs w:val="22"/>
        </w:rPr>
        <w:t xml:space="preserve">Roemmich, D., &amp; Gilson, J. (2009). The 2004–2008 mean and annual cycle of temperature, salinity, and steric height in the global ocean from the Argo Program. </w:t>
      </w:r>
      <w:r w:rsidRPr="003C1BFA">
        <w:rPr>
          <w:i/>
          <w:sz w:val="22"/>
          <w:szCs w:val="22"/>
        </w:rPr>
        <w:t>Progress in Oceanography</w:t>
      </w:r>
      <w:r w:rsidRPr="003C1BFA">
        <w:rPr>
          <w:sz w:val="22"/>
          <w:szCs w:val="22"/>
        </w:rPr>
        <w:t>,</w:t>
      </w:r>
      <w:r w:rsidRPr="003C1BFA">
        <w:rPr>
          <w:i/>
          <w:sz w:val="22"/>
          <w:szCs w:val="22"/>
        </w:rPr>
        <w:t xml:space="preserve"> 82</w:t>
      </w:r>
      <w:r w:rsidRPr="003C1BFA">
        <w:rPr>
          <w:sz w:val="22"/>
          <w:szCs w:val="22"/>
        </w:rPr>
        <w:t xml:space="preserve">(2), 81-100. </w:t>
      </w:r>
      <w:hyperlink r:id="rId16" w:history="1">
        <w:r w:rsidRPr="003C1BFA">
          <w:rPr>
            <w:rStyle w:val="Hyperlink"/>
            <w:sz w:val="22"/>
            <w:szCs w:val="22"/>
          </w:rPr>
          <w:t>https://doi.org/https://doi.org/10.1016/j.pocean.2009.03.004</w:t>
        </w:r>
      </w:hyperlink>
      <w:r w:rsidRPr="003C1BFA">
        <w:rPr>
          <w:sz w:val="22"/>
          <w:szCs w:val="22"/>
        </w:rPr>
        <w:t xml:space="preserve"> </w:t>
      </w:r>
      <w:bookmarkEnd w:id="0"/>
    </w:p>
    <w:p w14:paraId="155B1AC8" w14:textId="77777777" w:rsidR="003C1BFA" w:rsidRPr="003C1BFA" w:rsidRDefault="003C1BFA" w:rsidP="0051607D">
      <w:pPr>
        <w:pStyle w:val="EndNoteBibliography"/>
        <w:ind w:left="360" w:hanging="720"/>
        <w:rPr>
          <w:sz w:val="22"/>
          <w:szCs w:val="22"/>
        </w:rPr>
      </w:pPr>
    </w:p>
    <w:p w14:paraId="51338706" w14:textId="1F2DD8FF" w:rsidR="008A017D" w:rsidRPr="00C77418" w:rsidRDefault="00F70439" w:rsidP="008A017D">
      <w:pPr>
        <w:pStyle w:val="NormalWeb"/>
        <w:numPr>
          <w:ilvl w:val="0"/>
          <w:numId w:val="19"/>
        </w:numPr>
        <w:ind w:left="360"/>
        <w:rPr>
          <w:color w:val="000000"/>
          <w:sz w:val="22"/>
          <w:szCs w:val="22"/>
        </w:rPr>
      </w:pPr>
      <w:r w:rsidRPr="003C1BFA">
        <w:rPr>
          <w:color w:val="000000"/>
          <w:sz w:val="22"/>
          <w:szCs w:val="22"/>
        </w:rPr>
        <w:t>Sharp, J. D., Fassbender, A. J., Carter, B. R., Johnson, G. C., Schultz, C. &amp; Dunne, J. P. (2023). GOBAI-O₂: temporally and spatially resolved fields of ocean interior dissolved oxygen over nearly two decades.</w:t>
      </w:r>
      <w:r w:rsidRPr="003C1BFA">
        <w:rPr>
          <w:rStyle w:val="apple-converted-space"/>
          <w:color w:val="000000"/>
          <w:sz w:val="22"/>
          <w:szCs w:val="22"/>
        </w:rPr>
        <w:t> </w:t>
      </w:r>
      <w:r w:rsidRPr="003C1BFA">
        <w:rPr>
          <w:rStyle w:val="Emphasis"/>
          <w:color w:val="000000"/>
          <w:sz w:val="22"/>
          <w:szCs w:val="22"/>
        </w:rPr>
        <w:t>Earth System Science Data</w:t>
      </w:r>
      <w:r w:rsidRPr="003C1BFA">
        <w:rPr>
          <w:color w:val="000000"/>
          <w:sz w:val="22"/>
          <w:szCs w:val="22"/>
        </w:rPr>
        <w:t>,</w:t>
      </w:r>
      <w:r w:rsidRPr="003C1BFA">
        <w:rPr>
          <w:rStyle w:val="apple-converted-space"/>
          <w:color w:val="000000"/>
          <w:sz w:val="22"/>
          <w:szCs w:val="22"/>
        </w:rPr>
        <w:t> </w:t>
      </w:r>
      <w:r w:rsidRPr="003C1BFA">
        <w:rPr>
          <w:rStyle w:val="Strong"/>
          <w:color w:val="000000"/>
          <w:sz w:val="22"/>
          <w:szCs w:val="22"/>
        </w:rPr>
        <w:t>15</w:t>
      </w:r>
      <w:r w:rsidRPr="003C1BFA">
        <w:rPr>
          <w:color w:val="000000"/>
          <w:sz w:val="22"/>
          <w:szCs w:val="22"/>
        </w:rPr>
        <w:t>, 4481–4518.</w:t>
      </w:r>
      <w:r w:rsidRPr="003C1BFA">
        <w:rPr>
          <w:rStyle w:val="apple-converted-space"/>
          <w:color w:val="000000"/>
          <w:sz w:val="22"/>
          <w:szCs w:val="22"/>
        </w:rPr>
        <w:t> </w:t>
      </w:r>
      <w:hyperlink r:id="rId17" w:tgtFrame="_new" w:history="1">
        <w:r w:rsidRPr="003C1BFA">
          <w:rPr>
            <w:rStyle w:val="Hyperlink"/>
            <w:sz w:val="22"/>
            <w:szCs w:val="22"/>
          </w:rPr>
          <w:t>https://doi.org/10.5194/essd-15-4481-2023</w:t>
        </w:r>
      </w:hyperlink>
    </w:p>
    <w:p w14:paraId="49F56CEA" w14:textId="77777777" w:rsidR="00E02DCF" w:rsidRDefault="00E02DCF" w:rsidP="008A017D">
      <w:pPr>
        <w:pStyle w:val="Heading1"/>
        <w:jc w:val="center"/>
        <w:rPr>
          <w:rFonts w:ascii="Times New Roman" w:hAnsi="Times New Roman" w:cs="Times New Roman"/>
          <w:b/>
          <w:bCs/>
          <w:sz w:val="24"/>
          <w:szCs w:val="24"/>
          <w:lang w:val="en-GB"/>
        </w:rPr>
      </w:pPr>
    </w:p>
    <w:p w14:paraId="7DCA76DA" w14:textId="77777777" w:rsidR="00E02DCF" w:rsidRDefault="00E02DCF" w:rsidP="00E02DCF">
      <w:pPr>
        <w:pStyle w:val="Heading1"/>
        <w:rPr>
          <w:rFonts w:ascii="Times New Roman" w:hAnsi="Times New Roman" w:cs="Times New Roman"/>
          <w:b/>
          <w:bCs/>
          <w:sz w:val="24"/>
          <w:szCs w:val="24"/>
          <w:lang w:val="en-GB"/>
        </w:rPr>
      </w:pPr>
    </w:p>
    <w:p w14:paraId="58CB43A2" w14:textId="77777777" w:rsidR="00E02DCF" w:rsidRPr="00E02DCF" w:rsidRDefault="00E02DCF" w:rsidP="00E02DCF">
      <w:pPr>
        <w:rPr>
          <w:lang w:val="en-GB"/>
        </w:rPr>
      </w:pPr>
    </w:p>
    <w:p w14:paraId="6B695217" w14:textId="34D8D75A" w:rsidR="004D5B32" w:rsidRPr="00611AB3" w:rsidRDefault="00FB608E" w:rsidP="008A017D">
      <w:pPr>
        <w:pStyle w:val="Heading1"/>
        <w:jc w:val="center"/>
        <w:rPr>
          <w:rFonts w:ascii="Times New Roman" w:hAnsi="Times New Roman" w:cs="Times New Roman"/>
          <w:b/>
          <w:bCs/>
          <w:sz w:val="24"/>
          <w:szCs w:val="24"/>
          <w:lang w:val="en-GB"/>
        </w:rPr>
      </w:pPr>
      <w:r w:rsidRPr="00611AB3">
        <w:rPr>
          <w:rFonts w:ascii="Times New Roman" w:hAnsi="Times New Roman" w:cs="Times New Roman"/>
          <w:b/>
          <w:bCs/>
          <w:sz w:val="24"/>
          <w:szCs w:val="24"/>
          <w:lang w:val="en-GB"/>
        </w:rPr>
        <w:lastRenderedPageBreak/>
        <w:t>Response to reviewers</w:t>
      </w:r>
    </w:p>
    <w:p w14:paraId="1FD1228F" w14:textId="333A2125" w:rsidR="00F37BDB" w:rsidRPr="00611AB3" w:rsidRDefault="004D5B32" w:rsidP="008A017D">
      <w:pPr>
        <w:jc w:val="center"/>
        <w:rPr>
          <w:rFonts w:ascii="Times New Roman" w:hAnsi="Times New Roman" w:cs="Times New Roman"/>
          <w:sz w:val="24"/>
          <w:szCs w:val="24"/>
          <w:lang w:val="en-GB"/>
        </w:rPr>
      </w:pPr>
      <w:r w:rsidRPr="00611AB3">
        <w:rPr>
          <w:rFonts w:ascii="Times New Roman" w:hAnsi="Times New Roman" w:cs="Times New Roman"/>
          <w:color w:val="EE0000"/>
          <w:sz w:val="24"/>
          <w:szCs w:val="24"/>
          <w:lang w:val="en-GB"/>
        </w:rPr>
        <w:t>Response by authors in red</w:t>
      </w:r>
    </w:p>
    <w:p w14:paraId="0AB0BE33" w14:textId="2B24513A" w:rsidR="00CA610F" w:rsidRPr="00CA610F" w:rsidRDefault="00CA610F" w:rsidP="00CA610F">
      <w:pPr>
        <w:jc w:val="center"/>
        <w:rPr>
          <w:rFonts w:ascii="Times New Roman" w:hAnsi="Times New Roman" w:cs="Times New Roman"/>
          <w:color w:val="EE0000"/>
          <w:sz w:val="24"/>
          <w:szCs w:val="24"/>
          <w:lang w:val="en-GB"/>
        </w:rPr>
      </w:pPr>
      <w:r w:rsidRPr="00CA610F">
        <w:rPr>
          <w:rFonts w:ascii="Times New Roman" w:hAnsi="Times New Roman" w:cs="Times New Roman"/>
          <w:color w:val="EE0000"/>
          <w:sz w:val="24"/>
          <w:szCs w:val="24"/>
          <w:lang w:val="en-GB"/>
        </w:rPr>
        <w:t>Below, we provide point-by-point responses to all minor and specific comments. Where feasible, we include the revised text directly</w:t>
      </w:r>
      <w:r w:rsidR="00A13F99">
        <w:rPr>
          <w:rFonts w:ascii="Times New Roman" w:hAnsi="Times New Roman" w:cs="Times New Roman"/>
          <w:color w:val="EE0000"/>
          <w:sz w:val="24"/>
          <w:szCs w:val="24"/>
          <w:lang w:val="en-GB"/>
        </w:rPr>
        <w:t xml:space="preserve"> along with line numbers</w:t>
      </w:r>
      <w:r w:rsidRPr="00CA610F">
        <w:rPr>
          <w:rFonts w:ascii="Times New Roman" w:hAnsi="Times New Roman" w:cs="Times New Roman"/>
          <w:color w:val="EE0000"/>
          <w:sz w:val="24"/>
          <w:szCs w:val="24"/>
          <w:lang w:val="en-GB"/>
        </w:rPr>
        <w:t xml:space="preserve">. However, in many cases the manuscript has undergone substantial restructuring and language revision; we therefore </w:t>
      </w:r>
      <w:r w:rsidR="002E5F4B">
        <w:rPr>
          <w:rFonts w:ascii="Times New Roman" w:hAnsi="Times New Roman" w:cs="Times New Roman"/>
          <w:color w:val="EE0000"/>
          <w:sz w:val="24"/>
          <w:szCs w:val="24"/>
          <w:lang w:val="en-GB"/>
        </w:rPr>
        <w:t>detail</w:t>
      </w:r>
      <w:r w:rsidRPr="00CA610F">
        <w:rPr>
          <w:rFonts w:ascii="Times New Roman" w:hAnsi="Times New Roman" w:cs="Times New Roman"/>
          <w:color w:val="EE0000"/>
          <w:sz w:val="24"/>
          <w:szCs w:val="24"/>
          <w:lang w:val="en-GB"/>
        </w:rPr>
        <w:t xml:space="preserve"> the implemented changes rather than quoting individual sentences that are no longer representative of the revised text.</w:t>
      </w:r>
    </w:p>
    <w:p w14:paraId="3B89FD1B" w14:textId="27E15619" w:rsidR="005839C1" w:rsidRPr="00611AB3" w:rsidRDefault="00EB7D95" w:rsidP="004E1CA4">
      <w:pPr>
        <w:rPr>
          <w:rFonts w:ascii="Times New Roman" w:hAnsi="Times New Roman" w:cs="Times New Roman"/>
          <w:sz w:val="24"/>
          <w:szCs w:val="24"/>
          <w:lang w:val="en-GB"/>
        </w:rPr>
      </w:pPr>
      <w:r w:rsidRPr="00611AB3">
        <w:rPr>
          <w:rFonts w:ascii="Times New Roman" w:eastAsiaTheme="majorEastAsia" w:hAnsi="Times New Roman" w:cs="Times New Roman"/>
          <w:b/>
          <w:bCs/>
          <w:color w:val="000000" w:themeColor="text1"/>
          <w:sz w:val="24"/>
          <w:szCs w:val="24"/>
          <w:lang w:val="en-GB"/>
        </w:rPr>
        <w:t>Reviewers #1 and #2</w:t>
      </w:r>
    </w:p>
    <w:p w14:paraId="51064EE7" w14:textId="2D351EC5" w:rsidR="005839C1" w:rsidRPr="00611AB3" w:rsidRDefault="005839C1" w:rsidP="004E1CA4">
      <w:pPr>
        <w:rPr>
          <w:rFonts w:ascii="Times New Roman" w:eastAsiaTheme="majorEastAsia" w:hAnsi="Times New Roman" w:cs="Times New Roman"/>
          <w:b/>
          <w:bCs/>
          <w:color w:val="000000" w:themeColor="text1"/>
          <w:sz w:val="24"/>
          <w:szCs w:val="24"/>
          <w:lang w:val="en-GB"/>
        </w:rPr>
      </w:pPr>
      <w:r w:rsidRPr="00611AB3">
        <w:rPr>
          <w:rFonts w:ascii="Times New Roman" w:eastAsiaTheme="majorEastAsia" w:hAnsi="Times New Roman" w:cs="Times New Roman"/>
          <w:b/>
          <w:bCs/>
          <w:color w:val="000000" w:themeColor="text1"/>
          <w:sz w:val="24"/>
          <w:szCs w:val="24"/>
          <w:lang w:val="en-GB"/>
        </w:rPr>
        <w:t>Overview</w:t>
      </w:r>
    </w:p>
    <w:p w14:paraId="0075A7D0" w14:textId="5D9C068B" w:rsidR="005839C1" w:rsidRDefault="005839C1" w:rsidP="004E1CA4">
      <w:pPr>
        <w:rPr>
          <w:rFonts w:ascii="Times New Roman" w:hAnsi="Times New Roman" w:cs="Times New Roman"/>
          <w:sz w:val="24"/>
          <w:szCs w:val="24"/>
          <w:lang w:val="en-GB"/>
        </w:rPr>
      </w:pPr>
      <w:r w:rsidRPr="00611AB3">
        <w:rPr>
          <w:rFonts w:ascii="Times New Roman" w:hAnsi="Times New Roman" w:cs="Times New Roman"/>
          <w:sz w:val="24"/>
          <w:szCs w:val="24"/>
          <w:lang w:val="en-GB"/>
        </w:rPr>
        <w:t xml:space="preserve">The study applied a statistical method and a global oxygen database to reconstruct spatially and temporally varying carbonate chemistry in from 2004 to 2022. The authors show that during this time span, the </w:t>
      </w:r>
      <w:r w:rsidR="003E100F" w:rsidRPr="00611AB3">
        <w:rPr>
          <w:rFonts w:ascii="Times New Roman" w:hAnsi="Times New Roman" w:cs="Times New Roman"/>
          <w:sz w:val="24"/>
          <w:szCs w:val="24"/>
          <w:lang w:val="en-GB"/>
        </w:rPr>
        <w:t>biological</w:t>
      </w:r>
      <w:r w:rsidRPr="00611AB3">
        <w:rPr>
          <w:rFonts w:ascii="Times New Roman" w:hAnsi="Times New Roman" w:cs="Times New Roman"/>
          <w:sz w:val="24"/>
          <w:szCs w:val="24"/>
          <w:lang w:val="en-GB"/>
        </w:rPr>
        <w:t xml:space="preserve"> carbon pump (BCP) has not changed when integrated globally, but claim that substantial regional trends have emerged. They further showed that vertically, the maximum depth for the accumulation of remineralized dissolved inorganic carbon (DIC) has also evolved depending on the regions with consequences on the sequestration time scale of BCP. The idea of using </w:t>
      </w:r>
      <w:r w:rsidR="003E100F" w:rsidRPr="00611AB3">
        <w:rPr>
          <w:rFonts w:ascii="Times New Roman" w:hAnsi="Times New Roman" w:cs="Times New Roman"/>
          <w:sz w:val="24"/>
          <w:szCs w:val="24"/>
          <w:lang w:val="en-GB"/>
        </w:rPr>
        <w:t>contemporary</w:t>
      </w:r>
      <w:r w:rsidRPr="00611AB3">
        <w:rPr>
          <w:rFonts w:ascii="Times New Roman" w:hAnsi="Times New Roman" w:cs="Times New Roman"/>
          <w:sz w:val="24"/>
          <w:szCs w:val="24"/>
          <w:lang w:val="en-GB"/>
        </w:rPr>
        <w:t xml:space="preserve"> oxygen changes, specifically apparent oxygen utilization (AOU) as an proxy for changes in BCP is not </w:t>
      </w:r>
      <w:r w:rsidR="001F2723" w:rsidRPr="00611AB3">
        <w:rPr>
          <w:rFonts w:ascii="Times New Roman" w:hAnsi="Times New Roman" w:cs="Times New Roman"/>
          <w:sz w:val="24"/>
          <w:szCs w:val="24"/>
          <w:lang w:val="en-GB"/>
        </w:rPr>
        <w:t>new but</w:t>
      </w:r>
      <w:r w:rsidRPr="00611AB3">
        <w:rPr>
          <w:rFonts w:ascii="Times New Roman" w:hAnsi="Times New Roman" w:cs="Times New Roman"/>
          <w:sz w:val="24"/>
          <w:szCs w:val="24"/>
          <w:lang w:val="en-GB"/>
        </w:rPr>
        <w:t xml:space="preserve"> would still be a valuable contribution to the community.</w:t>
      </w:r>
    </w:p>
    <w:p w14:paraId="4DA14B7C" w14:textId="3D65A091" w:rsidR="007D453C" w:rsidRPr="007D453C" w:rsidRDefault="007D453C" w:rsidP="004E1CA4">
      <w:pPr>
        <w:rPr>
          <w:rFonts w:ascii="Times New Roman" w:hAnsi="Times New Roman" w:cs="Times New Roman"/>
          <w:color w:val="EE0000"/>
          <w:sz w:val="24"/>
          <w:szCs w:val="24"/>
          <w:lang w:val="en-GB"/>
        </w:rPr>
      </w:pPr>
      <w:r w:rsidRPr="007D453C">
        <w:rPr>
          <w:rFonts w:ascii="Times New Roman" w:hAnsi="Times New Roman" w:cs="Times New Roman"/>
          <w:color w:val="EE0000"/>
          <w:sz w:val="24"/>
          <w:szCs w:val="24"/>
          <w:lang w:val="en-GB"/>
        </w:rPr>
        <w:t>We thank the reviewer for this careful and balanced overview of our study.</w:t>
      </w:r>
    </w:p>
    <w:p w14:paraId="504A61B8" w14:textId="654B81E5" w:rsidR="005839C1" w:rsidRPr="00611AB3" w:rsidRDefault="005839C1" w:rsidP="004E1CA4">
      <w:pPr>
        <w:rPr>
          <w:rFonts w:ascii="Times New Roman" w:eastAsiaTheme="majorEastAsia" w:hAnsi="Times New Roman" w:cs="Times New Roman"/>
          <w:b/>
          <w:bCs/>
          <w:color w:val="000000" w:themeColor="text1"/>
          <w:sz w:val="24"/>
          <w:szCs w:val="24"/>
          <w:lang w:val="en-GB"/>
        </w:rPr>
      </w:pPr>
      <w:r w:rsidRPr="00611AB3">
        <w:rPr>
          <w:rFonts w:ascii="Times New Roman" w:eastAsiaTheme="majorEastAsia" w:hAnsi="Times New Roman" w:cs="Times New Roman"/>
          <w:b/>
          <w:bCs/>
          <w:color w:val="000000" w:themeColor="text1"/>
          <w:sz w:val="24"/>
          <w:szCs w:val="24"/>
          <w:lang w:val="en-GB"/>
        </w:rPr>
        <w:t>Major comments</w:t>
      </w:r>
    </w:p>
    <w:p w14:paraId="50939D52" w14:textId="77777777" w:rsidR="005839C1" w:rsidRDefault="005839C1" w:rsidP="004E1CA4">
      <w:pPr>
        <w:rPr>
          <w:rFonts w:ascii="Times New Roman" w:hAnsi="Times New Roman" w:cs="Times New Roman"/>
          <w:sz w:val="24"/>
          <w:szCs w:val="24"/>
          <w:lang w:val="en-GB"/>
        </w:rPr>
      </w:pPr>
      <w:r w:rsidRPr="00611AB3">
        <w:rPr>
          <w:rFonts w:ascii="Times New Roman" w:hAnsi="Times New Roman" w:cs="Times New Roman"/>
          <w:sz w:val="24"/>
          <w:szCs w:val="24"/>
          <w:lang w:val="en-GB"/>
        </w:rPr>
        <w:t>Robustness of the methodology approach. The used of only one O2 database limits the robustness of the analysis results and conclusions. The authors should consider other O2 data products: (i) Ito et al. (2024) covering 1965-2000, and (ii) Roach and Bindoff (2023) covering 1955-2018, among others. The use of 2004-2022 period does not represent the long-term changes. Changes over this short period in many ocean regions could arguably reflect internal climate mode variability, and not necessarily a ’shift’ or ’destabilization’ of the BCP. While it is still valuable to show these changes, any link to natural climate variability (instead of purely externally forced trends) should be elucidated and discussed, when the temporal data coverage is sufficient. In general, I find that a discussion on the limitations and uncertainties of the applied methodology, which the conclusions strongly depend on, is missing.</w:t>
      </w:r>
    </w:p>
    <w:p w14:paraId="30A60BE1" w14:textId="4152EB9C" w:rsidR="002B1A33" w:rsidRDefault="002B1A33" w:rsidP="004E1CA4">
      <w:pPr>
        <w:rPr>
          <w:rFonts w:ascii="Times New Roman" w:hAnsi="Times New Roman" w:cs="Times New Roman"/>
          <w:color w:val="EE0000"/>
          <w:sz w:val="24"/>
          <w:szCs w:val="24"/>
          <w:lang w:val="en-GB"/>
        </w:rPr>
      </w:pPr>
      <w:r w:rsidRPr="002B1A33">
        <w:rPr>
          <w:rFonts w:ascii="Times New Roman" w:hAnsi="Times New Roman" w:cs="Times New Roman"/>
          <w:color w:val="EE0000"/>
          <w:sz w:val="24"/>
          <w:szCs w:val="24"/>
          <w:lang w:val="en-GB"/>
        </w:rPr>
        <w:t>We evaluated the robustness of inferred large-scale oxygen trend patterns against the independent ML</w:t>
      </w:r>
      <w:r w:rsidRPr="009175FA">
        <w:rPr>
          <w:rFonts w:ascii="Times New Roman" w:hAnsi="Times New Roman" w:cs="Times New Roman"/>
          <w:color w:val="EE0000"/>
          <w:sz w:val="24"/>
          <w:szCs w:val="24"/>
          <w:vertAlign w:val="subscript"/>
          <w:lang w:val="en-GB"/>
        </w:rPr>
        <w:t>4</w:t>
      </w:r>
      <w:r w:rsidRPr="002B1A33">
        <w:rPr>
          <w:rFonts w:ascii="Times New Roman" w:hAnsi="Times New Roman" w:cs="Times New Roman"/>
          <w:color w:val="EE0000"/>
          <w:sz w:val="24"/>
          <w:szCs w:val="24"/>
          <w:lang w:val="en-GB"/>
        </w:rPr>
        <w:t>O</w:t>
      </w:r>
      <w:r w:rsidRPr="009175FA">
        <w:rPr>
          <w:rFonts w:ascii="Times New Roman" w:hAnsi="Times New Roman" w:cs="Times New Roman"/>
          <w:color w:val="EE0000"/>
          <w:sz w:val="24"/>
          <w:szCs w:val="24"/>
          <w:vertAlign w:val="subscript"/>
          <w:lang w:val="en-GB"/>
        </w:rPr>
        <w:t>2</w:t>
      </w:r>
      <w:r w:rsidRPr="002B1A33">
        <w:rPr>
          <w:rFonts w:ascii="Times New Roman" w:hAnsi="Times New Roman" w:cs="Times New Roman"/>
          <w:color w:val="EE0000"/>
          <w:sz w:val="24"/>
          <w:szCs w:val="24"/>
          <w:lang w:val="en-GB"/>
        </w:rPr>
        <w:t xml:space="preserve"> reconstruction (Ito et al., 2024; Text S1, Figs. S3–S4), which uses a distinct machine-learning framework, different predictor sets, and an independent training strategy. Over the common observational period (</w:t>
      </w:r>
      <w:r w:rsidR="00FF5D68">
        <w:rPr>
          <w:rFonts w:ascii="Times New Roman" w:hAnsi="Times New Roman" w:cs="Times New Roman"/>
          <w:color w:val="EE0000"/>
          <w:sz w:val="24"/>
          <w:szCs w:val="24"/>
          <w:lang w:val="en-GB"/>
        </w:rPr>
        <w:t>2004</w:t>
      </w:r>
      <w:r w:rsidRPr="002B1A33">
        <w:rPr>
          <w:rFonts w:ascii="Times New Roman" w:hAnsi="Times New Roman" w:cs="Times New Roman"/>
          <w:color w:val="EE0000"/>
          <w:sz w:val="24"/>
          <w:szCs w:val="24"/>
          <w:lang w:val="en-GB"/>
        </w:rPr>
        <w:t>–2020, 0–1000 m), both products show broadly consistent basin-scale thickness-weighted oxygen trends, with 84.90% global sign agreement across valid grid cells. More stringently, sign disagreement is limited to 7.90% of valid grid cells in regions where GOBAI-O</w:t>
      </w:r>
      <w:r w:rsidRPr="009175FA">
        <w:rPr>
          <w:rFonts w:ascii="Times New Roman" w:hAnsi="Times New Roman" w:cs="Times New Roman"/>
          <w:color w:val="EE0000"/>
          <w:sz w:val="24"/>
          <w:szCs w:val="24"/>
          <w:vertAlign w:val="subscript"/>
          <w:lang w:val="en-GB"/>
        </w:rPr>
        <w:t>2</w:t>
      </w:r>
      <w:r w:rsidRPr="002B1A33">
        <w:rPr>
          <w:rFonts w:ascii="Times New Roman" w:hAnsi="Times New Roman" w:cs="Times New Roman"/>
          <w:color w:val="EE0000"/>
          <w:sz w:val="24"/>
          <w:szCs w:val="24"/>
          <w:lang w:val="en-GB"/>
        </w:rPr>
        <w:t xml:space="preserve"> trends are statistically significant (p &lt; 0.05), indicating that product-level differences are concentrated in dynamically complex or observationally sparse regions rather than in the large-scale redistribution patterns central to our conclusions. The global oxygen atlas of Roach and Bindoff (2023) was not used for this comparison because it is derived exclusively from ship-based WOD profiles without BGC-Argo assimilation; comparing GOBAI-O</w:t>
      </w:r>
      <w:r w:rsidRPr="009175FA">
        <w:rPr>
          <w:rFonts w:ascii="Times New Roman" w:hAnsi="Times New Roman" w:cs="Times New Roman"/>
          <w:color w:val="EE0000"/>
          <w:sz w:val="24"/>
          <w:szCs w:val="24"/>
          <w:vertAlign w:val="subscript"/>
          <w:lang w:val="en-GB"/>
        </w:rPr>
        <w:t>2</w:t>
      </w:r>
      <w:r w:rsidR="009175FA">
        <w:rPr>
          <w:rFonts w:ascii="Times New Roman" w:hAnsi="Times New Roman" w:cs="Times New Roman"/>
          <w:color w:val="EE0000"/>
          <w:sz w:val="24"/>
          <w:szCs w:val="24"/>
          <w:lang w:val="en-GB"/>
        </w:rPr>
        <w:t xml:space="preserve"> and</w:t>
      </w:r>
      <w:r w:rsidRPr="002B1A33">
        <w:rPr>
          <w:rFonts w:ascii="Times New Roman" w:hAnsi="Times New Roman" w:cs="Times New Roman"/>
          <w:color w:val="EE0000"/>
          <w:sz w:val="24"/>
          <w:szCs w:val="24"/>
          <w:lang w:val="en-GB"/>
        </w:rPr>
        <w:t xml:space="preserve"> </w:t>
      </w:r>
      <w:r w:rsidR="009175FA" w:rsidRPr="002B1A33">
        <w:rPr>
          <w:rFonts w:ascii="Times New Roman" w:hAnsi="Times New Roman" w:cs="Times New Roman"/>
          <w:color w:val="EE0000"/>
          <w:sz w:val="24"/>
          <w:szCs w:val="24"/>
          <w:lang w:val="en-GB"/>
        </w:rPr>
        <w:t>ML</w:t>
      </w:r>
      <w:r w:rsidR="009175FA" w:rsidRPr="009175FA">
        <w:rPr>
          <w:rFonts w:ascii="Times New Roman" w:hAnsi="Times New Roman" w:cs="Times New Roman"/>
          <w:color w:val="EE0000"/>
          <w:sz w:val="24"/>
          <w:szCs w:val="24"/>
          <w:vertAlign w:val="subscript"/>
          <w:lang w:val="en-GB"/>
        </w:rPr>
        <w:t>4</w:t>
      </w:r>
      <w:r w:rsidR="009175FA" w:rsidRPr="002B1A33">
        <w:rPr>
          <w:rFonts w:ascii="Times New Roman" w:hAnsi="Times New Roman" w:cs="Times New Roman"/>
          <w:color w:val="EE0000"/>
          <w:sz w:val="24"/>
          <w:szCs w:val="24"/>
          <w:lang w:val="en-GB"/>
        </w:rPr>
        <w:t>O</w:t>
      </w:r>
      <w:r w:rsidR="009175FA" w:rsidRPr="009175FA">
        <w:rPr>
          <w:rFonts w:ascii="Times New Roman" w:hAnsi="Times New Roman" w:cs="Times New Roman"/>
          <w:color w:val="EE0000"/>
          <w:sz w:val="24"/>
          <w:szCs w:val="24"/>
          <w:vertAlign w:val="subscript"/>
          <w:lang w:val="en-GB"/>
        </w:rPr>
        <w:t>2</w:t>
      </w:r>
      <w:r w:rsidR="009175FA" w:rsidRPr="002B1A33">
        <w:rPr>
          <w:rFonts w:ascii="Times New Roman" w:hAnsi="Times New Roman" w:cs="Times New Roman"/>
          <w:color w:val="EE0000"/>
          <w:sz w:val="24"/>
          <w:szCs w:val="24"/>
          <w:lang w:val="en-GB"/>
        </w:rPr>
        <w:t xml:space="preserve"> </w:t>
      </w:r>
      <w:r w:rsidRPr="002B1A33">
        <w:rPr>
          <w:rFonts w:ascii="Times New Roman" w:hAnsi="Times New Roman" w:cs="Times New Roman"/>
          <w:color w:val="EE0000"/>
          <w:sz w:val="24"/>
          <w:szCs w:val="24"/>
          <w:lang w:val="en-GB"/>
        </w:rPr>
        <w:t xml:space="preserve">against a ship-only product would conflate fundamental </w:t>
      </w:r>
      <w:r w:rsidRPr="002B1A33">
        <w:rPr>
          <w:rFonts w:ascii="Times New Roman" w:hAnsi="Times New Roman" w:cs="Times New Roman"/>
          <w:color w:val="EE0000"/>
          <w:sz w:val="24"/>
          <w:szCs w:val="24"/>
          <w:lang w:val="en-GB"/>
        </w:rPr>
        <w:lastRenderedPageBreak/>
        <w:t>differences in spatio-temporal data coverage with algorithmic differences, making the robustness test difficult to interpret. By contrast, both GOBAI-O</w:t>
      </w:r>
      <w:r w:rsidRPr="00DC7F98">
        <w:rPr>
          <w:rFonts w:ascii="Times New Roman" w:hAnsi="Times New Roman" w:cs="Times New Roman"/>
          <w:color w:val="EE0000"/>
          <w:sz w:val="24"/>
          <w:szCs w:val="24"/>
          <w:vertAlign w:val="subscript"/>
          <w:lang w:val="en-GB"/>
        </w:rPr>
        <w:t>2</w:t>
      </w:r>
      <w:r w:rsidRPr="002B1A33">
        <w:rPr>
          <w:rFonts w:ascii="Times New Roman" w:hAnsi="Times New Roman" w:cs="Times New Roman"/>
          <w:color w:val="EE0000"/>
          <w:sz w:val="24"/>
          <w:szCs w:val="24"/>
          <w:lang w:val="en-GB"/>
        </w:rPr>
        <w:t xml:space="preserve"> and ML</w:t>
      </w:r>
      <w:r w:rsidRPr="00DC7F98">
        <w:rPr>
          <w:rFonts w:ascii="Times New Roman" w:hAnsi="Times New Roman" w:cs="Times New Roman"/>
          <w:color w:val="EE0000"/>
          <w:sz w:val="24"/>
          <w:szCs w:val="24"/>
          <w:vertAlign w:val="subscript"/>
          <w:lang w:val="en-GB"/>
        </w:rPr>
        <w:t>4</w:t>
      </w:r>
      <w:r w:rsidRPr="002B1A33">
        <w:rPr>
          <w:rFonts w:ascii="Times New Roman" w:hAnsi="Times New Roman" w:cs="Times New Roman"/>
          <w:color w:val="EE0000"/>
          <w:sz w:val="24"/>
          <w:szCs w:val="24"/>
          <w:lang w:val="en-GB"/>
        </w:rPr>
        <w:t>O</w:t>
      </w:r>
      <w:r w:rsidRPr="00DC7F98">
        <w:rPr>
          <w:rFonts w:ascii="Times New Roman" w:hAnsi="Times New Roman" w:cs="Times New Roman"/>
          <w:color w:val="EE0000"/>
          <w:sz w:val="24"/>
          <w:szCs w:val="24"/>
          <w:vertAlign w:val="subscript"/>
          <w:lang w:val="en-GB"/>
        </w:rPr>
        <w:t>2</w:t>
      </w:r>
      <w:r w:rsidRPr="002B1A33">
        <w:rPr>
          <w:rFonts w:ascii="Times New Roman" w:hAnsi="Times New Roman" w:cs="Times New Roman"/>
          <w:color w:val="EE0000"/>
          <w:sz w:val="24"/>
          <w:szCs w:val="24"/>
          <w:lang w:val="en-GB"/>
        </w:rPr>
        <w:t xml:space="preserve"> assimilate Argo-era observations, so disagreements between them isolate methodological uncertainty. We additionally extended the study period from 2004–2022 to 2004–2024 by updating to GOBAI-O2 v2.3, directly addressing the concern that the original 18-year window may reflect internal climate variability rather than forced trends. Methodological limitations — including the role of internal modes of climate variability in shaping regional trends and the assumptions embedded in the AOU-to-DICsoft conversion — are now explicitly discussed in the revised manuscript (Methods, Text S1).</w:t>
      </w:r>
    </w:p>
    <w:p w14:paraId="4A072596" w14:textId="46972CFF" w:rsidR="005839C1" w:rsidRDefault="005839C1" w:rsidP="004E1CA4">
      <w:pPr>
        <w:rPr>
          <w:rFonts w:ascii="Times New Roman" w:hAnsi="Times New Roman" w:cs="Times New Roman"/>
          <w:sz w:val="24"/>
          <w:szCs w:val="24"/>
          <w:lang w:val="en-GB"/>
        </w:rPr>
      </w:pPr>
      <w:r w:rsidRPr="00611AB3">
        <w:rPr>
          <w:rFonts w:ascii="Times New Roman" w:hAnsi="Times New Roman" w:cs="Times New Roman"/>
          <w:sz w:val="24"/>
          <w:szCs w:val="24"/>
          <w:lang w:val="en-GB"/>
        </w:rPr>
        <w:t xml:space="preserve">While it’s indeed interesting to see the spatial variation of BCP trends, I was left disappointed with the lack of attributions of these emerging patterns. Instead, throughout the paper, there are numerous poor and often hand-waving statements on the mechanisms driving these regional changes. The word ’likely’ or ’may have ...’ should be avoided. Stratifications were mentioned in several places as the likely reasons for the reduced BCP, linked to reduced POC flux from surface, hence reduce the flux of DIC-soft into deep ocean. However, stratification would also increase </w:t>
      </w:r>
      <w:r w:rsidR="003E100F" w:rsidRPr="00611AB3">
        <w:rPr>
          <w:rFonts w:ascii="Times New Roman" w:hAnsi="Times New Roman" w:cs="Times New Roman"/>
          <w:sz w:val="24"/>
          <w:szCs w:val="24"/>
          <w:lang w:val="en-GB"/>
        </w:rPr>
        <w:t>water mass</w:t>
      </w:r>
      <w:r w:rsidRPr="00611AB3">
        <w:rPr>
          <w:rFonts w:ascii="Times New Roman" w:hAnsi="Times New Roman" w:cs="Times New Roman"/>
          <w:sz w:val="24"/>
          <w:szCs w:val="24"/>
          <w:lang w:val="en-GB"/>
        </w:rPr>
        <w:t xml:space="preserve"> age in the interior, hence lowering ventilation rate and allowing higher AOU and higher DIC-soft in the interior. When attributing the cause of BCP changes to certain processes, supporting evidence should also be presented. As an example, data of </w:t>
      </w:r>
      <w:r w:rsidR="003E100F" w:rsidRPr="00611AB3">
        <w:rPr>
          <w:rFonts w:ascii="Times New Roman" w:hAnsi="Times New Roman" w:cs="Times New Roman"/>
          <w:sz w:val="24"/>
          <w:szCs w:val="24"/>
          <w:lang w:val="en-GB"/>
        </w:rPr>
        <w:t>water mass</w:t>
      </w:r>
      <w:r w:rsidRPr="00611AB3">
        <w:rPr>
          <w:rFonts w:ascii="Times New Roman" w:hAnsi="Times New Roman" w:cs="Times New Roman"/>
          <w:sz w:val="24"/>
          <w:szCs w:val="24"/>
          <w:lang w:val="en-GB"/>
        </w:rPr>
        <w:t xml:space="preserve"> density, stratification profiles, etc. can be presented.</w:t>
      </w:r>
    </w:p>
    <w:p w14:paraId="78159CC5" w14:textId="77777777" w:rsidR="00501280" w:rsidRPr="00501280" w:rsidRDefault="00501280" w:rsidP="00501280">
      <w:pPr>
        <w:rPr>
          <w:rFonts w:ascii="Times New Roman" w:hAnsi="Times New Roman" w:cs="Times New Roman"/>
          <w:color w:val="EE0000"/>
          <w:sz w:val="24"/>
          <w:szCs w:val="24"/>
          <w:lang w:val="en-GB"/>
        </w:rPr>
      </w:pPr>
      <w:r w:rsidRPr="00501280">
        <w:rPr>
          <w:rFonts w:ascii="Times New Roman" w:hAnsi="Times New Roman" w:cs="Times New Roman"/>
          <w:color w:val="EE0000"/>
          <w:sz w:val="24"/>
          <w:szCs w:val="24"/>
          <w:lang w:val="en-GB"/>
        </w:rPr>
        <w:t>In the revised manuscript, attributive and speculative statements have been substantially revised. Wording that implies mechanistic causation without direct observational support (e.g., "likely driven by", "may have shoaled") has been removed or replaced with observationally grounded language. Residual hedged phrasing where used (e.g., "consistent with", "appears to") refers to documented physical and ecological context cited from the literature, rather than inferences drawn from the DIC</w:t>
      </w:r>
      <w:r w:rsidRPr="006E1782">
        <w:rPr>
          <w:rFonts w:ascii="Times New Roman" w:hAnsi="Times New Roman" w:cs="Times New Roman"/>
          <w:color w:val="EE0000"/>
          <w:sz w:val="24"/>
          <w:szCs w:val="24"/>
          <w:vertAlign w:val="subscript"/>
          <w:lang w:val="en-GB"/>
        </w:rPr>
        <w:t>soft</w:t>
      </w:r>
      <w:r w:rsidRPr="00501280">
        <w:rPr>
          <w:rFonts w:ascii="Times New Roman" w:hAnsi="Times New Roman" w:cs="Times New Roman"/>
          <w:color w:val="EE0000"/>
          <w:sz w:val="24"/>
          <w:szCs w:val="24"/>
          <w:lang w:val="en-GB"/>
        </w:rPr>
        <w:t xml:space="preserve"> signal itself.</w:t>
      </w:r>
    </w:p>
    <w:p w14:paraId="702C1D29" w14:textId="4082FE2C" w:rsidR="00501280" w:rsidRPr="00501280" w:rsidRDefault="00501280" w:rsidP="00501280">
      <w:pPr>
        <w:rPr>
          <w:rFonts w:ascii="Times New Roman" w:hAnsi="Times New Roman" w:cs="Times New Roman"/>
          <w:color w:val="EE0000"/>
          <w:sz w:val="24"/>
          <w:szCs w:val="24"/>
          <w:lang w:val="en-GB"/>
        </w:rPr>
      </w:pPr>
      <w:r w:rsidRPr="00501280">
        <w:rPr>
          <w:rFonts w:ascii="Times New Roman" w:hAnsi="Times New Roman" w:cs="Times New Roman"/>
          <w:color w:val="EE0000"/>
          <w:sz w:val="24"/>
          <w:szCs w:val="24"/>
          <w:lang w:val="en-GB"/>
        </w:rPr>
        <w:t>To physically contextualize the observed redistribution without implying attribution, we added two independent diagnostics. First, trends in upper-ocean stratification were quantified using thickness-weighted mean buoyancy frequency squared (N²) computed from GOBAI-O</w:t>
      </w:r>
      <w:r w:rsidRPr="006E1782">
        <w:rPr>
          <w:rFonts w:ascii="Times New Roman" w:hAnsi="Times New Roman" w:cs="Times New Roman"/>
          <w:color w:val="EE0000"/>
          <w:sz w:val="24"/>
          <w:szCs w:val="24"/>
          <w:vertAlign w:val="subscript"/>
          <w:lang w:val="en-GB"/>
        </w:rPr>
        <w:t>2</w:t>
      </w:r>
      <w:r w:rsidRPr="00501280">
        <w:rPr>
          <w:rFonts w:ascii="Times New Roman" w:hAnsi="Times New Roman" w:cs="Times New Roman"/>
          <w:color w:val="EE0000"/>
          <w:sz w:val="24"/>
          <w:szCs w:val="24"/>
          <w:lang w:val="en-GB"/>
        </w:rPr>
        <w:t xml:space="preserve"> temperature and salinity fields over 0–200 dbar (Fig. 3</w:t>
      </w:r>
      <w:r w:rsidR="00AA4B74">
        <w:rPr>
          <w:rFonts w:ascii="Times New Roman" w:hAnsi="Times New Roman" w:cs="Times New Roman"/>
          <w:color w:val="EE0000"/>
          <w:sz w:val="24"/>
          <w:szCs w:val="24"/>
          <w:lang w:val="en-GB"/>
        </w:rPr>
        <w:t>a</w:t>
      </w:r>
      <w:r w:rsidRPr="00501280">
        <w:rPr>
          <w:rFonts w:ascii="Times New Roman" w:hAnsi="Times New Roman" w:cs="Times New Roman"/>
          <w:color w:val="EE0000"/>
          <w:sz w:val="24"/>
          <w:szCs w:val="24"/>
          <w:lang w:val="en-GB"/>
        </w:rPr>
        <w:t>). Second, ventilation state was assessed using climatological ideal age from the multi-model OCIM ensemble (Millet et al., 2024, 2025), which provides spatial context for interior residence</w:t>
      </w:r>
      <w:r w:rsidR="00A71233">
        <w:rPr>
          <w:rFonts w:ascii="Times New Roman" w:hAnsi="Times New Roman" w:cs="Times New Roman"/>
          <w:color w:val="EE0000"/>
          <w:sz w:val="24"/>
          <w:szCs w:val="24"/>
          <w:lang w:val="en-GB"/>
        </w:rPr>
        <w:t xml:space="preserve"> times</w:t>
      </w:r>
      <w:r w:rsidRPr="00501280">
        <w:rPr>
          <w:rFonts w:ascii="Times New Roman" w:hAnsi="Times New Roman" w:cs="Times New Roman"/>
          <w:color w:val="EE0000"/>
          <w:sz w:val="24"/>
          <w:szCs w:val="24"/>
          <w:lang w:val="en-GB"/>
        </w:rPr>
        <w:t>. We note that the ideal age represents a climatological mean state and is used to characterize the physical environment in which redistribution occurs, not to diagnose temporal trends in ventilation.</w:t>
      </w:r>
    </w:p>
    <w:p w14:paraId="4077D461" w14:textId="11A43E15" w:rsidR="00AA4B74" w:rsidRDefault="00501280" w:rsidP="00501280">
      <w:pPr>
        <w:rPr>
          <w:rFonts w:ascii="Times New Roman" w:hAnsi="Times New Roman" w:cs="Times New Roman"/>
          <w:color w:val="EE0000"/>
          <w:sz w:val="24"/>
          <w:szCs w:val="24"/>
          <w:lang w:val="en-GB"/>
        </w:rPr>
      </w:pPr>
      <w:r w:rsidRPr="00501280">
        <w:rPr>
          <w:rFonts w:ascii="Times New Roman" w:hAnsi="Times New Roman" w:cs="Times New Roman"/>
          <w:color w:val="EE0000"/>
          <w:sz w:val="24"/>
          <w:szCs w:val="24"/>
          <w:lang w:val="en-GB"/>
        </w:rPr>
        <w:t>Critically, the reviewer's point that stratification exerts competing effects — reducing surface export on one hand while increasing interior residence times and AOU on the other — is now explicitly acknowledged. The revised text states that "changes in sequestration depth diagnosed here reflect the net outcome of export, remineralization, and circulation, and cannot be attributed to any single process in isolation" (</w:t>
      </w:r>
      <w:r w:rsidRPr="00E815ED">
        <w:rPr>
          <w:rFonts w:ascii="Times New Roman" w:hAnsi="Times New Roman" w:cs="Times New Roman"/>
          <w:color w:val="EE0000"/>
          <w:sz w:val="24"/>
          <w:szCs w:val="24"/>
          <w:lang w:val="en-GB"/>
        </w:rPr>
        <w:t>revised manuscript line [</w:t>
      </w:r>
      <w:r w:rsidR="00E815ED" w:rsidRPr="00E815ED">
        <w:rPr>
          <w:rFonts w:ascii="Times New Roman" w:hAnsi="Times New Roman" w:cs="Times New Roman"/>
          <w:color w:val="EE0000"/>
          <w:sz w:val="24"/>
          <w:szCs w:val="24"/>
          <w:lang w:val="en-GB"/>
        </w:rPr>
        <w:t>382</w:t>
      </w:r>
      <w:r w:rsidRPr="00E815ED">
        <w:rPr>
          <w:rFonts w:ascii="Times New Roman" w:hAnsi="Times New Roman" w:cs="Times New Roman"/>
          <w:color w:val="EE0000"/>
          <w:sz w:val="24"/>
          <w:szCs w:val="24"/>
          <w:lang w:val="en-GB"/>
        </w:rPr>
        <w:t>]). The reorganization</w:t>
      </w:r>
      <w:r w:rsidRPr="00501280">
        <w:rPr>
          <w:rFonts w:ascii="Times New Roman" w:hAnsi="Times New Roman" w:cs="Times New Roman"/>
          <w:color w:val="EE0000"/>
          <w:sz w:val="24"/>
          <w:szCs w:val="24"/>
          <w:lang w:val="en-GB"/>
        </w:rPr>
        <w:t xml:space="preserve"> is accordingly framed in terms of changes in physical connectivity rather than export changes alone</w:t>
      </w:r>
      <w:r w:rsidR="00E815ED">
        <w:rPr>
          <w:rFonts w:ascii="Times New Roman" w:hAnsi="Times New Roman" w:cs="Times New Roman"/>
          <w:color w:val="EE0000"/>
          <w:sz w:val="24"/>
          <w:szCs w:val="24"/>
          <w:lang w:val="en-GB"/>
        </w:rPr>
        <w:t>.</w:t>
      </w:r>
    </w:p>
    <w:p w14:paraId="7105D6AF" w14:textId="2FBEA976" w:rsidR="00280315" w:rsidRDefault="005839C1" w:rsidP="00501280">
      <w:pPr>
        <w:rPr>
          <w:rFonts w:ascii="Times New Roman" w:hAnsi="Times New Roman" w:cs="Times New Roman"/>
          <w:sz w:val="24"/>
          <w:szCs w:val="24"/>
          <w:lang w:val="en-GB"/>
        </w:rPr>
      </w:pPr>
      <w:r w:rsidRPr="0078116B">
        <w:rPr>
          <w:rFonts w:ascii="Times New Roman" w:hAnsi="Times New Roman" w:cs="Times New Roman"/>
          <w:sz w:val="24"/>
          <w:szCs w:val="24"/>
          <w:lang w:val="en-GB"/>
        </w:rPr>
        <w:t>There are many inappropriate use of references as well as relevant studies not acknowledged (many are mentioned under the minor comments). For instance, literatures looking at AOU changes are missing, in particular Schmidtko et al. (2017) has published a map of AOU changes from observations, (their extended data figure 1)</w:t>
      </w:r>
      <w:r w:rsidR="009B0645" w:rsidRPr="0078116B">
        <w:rPr>
          <w:rFonts w:ascii="Times New Roman" w:hAnsi="Times New Roman" w:cs="Times New Roman"/>
          <w:sz w:val="24"/>
          <w:szCs w:val="24"/>
          <w:lang w:val="en-GB"/>
        </w:rPr>
        <w:t xml:space="preserve"> </w:t>
      </w:r>
      <w:r w:rsidRPr="0078116B">
        <w:rPr>
          <w:rFonts w:ascii="Times New Roman" w:hAnsi="Times New Roman" w:cs="Times New Roman"/>
          <w:sz w:val="24"/>
          <w:szCs w:val="24"/>
          <w:lang w:val="en-GB"/>
        </w:rPr>
        <w:t xml:space="preserve">and their results disagree in a couple of regions </w:t>
      </w:r>
      <w:r w:rsidRPr="0078116B">
        <w:rPr>
          <w:rFonts w:ascii="Times New Roman" w:hAnsi="Times New Roman" w:cs="Times New Roman"/>
          <w:sz w:val="24"/>
          <w:szCs w:val="24"/>
          <w:lang w:val="en-GB"/>
        </w:rPr>
        <w:lastRenderedPageBreak/>
        <w:t>with the map shown here. As the map of changes in remineralised DIC (based on AOU) is the key result of their paper. The authors should emphasize what this new map brings to the community compared to the former one.</w:t>
      </w:r>
    </w:p>
    <w:p w14:paraId="19D626D8" w14:textId="159D2E8B" w:rsidR="0079431D" w:rsidRPr="0079431D" w:rsidRDefault="0079431D" w:rsidP="0079431D">
      <w:pPr>
        <w:rPr>
          <w:rFonts w:ascii="Times New Roman" w:hAnsi="Times New Roman" w:cs="Times New Roman"/>
          <w:color w:val="EE0000"/>
          <w:sz w:val="24"/>
          <w:szCs w:val="24"/>
          <w:lang w:val="en-GB"/>
        </w:rPr>
      </w:pPr>
      <w:r w:rsidRPr="0079431D">
        <w:rPr>
          <w:rFonts w:ascii="Times New Roman" w:hAnsi="Times New Roman" w:cs="Times New Roman"/>
          <w:color w:val="EE0000"/>
          <w:sz w:val="24"/>
          <w:szCs w:val="24"/>
          <w:lang w:val="en-GB"/>
        </w:rPr>
        <w:t>Some regional differences between the spatial patterns reported by Schmidtko et al. (2017) and those presented here are expected given the different time windows, sampling density, and methodological approaches. Schmidtko et al. integrate changes over several decades of heterogeneous historical sampling, whereas our reconstruction resolves depth-dependent rates of change over the Argo era (2004–202</w:t>
      </w:r>
      <w:r w:rsidR="009C10AE">
        <w:rPr>
          <w:rFonts w:ascii="Times New Roman" w:hAnsi="Times New Roman" w:cs="Times New Roman"/>
          <w:color w:val="EE0000"/>
          <w:sz w:val="24"/>
          <w:szCs w:val="24"/>
          <w:lang w:val="en-GB"/>
        </w:rPr>
        <w:t>4</w:t>
      </w:r>
      <w:r w:rsidRPr="0079431D">
        <w:rPr>
          <w:rFonts w:ascii="Times New Roman" w:hAnsi="Times New Roman" w:cs="Times New Roman"/>
          <w:color w:val="EE0000"/>
          <w:sz w:val="24"/>
          <w:szCs w:val="24"/>
          <w:lang w:val="en-GB"/>
        </w:rPr>
        <w:t>), during which strong decadal variability and evolving circulation patterns can produce regionally distinct signals.</w:t>
      </w:r>
    </w:p>
    <w:p w14:paraId="715838F2" w14:textId="25D263CD" w:rsidR="00FE2E89" w:rsidRDefault="0079431D" w:rsidP="0079431D">
      <w:pPr>
        <w:rPr>
          <w:rFonts w:ascii="Times New Roman" w:hAnsi="Times New Roman" w:cs="Times New Roman"/>
          <w:color w:val="EE0000"/>
          <w:sz w:val="24"/>
          <w:szCs w:val="24"/>
          <w:lang w:val="en-GB"/>
        </w:rPr>
      </w:pPr>
      <w:r w:rsidRPr="0079431D">
        <w:rPr>
          <w:rFonts w:ascii="Times New Roman" w:hAnsi="Times New Roman" w:cs="Times New Roman"/>
          <w:color w:val="EE0000"/>
          <w:sz w:val="24"/>
          <w:szCs w:val="24"/>
          <w:lang w:val="en-GB"/>
        </w:rPr>
        <w:t>To provide a like-for-like assessment of robustness over the same observational period, we compared oxygen trends derived from GOBAI-O</w:t>
      </w:r>
      <w:r w:rsidR="00D33126" w:rsidRPr="00D33126">
        <w:rPr>
          <w:rFonts w:ascii="Times New Roman" w:hAnsi="Times New Roman" w:cs="Times New Roman"/>
          <w:color w:val="EE0000"/>
          <w:sz w:val="24"/>
          <w:szCs w:val="24"/>
          <w:vertAlign w:val="subscript"/>
          <w:lang w:val="en-GB"/>
        </w:rPr>
        <w:t>2</w:t>
      </w:r>
      <w:r w:rsidRPr="0079431D">
        <w:rPr>
          <w:rFonts w:ascii="Times New Roman" w:hAnsi="Times New Roman" w:cs="Times New Roman"/>
          <w:color w:val="EE0000"/>
          <w:sz w:val="24"/>
          <w:szCs w:val="24"/>
          <w:lang w:val="en-GB"/>
        </w:rPr>
        <w:t xml:space="preserve"> with the independent ML</w:t>
      </w:r>
      <w:r w:rsidRPr="00D33126">
        <w:rPr>
          <w:rFonts w:ascii="Times New Roman" w:hAnsi="Times New Roman" w:cs="Times New Roman"/>
          <w:color w:val="EE0000"/>
          <w:sz w:val="24"/>
          <w:szCs w:val="24"/>
          <w:vertAlign w:val="subscript"/>
          <w:lang w:val="en-GB"/>
        </w:rPr>
        <w:t>4</w:t>
      </w:r>
      <w:r w:rsidRPr="0079431D">
        <w:rPr>
          <w:rFonts w:ascii="Times New Roman" w:hAnsi="Times New Roman" w:cs="Times New Roman"/>
          <w:color w:val="EE0000"/>
          <w:sz w:val="24"/>
          <w:szCs w:val="24"/>
          <w:lang w:val="en-GB"/>
        </w:rPr>
        <w:t>O</w:t>
      </w:r>
      <w:r w:rsidR="00D33126" w:rsidRPr="00D33126">
        <w:rPr>
          <w:rFonts w:ascii="Times New Roman" w:hAnsi="Times New Roman" w:cs="Times New Roman"/>
          <w:color w:val="EE0000"/>
          <w:sz w:val="24"/>
          <w:szCs w:val="24"/>
          <w:vertAlign w:val="subscript"/>
          <w:lang w:val="en-GB"/>
        </w:rPr>
        <w:t>2</w:t>
      </w:r>
      <w:r w:rsidRPr="0079431D">
        <w:rPr>
          <w:rFonts w:ascii="Times New Roman" w:hAnsi="Times New Roman" w:cs="Times New Roman"/>
          <w:color w:val="EE0000"/>
          <w:sz w:val="24"/>
          <w:szCs w:val="24"/>
          <w:lang w:val="en-GB"/>
        </w:rPr>
        <w:t xml:space="preserve"> reconstruction of Ito et al. (2024), which combines ship-based and autonomous observations over a largely overlapping time frame. </w:t>
      </w:r>
      <w:r w:rsidR="004710D6">
        <w:rPr>
          <w:rFonts w:ascii="Times New Roman" w:hAnsi="Times New Roman" w:cs="Times New Roman"/>
          <w:color w:val="EE0000"/>
          <w:sz w:val="24"/>
          <w:szCs w:val="24"/>
          <w:lang w:val="en-GB"/>
        </w:rPr>
        <w:t>About</w:t>
      </w:r>
      <w:r w:rsidRPr="0079431D">
        <w:rPr>
          <w:rFonts w:ascii="Times New Roman" w:hAnsi="Times New Roman" w:cs="Times New Roman"/>
          <w:color w:val="EE0000"/>
          <w:sz w:val="24"/>
          <w:szCs w:val="24"/>
          <w:lang w:val="en-GB"/>
        </w:rPr>
        <w:t xml:space="preserve"> 85% of the sign of oxygen change agrees between the two products globally, indicating that the large-scale redistribution patterns underlying our DIC</w:t>
      </w:r>
      <w:r w:rsidRPr="006015A9">
        <w:rPr>
          <w:rFonts w:ascii="Times New Roman" w:hAnsi="Times New Roman" w:cs="Times New Roman"/>
          <w:color w:val="EE0000"/>
          <w:sz w:val="24"/>
          <w:szCs w:val="24"/>
          <w:vertAlign w:val="subscript"/>
          <w:lang w:val="en-GB"/>
        </w:rPr>
        <w:t>soft</w:t>
      </w:r>
      <w:r w:rsidRPr="0079431D">
        <w:rPr>
          <w:rFonts w:ascii="Times New Roman" w:hAnsi="Times New Roman" w:cs="Times New Roman"/>
          <w:color w:val="EE0000"/>
          <w:sz w:val="24"/>
          <w:szCs w:val="24"/>
          <w:lang w:val="en-GB"/>
        </w:rPr>
        <w:t xml:space="preserve"> results are robust across independent oxygen reconstructions. We therefore use the Ito et al. comparison as the primary consistency check</w:t>
      </w:r>
      <w:r w:rsidR="00605C66">
        <w:rPr>
          <w:rFonts w:ascii="Times New Roman" w:hAnsi="Times New Roman" w:cs="Times New Roman"/>
          <w:color w:val="EE0000"/>
          <w:sz w:val="24"/>
          <w:szCs w:val="24"/>
          <w:lang w:val="en-GB"/>
        </w:rPr>
        <w:t>.</w:t>
      </w:r>
    </w:p>
    <w:p w14:paraId="3DD9E1B0" w14:textId="64726C3E" w:rsidR="00605C66" w:rsidRPr="00CA1446" w:rsidRDefault="00703378" w:rsidP="00CA1446">
      <w:pPr>
        <w:pStyle w:val="Heading-Secondary"/>
        <w:jc w:val="both"/>
        <w:rPr>
          <w:rFonts w:eastAsiaTheme="minorHAnsi"/>
          <w:b w:val="0"/>
          <w:bCs w:val="0"/>
          <w:color w:val="EE0000"/>
          <w:kern w:val="2"/>
          <w:lang w:val="en-GB"/>
          <w14:ligatures w14:val="standardContextual"/>
        </w:rPr>
      </w:pPr>
      <w:r w:rsidRPr="00CA1446">
        <w:rPr>
          <w:rFonts w:eastAsiaTheme="minorHAnsi"/>
          <w:b w:val="0"/>
          <w:bCs w:val="0"/>
          <w:color w:val="EE0000"/>
          <w:kern w:val="2"/>
          <w:lang w:val="en-GB"/>
          <w14:ligatures w14:val="standardContextual"/>
        </w:rPr>
        <w:t>We have clarified this distinction in the revised manuscript and now explicitly position the present maps as a depth-resolved, observation-constrained benchmark of biologically respired carbon redistribution over the modern observational period</w:t>
      </w:r>
      <w:r w:rsidR="00EE4583" w:rsidRPr="00CA1446">
        <w:rPr>
          <w:rFonts w:eastAsiaTheme="minorHAnsi"/>
          <w:b w:val="0"/>
          <w:bCs w:val="0"/>
          <w:color w:val="EE0000"/>
          <w:kern w:val="2"/>
          <w:lang w:val="en-GB"/>
          <w14:ligatures w14:val="standardContextual"/>
        </w:rPr>
        <w:t xml:space="preserve"> (</w:t>
      </w:r>
      <w:r w:rsidR="0010330F">
        <w:rPr>
          <w:rFonts w:eastAsiaTheme="minorHAnsi"/>
          <w:b w:val="0"/>
          <w:bCs w:val="0"/>
          <w:color w:val="EE0000"/>
          <w:kern w:val="2"/>
          <w:lang w:val="en-GB"/>
          <w14:ligatures w14:val="standardContextual"/>
        </w:rPr>
        <w:t>s</w:t>
      </w:r>
      <w:r w:rsidR="00EE4583" w:rsidRPr="00CA1446">
        <w:rPr>
          <w:rFonts w:eastAsiaTheme="minorHAnsi"/>
          <w:b w:val="0"/>
          <w:bCs w:val="0"/>
          <w:color w:val="EE0000"/>
          <w:kern w:val="2"/>
          <w:lang w:val="en-GB"/>
          <w14:ligatures w14:val="standardContextual"/>
        </w:rPr>
        <w:t>ee “</w:t>
      </w:r>
      <w:r w:rsidR="00CA1446" w:rsidRPr="00CA1446">
        <w:rPr>
          <w:rFonts w:eastAsiaTheme="minorHAnsi"/>
          <w:b w:val="0"/>
          <w:bCs w:val="0"/>
          <w:color w:val="EE0000"/>
          <w:kern w:val="2"/>
          <w:lang w:val="en-GB"/>
          <w14:ligatures w14:val="standardContextual"/>
        </w:rPr>
        <w:t>GOBAI-O</w:t>
      </w:r>
      <w:r w:rsidR="00CA1446" w:rsidRPr="00CA1446">
        <w:rPr>
          <w:rFonts w:eastAsiaTheme="minorHAnsi"/>
          <w:b w:val="0"/>
          <w:bCs w:val="0"/>
          <w:color w:val="EE0000"/>
          <w:kern w:val="2"/>
          <w:vertAlign w:val="subscript"/>
          <w:lang w:val="en-GB"/>
          <w14:ligatures w14:val="standardContextual"/>
        </w:rPr>
        <w:t>2</w:t>
      </w:r>
      <w:r w:rsidR="00CA1446" w:rsidRPr="00CA1446">
        <w:rPr>
          <w:rFonts w:eastAsiaTheme="minorHAnsi"/>
          <w:b w:val="0"/>
          <w:bCs w:val="0"/>
          <w:color w:val="EE0000"/>
          <w:kern w:val="2"/>
          <w:lang w:val="en-GB"/>
          <w14:ligatures w14:val="standardContextual"/>
        </w:rPr>
        <w:t xml:space="preserve"> v2.3 database</w:t>
      </w:r>
      <w:r w:rsidR="00CA1446">
        <w:rPr>
          <w:rFonts w:eastAsiaTheme="minorHAnsi"/>
          <w:b w:val="0"/>
          <w:bCs w:val="0"/>
          <w:color w:val="EE0000"/>
          <w:kern w:val="2"/>
          <w:lang w:val="en-GB"/>
          <w14:ligatures w14:val="standardContextual"/>
        </w:rPr>
        <w:t>” section in the Methods)</w:t>
      </w:r>
      <w:r w:rsidRPr="00CA1446">
        <w:rPr>
          <w:rFonts w:eastAsiaTheme="minorHAnsi"/>
          <w:b w:val="0"/>
          <w:bCs w:val="0"/>
          <w:color w:val="EE0000"/>
          <w:kern w:val="2"/>
          <w:lang w:val="en-GB"/>
          <w14:ligatures w14:val="standardContextual"/>
        </w:rPr>
        <w:t>.</w:t>
      </w:r>
    </w:p>
    <w:p w14:paraId="6B1990F7" w14:textId="6DB26EF9" w:rsidR="005014F3" w:rsidRDefault="005839C1" w:rsidP="004E1CA4">
      <w:pPr>
        <w:rPr>
          <w:rFonts w:ascii="Times New Roman" w:hAnsi="Times New Roman" w:cs="Times New Roman"/>
          <w:sz w:val="24"/>
          <w:szCs w:val="24"/>
          <w:lang w:val="en-GB"/>
        </w:rPr>
      </w:pPr>
      <w:r w:rsidRPr="00611AB3">
        <w:rPr>
          <w:rFonts w:ascii="Times New Roman" w:hAnsi="Times New Roman" w:cs="Times New Roman"/>
          <w:sz w:val="24"/>
          <w:szCs w:val="24"/>
          <w:lang w:val="en-GB"/>
        </w:rPr>
        <w:t>The analysis on the change in the vertical structure is unclear. Lines 639 and 640 explain that the change is computed as the difference between the profiles of "the mean year of maximum" and "the mean year of minimum". It is unclear what these mean year of maximum/minimum are and thus what changes we are looking at. Maybe it is a change between to consecutive years, how can we be sure that it is a trend?</w:t>
      </w:r>
    </w:p>
    <w:p w14:paraId="68E2E756" w14:textId="7B01E062" w:rsidR="00531F5A" w:rsidRPr="00531F5A" w:rsidRDefault="00531F5A" w:rsidP="00531F5A">
      <w:pPr>
        <w:rPr>
          <w:rFonts w:ascii="Times New Roman" w:hAnsi="Times New Roman" w:cs="Times New Roman"/>
          <w:color w:val="EE0000"/>
          <w:sz w:val="24"/>
          <w:szCs w:val="24"/>
          <w:lang w:val="en-GB"/>
        </w:rPr>
      </w:pPr>
      <w:r w:rsidRPr="00531F5A">
        <w:rPr>
          <w:rFonts w:ascii="Times New Roman" w:hAnsi="Times New Roman" w:cs="Times New Roman"/>
          <w:color w:val="EE0000"/>
          <w:sz w:val="24"/>
          <w:szCs w:val="24"/>
          <w:lang w:val="en-GB"/>
        </w:rPr>
        <w:t>In the revised manuscript, vertical structure is now quantified from OLS trend profiles of DIC</w:t>
      </w:r>
      <w:r w:rsidRPr="00DA5E12">
        <w:rPr>
          <w:rFonts w:ascii="Times New Roman" w:hAnsi="Times New Roman" w:cs="Times New Roman"/>
          <w:color w:val="EE0000"/>
          <w:sz w:val="24"/>
          <w:szCs w:val="24"/>
          <w:vertAlign w:val="subscript"/>
          <w:lang w:val="en-GB"/>
        </w:rPr>
        <w:t>soft</w:t>
      </w:r>
      <w:r w:rsidRPr="00531F5A">
        <w:rPr>
          <w:rFonts w:ascii="Times New Roman" w:hAnsi="Times New Roman" w:cs="Times New Roman"/>
          <w:color w:val="EE0000"/>
          <w:sz w:val="24"/>
          <w:szCs w:val="24"/>
          <w:lang w:val="en-GB"/>
        </w:rPr>
        <w:t xml:space="preserve"> (μmol kg</w:t>
      </w:r>
      <w:r w:rsidR="00DA5E12" w:rsidRPr="00DA5E12">
        <w:rPr>
          <w:rFonts w:ascii="Times New Roman" w:hAnsi="Times New Roman" w:cs="Times New Roman"/>
          <w:color w:val="EE0000"/>
          <w:sz w:val="24"/>
          <w:szCs w:val="24"/>
          <w:vertAlign w:val="superscript"/>
          <w:lang w:val="en-GB"/>
        </w:rPr>
        <w:t>-1</w:t>
      </w:r>
      <w:r w:rsidRPr="00531F5A">
        <w:rPr>
          <w:rFonts w:ascii="Times New Roman" w:hAnsi="Times New Roman" w:cs="Times New Roman"/>
          <w:color w:val="EE0000"/>
          <w:sz w:val="24"/>
          <w:szCs w:val="24"/>
          <w:lang w:val="en-GB"/>
        </w:rPr>
        <w:t xml:space="preserve"> yr</w:t>
      </w:r>
      <w:r w:rsidR="00DA5E12" w:rsidRPr="00DA5E12">
        <w:rPr>
          <w:rFonts w:ascii="Times New Roman" w:hAnsi="Times New Roman" w:cs="Times New Roman"/>
          <w:color w:val="EE0000"/>
          <w:sz w:val="24"/>
          <w:szCs w:val="24"/>
          <w:vertAlign w:val="superscript"/>
          <w:lang w:val="en-GB"/>
        </w:rPr>
        <w:t>-1</w:t>
      </w:r>
      <w:r w:rsidRPr="00531F5A">
        <w:rPr>
          <w:rFonts w:ascii="Times New Roman" w:hAnsi="Times New Roman" w:cs="Times New Roman"/>
          <w:color w:val="EE0000"/>
          <w:sz w:val="24"/>
          <w:szCs w:val="24"/>
          <w:lang w:val="en-GB"/>
        </w:rPr>
        <w:t xml:space="preserve">) computed over the full 2004–2024 record at each depth level. We then subtract the global area-weighted mean trend profile to obtain a local anomaly profile, which isolates how the vertical redistribution at a given grid cell departs from the global-mean vertical signal. In addition, we retain anomaly profiles only where the depth-integrated </w:t>
      </w:r>
      <w:r w:rsidR="00DA5E12" w:rsidRPr="00531F5A">
        <w:rPr>
          <w:rFonts w:ascii="Times New Roman" w:hAnsi="Times New Roman" w:cs="Times New Roman"/>
          <w:color w:val="EE0000"/>
          <w:sz w:val="24"/>
          <w:szCs w:val="24"/>
          <w:lang w:val="en-GB"/>
        </w:rPr>
        <w:t>DIC</w:t>
      </w:r>
      <w:r w:rsidR="00DA5E12" w:rsidRPr="00DA5E12">
        <w:rPr>
          <w:rFonts w:ascii="Times New Roman" w:hAnsi="Times New Roman" w:cs="Times New Roman"/>
          <w:color w:val="EE0000"/>
          <w:sz w:val="24"/>
          <w:szCs w:val="24"/>
          <w:vertAlign w:val="subscript"/>
          <w:lang w:val="en-GB"/>
        </w:rPr>
        <w:t>soft</w:t>
      </w:r>
      <w:r w:rsidR="00DA5E12" w:rsidRPr="00531F5A">
        <w:rPr>
          <w:rFonts w:ascii="Times New Roman" w:hAnsi="Times New Roman" w:cs="Times New Roman"/>
          <w:color w:val="EE0000"/>
          <w:sz w:val="24"/>
          <w:szCs w:val="24"/>
          <w:lang w:val="en-GB"/>
        </w:rPr>
        <w:t xml:space="preserve"> </w:t>
      </w:r>
      <w:r w:rsidRPr="00531F5A">
        <w:rPr>
          <w:rFonts w:ascii="Times New Roman" w:hAnsi="Times New Roman" w:cs="Times New Roman"/>
          <w:color w:val="EE0000"/>
          <w:sz w:val="24"/>
          <w:szCs w:val="24"/>
          <w:lang w:val="en-GB"/>
        </w:rPr>
        <w:t>trend is statistically distinguishable from zero, so the analysis is restricted to locations with a robust signal rather than short-term variability between individual years.</w:t>
      </w:r>
    </w:p>
    <w:p w14:paraId="63D1AB14" w14:textId="77777777" w:rsidR="00531F5A" w:rsidRPr="00531F5A" w:rsidRDefault="00531F5A" w:rsidP="00531F5A">
      <w:pPr>
        <w:rPr>
          <w:rFonts w:ascii="Times New Roman" w:hAnsi="Times New Roman" w:cs="Times New Roman"/>
          <w:color w:val="EE0000"/>
          <w:sz w:val="24"/>
          <w:szCs w:val="24"/>
          <w:lang w:val="en-GB"/>
        </w:rPr>
      </w:pPr>
      <w:r w:rsidRPr="00531F5A">
        <w:rPr>
          <w:rFonts w:ascii="Times New Roman" w:hAnsi="Times New Roman" w:cs="Times New Roman"/>
          <w:color w:val="EE0000"/>
          <w:sz w:val="24"/>
          <w:szCs w:val="24"/>
          <w:lang w:val="en-GB"/>
        </w:rPr>
        <w:t>We have revised the Methods accordingly. The text now reads:</w:t>
      </w:r>
    </w:p>
    <w:p w14:paraId="754BE696" w14:textId="0616EB1A" w:rsidR="00531F5A" w:rsidRDefault="00531F5A" w:rsidP="00531F5A">
      <w:pPr>
        <w:rPr>
          <w:rFonts w:ascii="Times New Roman" w:hAnsi="Times New Roman" w:cs="Times New Roman"/>
          <w:color w:val="EE0000"/>
          <w:sz w:val="24"/>
          <w:szCs w:val="24"/>
          <w:lang w:val="en-GB"/>
        </w:rPr>
      </w:pPr>
      <w:r w:rsidRPr="00531F5A">
        <w:rPr>
          <w:rFonts w:ascii="Times New Roman" w:hAnsi="Times New Roman" w:cs="Times New Roman"/>
          <w:color w:val="EE0000"/>
          <w:sz w:val="24"/>
          <w:szCs w:val="24"/>
          <w:lang w:val="en-GB"/>
        </w:rPr>
        <w:t xml:space="preserve">“To characterize the vertical structure of </w:t>
      </w:r>
      <w:r w:rsidR="00DA5E12" w:rsidRPr="00531F5A">
        <w:rPr>
          <w:rFonts w:ascii="Times New Roman" w:hAnsi="Times New Roman" w:cs="Times New Roman"/>
          <w:color w:val="EE0000"/>
          <w:sz w:val="24"/>
          <w:szCs w:val="24"/>
          <w:lang w:val="en-GB"/>
        </w:rPr>
        <w:t>DIC</w:t>
      </w:r>
      <w:r w:rsidR="00DA5E12" w:rsidRPr="00DA5E12">
        <w:rPr>
          <w:rFonts w:ascii="Times New Roman" w:hAnsi="Times New Roman" w:cs="Times New Roman"/>
          <w:color w:val="EE0000"/>
          <w:sz w:val="24"/>
          <w:szCs w:val="24"/>
          <w:vertAlign w:val="subscript"/>
          <w:lang w:val="en-GB"/>
        </w:rPr>
        <w:t>soft</w:t>
      </w:r>
      <w:r w:rsidR="00DA5E12" w:rsidRPr="00531F5A">
        <w:rPr>
          <w:rFonts w:ascii="Times New Roman" w:hAnsi="Times New Roman" w:cs="Times New Roman"/>
          <w:color w:val="EE0000"/>
          <w:sz w:val="24"/>
          <w:szCs w:val="24"/>
          <w:lang w:val="en-GB"/>
        </w:rPr>
        <w:t xml:space="preserve"> </w:t>
      </w:r>
      <w:r w:rsidRPr="00531F5A">
        <w:rPr>
          <w:rFonts w:ascii="Times New Roman" w:hAnsi="Times New Roman" w:cs="Times New Roman"/>
          <w:color w:val="EE0000"/>
          <w:sz w:val="24"/>
          <w:szCs w:val="24"/>
          <w:lang w:val="en-GB"/>
        </w:rPr>
        <w:t>change within each scenario, we computed OLS trend profiles (μmol kg</w:t>
      </w:r>
      <w:r w:rsidR="0012043F" w:rsidRPr="0012043F">
        <w:rPr>
          <w:rFonts w:ascii="Times New Roman" w:hAnsi="Times New Roman" w:cs="Times New Roman"/>
          <w:color w:val="EE0000"/>
          <w:sz w:val="24"/>
          <w:szCs w:val="24"/>
          <w:vertAlign w:val="superscript"/>
          <w:lang w:val="en-GB"/>
        </w:rPr>
        <w:t>-1</w:t>
      </w:r>
      <w:r w:rsidRPr="00531F5A">
        <w:rPr>
          <w:rFonts w:ascii="Times New Roman" w:hAnsi="Times New Roman" w:cs="Times New Roman"/>
          <w:color w:val="EE0000"/>
          <w:sz w:val="24"/>
          <w:szCs w:val="24"/>
          <w:lang w:val="en-GB"/>
        </w:rPr>
        <w:t xml:space="preserve"> yr</w:t>
      </w:r>
      <w:r w:rsidR="0012043F" w:rsidRPr="0012043F">
        <w:rPr>
          <w:rFonts w:ascii="Times New Roman" w:hAnsi="Times New Roman" w:cs="Times New Roman"/>
          <w:color w:val="EE0000"/>
          <w:sz w:val="24"/>
          <w:szCs w:val="24"/>
          <w:vertAlign w:val="superscript"/>
          <w:lang w:val="en-GB"/>
        </w:rPr>
        <w:t>-1</w:t>
      </w:r>
      <w:r w:rsidRPr="00531F5A">
        <w:rPr>
          <w:rFonts w:ascii="Times New Roman" w:hAnsi="Times New Roman" w:cs="Times New Roman"/>
          <w:color w:val="EE0000"/>
          <w:sz w:val="24"/>
          <w:szCs w:val="24"/>
          <w:lang w:val="en-GB"/>
        </w:rPr>
        <w:t xml:space="preserve">) at each grid cell and pressure level using the full 2004–2024 time series. Anomaly profiles were then obtained by subtracting the global area-weighted mean trend profile, isolating the deviation of each grid cell from the global-mean vertical signal. For each scenario, anomaly profiles were retained only at grid cells where the depth-integrated </w:t>
      </w:r>
      <w:r w:rsidR="00DA5E12" w:rsidRPr="00531F5A">
        <w:rPr>
          <w:rFonts w:ascii="Times New Roman" w:hAnsi="Times New Roman" w:cs="Times New Roman"/>
          <w:color w:val="EE0000"/>
          <w:sz w:val="24"/>
          <w:szCs w:val="24"/>
          <w:lang w:val="en-GB"/>
        </w:rPr>
        <w:t>DIC</w:t>
      </w:r>
      <w:r w:rsidR="00DA5E12" w:rsidRPr="00DA5E12">
        <w:rPr>
          <w:rFonts w:ascii="Times New Roman" w:hAnsi="Times New Roman" w:cs="Times New Roman"/>
          <w:color w:val="EE0000"/>
          <w:sz w:val="24"/>
          <w:szCs w:val="24"/>
          <w:vertAlign w:val="subscript"/>
          <w:lang w:val="en-GB"/>
        </w:rPr>
        <w:t>soft</w:t>
      </w:r>
      <w:r w:rsidR="00DA5E12" w:rsidRPr="00531F5A">
        <w:rPr>
          <w:rFonts w:ascii="Times New Roman" w:hAnsi="Times New Roman" w:cs="Times New Roman"/>
          <w:color w:val="EE0000"/>
          <w:sz w:val="24"/>
          <w:szCs w:val="24"/>
          <w:lang w:val="en-GB"/>
        </w:rPr>
        <w:t xml:space="preserve"> </w:t>
      </w:r>
      <w:r w:rsidRPr="00531F5A">
        <w:rPr>
          <w:rFonts w:ascii="Times New Roman" w:hAnsi="Times New Roman" w:cs="Times New Roman"/>
          <w:color w:val="EE0000"/>
          <w:sz w:val="24"/>
          <w:szCs w:val="24"/>
          <w:lang w:val="en-GB"/>
        </w:rPr>
        <w:t>trend was statistically distinguishable from zero.”</w:t>
      </w:r>
      <w:r w:rsidR="0012043F">
        <w:rPr>
          <w:rFonts w:ascii="Times New Roman" w:hAnsi="Times New Roman" w:cs="Times New Roman"/>
          <w:color w:val="EE0000"/>
          <w:sz w:val="24"/>
          <w:szCs w:val="24"/>
          <w:lang w:val="en-GB"/>
        </w:rPr>
        <w:t xml:space="preserve"> (line numbers 697-713).</w:t>
      </w:r>
    </w:p>
    <w:p w14:paraId="04CFBC73" w14:textId="0CF02F1B" w:rsidR="005839C1" w:rsidRPr="00611AB3" w:rsidRDefault="005839C1" w:rsidP="00531F5A">
      <w:pPr>
        <w:rPr>
          <w:rFonts w:ascii="Times New Roman" w:hAnsi="Times New Roman" w:cs="Times New Roman"/>
          <w:sz w:val="24"/>
          <w:szCs w:val="24"/>
          <w:lang w:val="en-GB"/>
        </w:rPr>
      </w:pPr>
      <w:r w:rsidRPr="00611AB3">
        <w:rPr>
          <w:rFonts w:ascii="Times New Roman" w:hAnsi="Times New Roman" w:cs="Times New Roman"/>
          <w:sz w:val="24"/>
          <w:szCs w:val="24"/>
          <w:lang w:val="en-GB"/>
        </w:rPr>
        <w:t xml:space="preserve">In general, the readability and robustness of the manuscript would benefit from an improvement in precision. For example, DICsoft is often used in a loosely sense, remineralised DIC is more appropriate than "soft tissue pump’s return flux", which can also mean upwelling </w:t>
      </w:r>
      <w:r w:rsidRPr="00611AB3">
        <w:rPr>
          <w:rFonts w:ascii="Times New Roman" w:hAnsi="Times New Roman" w:cs="Times New Roman"/>
          <w:sz w:val="24"/>
          <w:szCs w:val="24"/>
          <w:lang w:val="en-GB"/>
        </w:rPr>
        <w:lastRenderedPageBreak/>
        <w:t>of remineralized DIC to the surface ocean. Figures in the supplementary are not always clear, captions are often too long and could be shortened, some figure seems to contains mistakes, figure layouts should be homogenized. The minor and specific comments hereafter should help to improve the precision.</w:t>
      </w:r>
    </w:p>
    <w:p w14:paraId="6E68BC67" w14:textId="5A1AF154" w:rsidR="00792F97" w:rsidRPr="00792F97" w:rsidRDefault="00792F97" w:rsidP="00792F97">
      <w:pPr>
        <w:rPr>
          <w:rFonts w:ascii="Times New Roman" w:hAnsi="Times New Roman" w:cs="Times New Roman"/>
          <w:color w:val="EE0000"/>
          <w:sz w:val="24"/>
          <w:szCs w:val="24"/>
          <w:lang w:val="en-GB"/>
        </w:rPr>
      </w:pPr>
      <w:r w:rsidRPr="00792F97">
        <w:rPr>
          <w:rFonts w:ascii="Times New Roman" w:hAnsi="Times New Roman" w:cs="Times New Roman"/>
          <w:color w:val="EE0000"/>
          <w:sz w:val="24"/>
          <w:szCs w:val="24"/>
          <w:lang w:val="en-GB"/>
        </w:rPr>
        <w:t xml:space="preserve">We have standardized the terminology, now referring consistently to biologically respired (remineralized) DIC when describing </w:t>
      </w:r>
      <w:r w:rsidRPr="00531F5A">
        <w:rPr>
          <w:rFonts w:ascii="Times New Roman" w:hAnsi="Times New Roman" w:cs="Times New Roman"/>
          <w:color w:val="EE0000"/>
          <w:sz w:val="24"/>
          <w:szCs w:val="24"/>
          <w:lang w:val="en-GB"/>
        </w:rPr>
        <w:t>DIC</w:t>
      </w:r>
      <w:r w:rsidRPr="00DA5E12">
        <w:rPr>
          <w:rFonts w:ascii="Times New Roman" w:hAnsi="Times New Roman" w:cs="Times New Roman"/>
          <w:color w:val="EE0000"/>
          <w:sz w:val="24"/>
          <w:szCs w:val="24"/>
          <w:vertAlign w:val="subscript"/>
          <w:lang w:val="en-GB"/>
        </w:rPr>
        <w:t>soft</w:t>
      </w:r>
      <w:r w:rsidRPr="00792F97">
        <w:rPr>
          <w:rFonts w:ascii="Times New Roman" w:hAnsi="Times New Roman" w:cs="Times New Roman"/>
          <w:color w:val="EE0000"/>
          <w:sz w:val="24"/>
          <w:szCs w:val="24"/>
          <w:lang w:val="en-GB"/>
        </w:rPr>
        <w:t>, and removing potentially ambiguous expressions such as “soft tissue pump’s return flux.” This makes clear that we distinguish remineralized carbon storage from its physical redistribution.</w:t>
      </w:r>
    </w:p>
    <w:p w14:paraId="43109B1A" w14:textId="77777777" w:rsidR="00792F97" w:rsidRPr="00792F97" w:rsidRDefault="00792F97" w:rsidP="00792F97">
      <w:pPr>
        <w:rPr>
          <w:rFonts w:ascii="Times New Roman" w:hAnsi="Times New Roman" w:cs="Times New Roman"/>
          <w:color w:val="EE0000"/>
          <w:sz w:val="24"/>
          <w:szCs w:val="24"/>
          <w:lang w:val="en-GB"/>
        </w:rPr>
      </w:pPr>
      <w:r w:rsidRPr="00792F97">
        <w:rPr>
          <w:rFonts w:ascii="Times New Roman" w:hAnsi="Times New Roman" w:cs="Times New Roman"/>
          <w:color w:val="EE0000"/>
          <w:sz w:val="24"/>
          <w:szCs w:val="24"/>
          <w:lang w:val="en-GB"/>
        </w:rPr>
        <w:t>We have also revised all main and supplementary figures. Captions were shortened, layouts homogenized, and graphical or typographical inconsistencies corrected. Several figures were reformatted to improve readability and consistency in labels, panel structure, and colour scales.</w:t>
      </w:r>
    </w:p>
    <w:p w14:paraId="77AA8A9A" w14:textId="77777777" w:rsidR="00792F97" w:rsidRDefault="00792F97" w:rsidP="00792F97">
      <w:pPr>
        <w:rPr>
          <w:rFonts w:ascii="Times New Roman" w:hAnsi="Times New Roman" w:cs="Times New Roman"/>
          <w:color w:val="EE0000"/>
          <w:sz w:val="24"/>
          <w:szCs w:val="24"/>
          <w:lang w:val="en-GB"/>
        </w:rPr>
      </w:pPr>
      <w:r w:rsidRPr="00792F97">
        <w:rPr>
          <w:rFonts w:ascii="Times New Roman" w:hAnsi="Times New Roman" w:cs="Times New Roman"/>
          <w:color w:val="EE0000"/>
          <w:sz w:val="24"/>
          <w:szCs w:val="24"/>
          <w:lang w:val="en-GB"/>
        </w:rPr>
        <w:t>In addition, we thoroughly edited the text to improve precision and reduce ambiguity throughout. These revisions have substantially strengthened the readability and overall robustness of the manuscript.</w:t>
      </w:r>
    </w:p>
    <w:p w14:paraId="50E68C4F" w14:textId="33D46EC7" w:rsidR="005839C1" w:rsidRPr="00611AB3" w:rsidRDefault="005839C1" w:rsidP="00792F97">
      <w:pPr>
        <w:rPr>
          <w:rFonts w:ascii="Times New Roman" w:eastAsiaTheme="majorEastAsia" w:hAnsi="Times New Roman" w:cs="Times New Roman"/>
          <w:b/>
          <w:bCs/>
          <w:color w:val="000000" w:themeColor="text1"/>
          <w:sz w:val="24"/>
          <w:szCs w:val="24"/>
          <w:lang w:val="en-GB"/>
        </w:rPr>
      </w:pPr>
      <w:r w:rsidRPr="00611AB3">
        <w:rPr>
          <w:rFonts w:ascii="Times New Roman" w:eastAsiaTheme="majorEastAsia" w:hAnsi="Times New Roman" w:cs="Times New Roman"/>
          <w:b/>
          <w:bCs/>
          <w:color w:val="000000" w:themeColor="text1"/>
          <w:sz w:val="24"/>
          <w:szCs w:val="24"/>
          <w:lang w:val="en-GB"/>
        </w:rPr>
        <w:t>Minor and specific comments</w:t>
      </w:r>
    </w:p>
    <w:p w14:paraId="4BECB80E" w14:textId="056FB832" w:rsidR="005839C1" w:rsidRPr="00611AB3" w:rsidRDefault="005839C1" w:rsidP="004E1CA4">
      <w:pPr>
        <w:rPr>
          <w:rFonts w:ascii="Times New Roman" w:hAnsi="Times New Roman" w:cs="Times New Roman"/>
          <w:sz w:val="24"/>
          <w:szCs w:val="24"/>
          <w:lang w:val="en-GB"/>
        </w:rPr>
      </w:pPr>
      <w:r w:rsidRPr="00611AB3">
        <w:rPr>
          <w:rFonts w:ascii="Times New Roman" w:hAnsi="Times New Roman" w:cs="Times New Roman"/>
          <w:sz w:val="24"/>
          <w:szCs w:val="24"/>
          <w:lang w:val="en-GB"/>
        </w:rPr>
        <w:t>Perhaps add ’changes’ to the end of the title</w:t>
      </w:r>
    </w:p>
    <w:p w14:paraId="535DC60E" w14:textId="77777777" w:rsidR="005839C1" w:rsidRPr="00611AB3" w:rsidRDefault="005839C1" w:rsidP="004E1CA4">
      <w:pPr>
        <w:rPr>
          <w:rFonts w:ascii="Times New Roman" w:hAnsi="Times New Roman" w:cs="Times New Roman"/>
          <w:b/>
          <w:bCs/>
          <w:sz w:val="24"/>
          <w:szCs w:val="24"/>
          <w:lang w:val="en-GB"/>
        </w:rPr>
      </w:pPr>
      <w:r w:rsidRPr="00611AB3">
        <w:rPr>
          <w:rFonts w:ascii="Times New Roman" w:hAnsi="Times New Roman" w:cs="Times New Roman"/>
          <w:b/>
          <w:bCs/>
          <w:sz w:val="24"/>
          <w:szCs w:val="24"/>
          <w:lang w:val="en-GB"/>
        </w:rPr>
        <w:t>Abstract</w:t>
      </w:r>
    </w:p>
    <w:p w14:paraId="113BF711" w14:textId="51D7546E" w:rsidR="005839C1" w:rsidRDefault="005839C1" w:rsidP="004E1CA4">
      <w:pPr>
        <w:rPr>
          <w:rFonts w:ascii="Times New Roman" w:hAnsi="Times New Roman" w:cs="Times New Roman"/>
          <w:sz w:val="24"/>
          <w:szCs w:val="24"/>
          <w:lang w:val="en-GB"/>
        </w:rPr>
      </w:pPr>
      <w:r w:rsidRPr="00611AB3">
        <w:rPr>
          <w:rFonts w:ascii="Times New Roman" w:hAnsi="Times New Roman" w:cs="Times New Roman"/>
          <w:sz w:val="24"/>
          <w:szCs w:val="24"/>
          <w:lang w:val="en-GB"/>
        </w:rPr>
        <w:t>(1)</w:t>
      </w:r>
      <w:r w:rsidRPr="00611AB3">
        <w:rPr>
          <w:rFonts w:ascii="Times New Roman" w:hAnsi="Times New Roman" w:cs="Times New Roman"/>
          <w:sz w:val="24"/>
          <w:szCs w:val="24"/>
          <w:lang w:val="en-GB"/>
        </w:rPr>
        <w:tab/>
        <w:t>l. 18-19: DICtotal has been introduced just before. It should be adjusted for consistency.</w:t>
      </w:r>
    </w:p>
    <w:p w14:paraId="46766B9A" w14:textId="75B45C83" w:rsidR="00F16359" w:rsidRPr="00F16359" w:rsidRDefault="00F16359" w:rsidP="004E1CA4">
      <w:pPr>
        <w:rPr>
          <w:rFonts w:ascii="Times New Roman" w:hAnsi="Times New Roman" w:cs="Times New Roman"/>
          <w:color w:val="EE0000"/>
          <w:sz w:val="24"/>
          <w:szCs w:val="24"/>
          <w:lang w:val="en-GB"/>
        </w:rPr>
      </w:pPr>
      <w:r w:rsidRPr="00F16359">
        <w:rPr>
          <w:rFonts w:ascii="Times New Roman" w:hAnsi="Times New Roman" w:cs="Times New Roman"/>
          <w:color w:val="EE0000"/>
          <w:sz w:val="24"/>
          <w:szCs w:val="24"/>
          <w:lang w:val="en-GB"/>
        </w:rPr>
        <w:t>The text has been revised</w:t>
      </w:r>
      <w:r w:rsidR="00B21B67">
        <w:rPr>
          <w:rFonts w:ascii="Times New Roman" w:hAnsi="Times New Roman" w:cs="Times New Roman"/>
          <w:color w:val="EE0000"/>
          <w:sz w:val="24"/>
          <w:szCs w:val="24"/>
          <w:lang w:val="en-GB"/>
        </w:rPr>
        <w:t>.</w:t>
      </w:r>
    </w:p>
    <w:p w14:paraId="49D5A633" w14:textId="5A1603C4" w:rsidR="005839C1" w:rsidRDefault="005839C1" w:rsidP="004E1CA4">
      <w:pPr>
        <w:rPr>
          <w:rFonts w:ascii="Times New Roman" w:hAnsi="Times New Roman" w:cs="Times New Roman"/>
          <w:sz w:val="24"/>
          <w:szCs w:val="24"/>
          <w:lang w:val="en-GB"/>
        </w:rPr>
      </w:pPr>
      <w:r w:rsidRPr="00611AB3">
        <w:rPr>
          <w:rFonts w:ascii="Times New Roman" w:hAnsi="Times New Roman" w:cs="Times New Roman"/>
          <w:sz w:val="24"/>
          <w:szCs w:val="24"/>
          <w:lang w:val="en-GB"/>
        </w:rPr>
        <w:t>(2)</w:t>
      </w:r>
      <w:r w:rsidRPr="00611AB3">
        <w:rPr>
          <w:rFonts w:ascii="Times New Roman" w:hAnsi="Times New Roman" w:cs="Times New Roman"/>
          <w:sz w:val="24"/>
          <w:szCs w:val="24"/>
          <w:lang w:val="en-GB"/>
        </w:rPr>
        <w:tab/>
        <w:t>l. 20-23: specify that this was done only for surface down to 2km.</w:t>
      </w:r>
    </w:p>
    <w:p w14:paraId="4C4513C8" w14:textId="40E0BADD" w:rsidR="00B21B67" w:rsidRPr="00B21B67" w:rsidRDefault="00B21B67" w:rsidP="004E1CA4">
      <w:pPr>
        <w:rPr>
          <w:rFonts w:ascii="Times New Roman" w:hAnsi="Times New Roman" w:cs="Times New Roman"/>
          <w:color w:val="EE0000"/>
          <w:sz w:val="24"/>
          <w:szCs w:val="24"/>
          <w:lang w:val="en-GB"/>
        </w:rPr>
      </w:pPr>
      <w:r w:rsidRPr="00F16359">
        <w:rPr>
          <w:rFonts w:ascii="Times New Roman" w:hAnsi="Times New Roman" w:cs="Times New Roman"/>
          <w:color w:val="EE0000"/>
          <w:sz w:val="24"/>
          <w:szCs w:val="24"/>
          <w:lang w:val="en-GB"/>
        </w:rPr>
        <w:t>The text has been revised</w:t>
      </w:r>
      <w:r w:rsidR="00292030">
        <w:rPr>
          <w:rFonts w:ascii="Times New Roman" w:hAnsi="Times New Roman" w:cs="Times New Roman"/>
          <w:color w:val="EE0000"/>
          <w:sz w:val="24"/>
          <w:szCs w:val="24"/>
          <w:lang w:val="en-GB"/>
        </w:rPr>
        <w:t xml:space="preserve"> with the addition of “down to 2km”.</w:t>
      </w:r>
    </w:p>
    <w:p w14:paraId="0DB89F5B" w14:textId="48C2BB28" w:rsidR="005839C1" w:rsidRDefault="005839C1" w:rsidP="004E1CA4">
      <w:pPr>
        <w:rPr>
          <w:rFonts w:ascii="Times New Roman" w:hAnsi="Times New Roman" w:cs="Times New Roman"/>
          <w:sz w:val="24"/>
          <w:szCs w:val="24"/>
          <w:lang w:val="en-GB"/>
        </w:rPr>
      </w:pPr>
      <w:r w:rsidRPr="00611AB3">
        <w:rPr>
          <w:rFonts w:ascii="Times New Roman" w:hAnsi="Times New Roman" w:cs="Times New Roman"/>
          <w:sz w:val="24"/>
          <w:szCs w:val="24"/>
          <w:lang w:val="en-GB"/>
        </w:rPr>
        <w:t>(3)</w:t>
      </w:r>
      <w:r w:rsidRPr="00611AB3">
        <w:rPr>
          <w:rFonts w:ascii="Times New Roman" w:hAnsi="Times New Roman" w:cs="Times New Roman"/>
          <w:sz w:val="24"/>
          <w:szCs w:val="24"/>
          <w:lang w:val="en-GB"/>
        </w:rPr>
        <w:tab/>
        <w:t>l. 26: The term trends suggest it is driven by global warming while it could be shorter timescale variability.</w:t>
      </w:r>
    </w:p>
    <w:p w14:paraId="52DC5495" w14:textId="725914A0" w:rsidR="00CF5056" w:rsidRPr="00CF5056" w:rsidRDefault="00783284" w:rsidP="004E1CA4">
      <w:pPr>
        <w:rPr>
          <w:rFonts w:ascii="Times New Roman" w:hAnsi="Times New Roman" w:cs="Times New Roman"/>
          <w:color w:val="EE0000"/>
          <w:sz w:val="24"/>
          <w:szCs w:val="24"/>
          <w:lang w:val="en-GB"/>
        </w:rPr>
      </w:pPr>
      <w:r>
        <w:rPr>
          <w:rFonts w:ascii="Times New Roman" w:hAnsi="Times New Roman" w:cs="Times New Roman"/>
          <w:color w:val="EE0000"/>
          <w:sz w:val="24"/>
          <w:szCs w:val="24"/>
          <w:lang w:val="en-GB"/>
        </w:rPr>
        <w:t xml:space="preserve">The abstract has been revised and the term </w:t>
      </w:r>
      <w:r w:rsidR="00CF5056" w:rsidRPr="00CF5056">
        <w:rPr>
          <w:rFonts w:ascii="Times New Roman" w:hAnsi="Times New Roman" w:cs="Times New Roman"/>
          <w:color w:val="EE0000"/>
          <w:sz w:val="24"/>
          <w:szCs w:val="24"/>
          <w:lang w:val="en-GB"/>
        </w:rPr>
        <w:t>“</w:t>
      </w:r>
      <w:r>
        <w:rPr>
          <w:rFonts w:ascii="Times New Roman" w:hAnsi="Times New Roman" w:cs="Times New Roman"/>
          <w:color w:val="EE0000"/>
          <w:sz w:val="24"/>
          <w:szCs w:val="24"/>
          <w:lang w:val="en-GB"/>
        </w:rPr>
        <w:t>t</w:t>
      </w:r>
      <w:r w:rsidR="00CF5056" w:rsidRPr="00CF5056">
        <w:rPr>
          <w:rFonts w:ascii="Times New Roman" w:hAnsi="Times New Roman" w:cs="Times New Roman"/>
          <w:color w:val="EE0000"/>
          <w:sz w:val="24"/>
          <w:szCs w:val="24"/>
          <w:lang w:val="en-GB"/>
        </w:rPr>
        <w:t>rend</w:t>
      </w:r>
      <w:r w:rsidR="00BC3F75">
        <w:rPr>
          <w:rFonts w:ascii="Times New Roman" w:hAnsi="Times New Roman" w:cs="Times New Roman"/>
          <w:color w:val="EE0000"/>
          <w:sz w:val="24"/>
          <w:szCs w:val="24"/>
          <w:lang w:val="en-GB"/>
        </w:rPr>
        <w:t>s</w:t>
      </w:r>
      <w:r w:rsidR="00CF5056" w:rsidRPr="00CF5056">
        <w:rPr>
          <w:rFonts w:ascii="Times New Roman" w:hAnsi="Times New Roman" w:cs="Times New Roman"/>
          <w:color w:val="EE0000"/>
          <w:sz w:val="24"/>
          <w:szCs w:val="24"/>
          <w:lang w:val="en-GB"/>
        </w:rPr>
        <w:t>”</w:t>
      </w:r>
      <w:r>
        <w:rPr>
          <w:rFonts w:ascii="Times New Roman" w:hAnsi="Times New Roman" w:cs="Times New Roman"/>
          <w:color w:val="EE0000"/>
          <w:sz w:val="24"/>
          <w:szCs w:val="24"/>
          <w:lang w:val="en-GB"/>
        </w:rPr>
        <w:t xml:space="preserve"> is now removed.</w:t>
      </w:r>
    </w:p>
    <w:p w14:paraId="7EC60DD8" w14:textId="77777777" w:rsidR="005839C1" w:rsidRDefault="005839C1" w:rsidP="004E1CA4">
      <w:pPr>
        <w:rPr>
          <w:rFonts w:ascii="Times New Roman" w:hAnsi="Times New Roman" w:cs="Times New Roman"/>
          <w:sz w:val="24"/>
          <w:szCs w:val="24"/>
          <w:lang w:val="en-GB"/>
        </w:rPr>
      </w:pPr>
      <w:r w:rsidRPr="00611AB3">
        <w:rPr>
          <w:rFonts w:ascii="Times New Roman" w:hAnsi="Times New Roman" w:cs="Times New Roman"/>
          <w:sz w:val="24"/>
          <w:szCs w:val="24"/>
          <w:lang w:val="en-GB"/>
        </w:rPr>
        <w:t>(4)</w:t>
      </w:r>
      <w:r w:rsidRPr="00611AB3">
        <w:rPr>
          <w:rFonts w:ascii="Times New Roman" w:hAnsi="Times New Roman" w:cs="Times New Roman"/>
          <w:sz w:val="24"/>
          <w:szCs w:val="24"/>
          <w:lang w:val="en-GB"/>
        </w:rPr>
        <w:tab/>
        <w:t>l.26-27: The sentence "Changes in circulation ... of DICsoft" is a strong claim not properly backed up in the main text. It lets the reader thinking that the study shows that when it doesn’t.</w:t>
      </w:r>
    </w:p>
    <w:p w14:paraId="175ADF27" w14:textId="77777777" w:rsidR="008F0A03" w:rsidRPr="008F0A03" w:rsidRDefault="008F0A03" w:rsidP="008F0A03">
      <w:pPr>
        <w:autoSpaceDE w:val="0"/>
        <w:autoSpaceDN w:val="0"/>
        <w:adjustRightInd w:val="0"/>
        <w:spacing w:after="0" w:line="240" w:lineRule="auto"/>
        <w:rPr>
          <w:rFonts w:ascii="Times New Roman" w:hAnsi="Times New Roman" w:cs="Times New Roman"/>
          <w:color w:val="EE0000"/>
          <w:sz w:val="24"/>
          <w:szCs w:val="24"/>
          <w:lang w:val="en-GB"/>
        </w:rPr>
      </w:pPr>
      <w:r w:rsidRPr="008F0A03">
        <w:rPr>
          <w:rFonts w:ascii="Times New Roman" w:hAnsi="Times New Roman" w:cs="Times New Roman"/>
          <w:color w:val="EE0000"/>
          <w:sz w:val="24"/>
          <w:szCs w:val="24"/>
          <w:lang w:val="en-GB"/>
        </w:rPr>
        <w:t>We agree that this statement overstated the level of mechanistic attribution supported by the original analysis. We have therefore removed the causal wording from the abstract.</w:t>
      </w:r>
    </w:p>
    <w:p w14:paraId="58961B90" w14:textId="1E71E3FC" w:rsidR="00AB6AD6" w:rsidRDefault="008F0A03" w:rsidP="008F0A03">
      <w:pPr>
        <w:autoSpaceDE w:val="0"/>
        <w:autoSpaceDN w:val="0"/>
        <w:adjustRightInd w:val="0"/>
        <w:spacing w:after="0" w:line="240" w:lineRule="auto"/>
        <w:rPr>
          <w:rFonts w:ascii="Times New Roman" w:hAnsi="Times New Roman" w:cs="Times New Roman"/>
          <w:color w:val="EE0000"/>
          <w:sz w:val="24"/>
          <w:szCs w:val="24"/>
          <w:lang w:val="en-GB"/>
        </w:rPr>
      </w:pPr>
      <w:r w:rsidRPr="008F0A03">
        <w:rPr>
          <w:rFonts w:ascii="Times New Roman" w:hAnsi="Times New Roman" w:cs="Times New Roman"/>
          <w:color w:val="EE0000"/>
          <w:sz w:val="24"/>
          <w:szCs w:val="24"/>
          <w:lang w:val="en-GB"/>
        </w:rPr>
        <w:t>In the revised manuscript, we no longer state that changes in circulation, particle flux, or remineralization caused the observed DICsoft redistribution. Instead, we describe the result diagnostically as a regional and vertical redistribution of biologically respired carbon. We also now support the interpretation with an explicit physical-context analysis showing co-variability with upper-ocean stratification and interior ventilation, without making unsupported causal claims.</w:t>
      </w:r>
      <w:r>
        <w:rPr>
          <w:rFonts w:ascii="Times New Roman" w:hAnsi="Times New Roman" w:cs="Times New Roman"/>
          <w:color w:val="EE0000"/>
          <w:sz w:val="24"/>
          <w:szCs w:val="24"/>
          <w:lang w:val="en-GB"/>
        </w:rPr>
        <w:t xml:space="preserve"> </w:t>
      </w:r>
      <w:r w:rsidRPr="008F0A03">
        <w:rPr>
          <w:rFonts w:ascii="Times New Roman" w:hAnsi="Times New Roman" w:cs="Times New Roman"/>
          <w:color w:val="EE0000"/>
          <w:sz w:val="24"/>
          <w:szCs w:val="24"/>
          <w:lang w:val="en-GB"/>
        </w:rPr>
        <w:t>The abstract has been revised accordingly.</w:t>
      </w:r>
    </w:p>
    <w:p w14:paraId="26737206" w14:textId="77777777" w:rsidR="008F0A03" w:rsidRPr="008F0A03" w:rsidRDefault="008F0A03" w:rsidP="008F0A03">
      <w:pPr>
        <w:autoSpaceDE w:val="0"/>
        <w:autoSpaceDN w:val="0"/>
        <w:adjustRightInd w:val="0"/>
        <w:spacing w:after="0" w:line="240" w:lineRule="auto"/>
        <w:rPr>
          <w:rFonts w:ascii="Times New Roman" w:hAnsi="Times New Roman" w:cs="Times New Roman"/>
          <w:color w:val="EE0000"/>
          <w:sz w:val="24"/>
          <w:szCs w:val="24"/>
          <w:lang w:val="en-GB"/>
        </w:rPr>
      </w:pPr>
    </w:p>
    <w:p w14:paraId="27873780" w14:textId="498A9390" w:rsidR="005839C1" w:rsidRDefault="005839C1" w:rsidP="004E1CA4">
      <w:pPr>
        <w:rPr>
          <w:rFonts w:ascii="Times New Roman" w:hAnsi="Times New Roman" w:cs="Times New Roman"/>
          <w:sz w:val="24"/>
          <w:szCs w:val="24"/>
          <w:lang w:val="en-GB"/>
        </w:rPr>
      </w:pPr>
      <w:r w:rsidRPr="00611AB3">
        <w:rPr>
          <w:rFonts w:ascii="Times New Roman" w:hAnsi="Times New Roman" w:cs="Times New Roman"/>
          <w:sz w:val="24"/>
          <w:szCs w:val="24"/>
          <w:lang w:val="en-GB"/>
        </w:rPr>
        <w:t>(5)</w:t>
      </w:r>
      <w:r w:rsidRPr="00611AB3">
        <w:rPr>
          <w:rFonts w:ascii="Times New Roman" w:hAnsi="Times New Roman" w:cs="Times New Roman"/>
          <w:sz w:val="24"/>
          <w:szCs w:val="24"/>
          <w:lang w:val="en-GB"/>
        </w:rPr>
        <w:tab/>
        <w:t>l. 28: "in others, it was..." for easing readability be more specific and replace "it" by what it is.</w:t>
      </w:r>
    </w:p>
    <w:p w14:paraId="2C2D1034" w14:textId="4D846295" w:rsidR="00247F3D" w:rsidRPr="00F06314" w:rsidRDefault="006A4A92" w:rsidP="004E1CA4">
      <w:pPr>
        <w:rPr>
          <w:rFonts w:ascii="Times New Roman" w:hAnsi="Times New Roman" w:cs="Times New Roman"/>
          <w:color w:val="EE0000"/>
          <w:sz w:val="24"/>
          <w:szCs w:val="24"/>
          <w:lang w:val="en-GB"/>
        </w:rPr>
      </w:pPr>
      <w:r>
        <w:rPr>
          <w:rFonts w:ascii="Times New Roman" w:hAnsi="Times New Roman" w:cs="Times New Roman"/>
          <w:color w:val="EE0000"/>
          <w:sz w:val="24"/>
          <w:szCs w:val="24"/>
          <w:lang w:val="en-GB"/>
        </w:rPr>
        <w:t>The abstract has been revised and this issue has been removed.</w:t>
      </w:r>
    </w:p>
    <w:p w14:paraId="0968E3A6" w14:textId="3C588D2F" w:rsidR="005839C1" w:rsidRPr="00611AB3" w:rsidRDefault="005839C1" w:rsidP="004E1CA4">
      <w:pPr>
        <w:rPr>
          <w:rFonts w:ascii="Times New Roman" w:hAnsi="Times New Roman" w:cs="Times New Roman"/>
          <w:b/>
          <w:bCs/>
          <w:sz w:val="24"/>
          <w:szCs w:val="24"/>
          <w:lang w:val="en-GB"/>
        </w:rPr>
      </w:pPr>
      <w:r w:rsidRPr="00611AB3">
        <w:rPr>
          <w:rFonts w:ascii="Times New Roman" w:hAnsi="Times New Roman" w:cs="Times New Roman"/>
          <w:b/>
          <w:bCs/>
          <w:sz w:val="24"/>
          <w:szCs w:val="24"/>
          <w:lang w:val="en-GB"/>
        </w:rPr>
        <w:lastRenderedPageBreak/>
        <w:t>Main text</w:t>
      </w:r>
    </w:p>
    <w:p w14:paraId="17F208FC" w14:textId="76732960" w:rsidR="005839C1" w:rsidRDefault="005839C1" w:rsidP="004E1CA4">
      <w:pPr>
        <w:rPr>
          <w:rFonts w:ascii="Times New Roman" w:hAnsi="Times New Roman" w:cs="Times New Roman"/>
          <w:sz w:val="24"/>
          <w:szCs w:val="24"/>
          <w:lang w:val="en-GB"/>
        </w:rPr>
      </w:pPr>
      <w:r w:rsidRPr="00611AB3">
        <w:rPr>
          <w:rFonts w:ascii="Times New Roman" w:hAnsi="Times New Roman" w:cs="Times New Roman"/>
          <w:sz w:val="24"/>
          <w:szCs w:val="24"/>
          <w:lang w:val="en-GB"/>
        </w:rPr>
        <w:t>(6)</w:t>
      </w:r>
      <w:r w:rsidRPr="00611AB3">
        <w:rPr>
          <w:rFonts w:ascii="Times New Roman" w:hAnsi="Times New Roman" w:cs="Times New Roman"/>
          <w:sz w:val="24"/>
          <w:szCs w:val="24"/>
          <w:lang w:val="en-GB"/>
        </w:rPr>
        <w:tab/>
        <w:t xml:space="preserve">l. 37: Change the citation for the IPCC report (not Masson-Delmotte et al. 2021). See </w:t>
      </w:r>
      <w:hyperlink r:id="rId18" w:history="1">
        <w:r w:rsidR="00000062" w:rsidRPr="00241BB1">
          <w:rPr>
            <w:rStyle w:val="Hyperlink"/>
            <w:rFonts w:ascii="Times New Roman" w:hAnsi="Times New Roman" w:cs="Times New Roman"/>
            <w:sz w:val="24"/>
            <w:szCs w:val="24"/>
            <w:lang w:val="en-GB"/>
          </w:rPr>
          <w:t>https://www.ipcc.ch/report/ar6/wg1/about/how-to-cite-this-report/</w:t>
        </w:r>
      </w:hyperlink>
    </w:p>
    <w:p w14:paraId="641D0A64" w14:textId="6AC6C618" w:rsidR="00000062" w:rsidRPr="00C869FA" w:rsidRDefault="00C869FA" w:rsidP="004E1CA4">
      <w:pPr>
        <w:rPr>
          <w:rFonts w:ascii="Times New Roman" w:hAnsi="Times New Roman" w:cs="Times New Roman"/>
          <w:color w:val="EE0000"/>
          <w:sz w:val="24"/>
          <w:szCs w:val="24"/>
          <w:lang w:val="en-GB"/>
        </w:rPr>
      </w:pPr>
      <w:r w:rsidRPr="00C869FA">
        <w:rPr>
          <w:rFonts w:ascii="Times New Roman" w:hAnsi="Times New Roman" w:cs="Times New Roman"/>
          <w:color w:val="EE0000"/>
          <w:sz w:val="24"/>
          <w:szCs w:val="24"/>
          <w:lang w:val="en-GB"/>
        </w:rPr>
        <w:t>The IPCC citation has been updated following the recommended citation format for the AR6 Working Group I report.</w:t>
      </w:r>
    </w:p>
    <w:p w14:paraId="3B4F6F6F" w14:textId="77777777" w:rsidR="005839C1" w:rsidRDefault="005839C1" w:rsidP="004E1CA4">
      <w:pPr>
        <w:rPr>
          <w:rFonts w:ascii="Times New Roman" w:hAnsi="Times New Roman" w:cs="Times New Roman"/>
          <w:sz w:val="24"/>
          <w:szCs w:val="24"/>
          <w:lang w:val="en-GB"/>
        </w:rPr>
      </w:pPr>
      <w:r w:rsidRPr="00611AB3">
        <w:rPr>
          <w:rFonts w:ascii="Times New Roman" w:hAnsi="Times New Roman" w:cs="Times New Roman"/>
          <w:sz w:val="24"/>
          <w:szCs w:val="24"/>
          <w:lang w:val="en-GB"/>
        </w:rPr>
        <w:t>(7)</w:t>
      </w:r>
      <w:r w:rsidRPr="00611AB3">
        <w:rPr>
          <w:rFonts w:ascii="Times New Roman" w:hAnsi="Times New Roman" w:cs="Times New Roman"/>
          <w:sz w:val="24"/>
          <w:szCs w:val="24"/>
          <w:lang w:val="en-GB"/>
        </w:rPr>
        <w:tab/>
        <w:t>l. 39-44: This paragraph should be combine with the next one. The term "return flux" seems incorrect to me as it can also suggest a DIC flux back to the surface. It is ultimately true but not in the way it is presented here and the study looks at remineralized carbon diagnosed from AOU. Frenger et al. (2024) do not introduce this term. In the entire manuscript the terms remineralised DIC seems more appropriate (or DICso f t seems also ok).</w:t>
      </w:r>
    </w:p>
    <w:p w14:paraId="6C70AC11" w14:textId="66AA69FF" w:rsidR="00925747" w:rsidRPr="00925747" w:rsidRDefault="00925747" w:rsidP="004E1CA4">
      <w:pPr>
        <w:rPr>
          <w:rFonts w:ascii="Times New Roman" w:hAnsi="Times New Roman" w:cs="Times New Roman"/>
          <w:color w:val="EE0000"/>
          <w:sz w:val="24"/>
          <w:szCs w:val="24"/>
          <w:lang w:val="en-GB"/>
        </w:rPr>
      </w:pPr>
      <w:r w:rsidRPr="00925747">
        <w:rPr>
          <w:rFonts w:ascii="Times New Roman" w:hAnsi="Times New Roman" w:cs="Times New Roman"/>
          <w:color w:val="EE0000"/>
          <w:sz w:val="24"/>
          <w:szCs w:val="24"/>
          <w:lang w:val="en-GB"/>
        </w:rPr>
        <w:t>We have merged the two paragraphs for clarity and removed the term “return flux” throughout the manuscript. The text has been revised to consistently refer to remineralized DIC (DIC</w:t>
      </w:r>
      <w:r w:rsidRPr="00925747">
        <w:rPr>
          <w:rFonts w:ascii="Times New Roman" w:hAnsi="Times New Roman" w:cs="Times New Roman"/>
          <w:color w:val="EE0000"/>
          <w:sz w:val="24"/>
          <w:szCs w:val="24"/>
          <w:vertAlign w:val="subscript"/>
          <w:lang w:val="en-GB"/>
        </w:rPr>
        <w:t>soft</w:t>
      </w:r>
      <w:r w:rsidRPr="00925747">
        <w:rPr>
          <w:rFonts w:ascii="Times New Roman" w:hAnsi="Times New Roman" w:cs="Times New Roman"/>
          <w:color w:val="EE0000"/>
          <w:sz w:val="24"/>
          <w:szCs w:val="24"/>
          <w:lang w:val="en-GB"/>
        </w:rPr>
        <w:t>), in line with the AOU-based diagnostic used in this study and the terminology adopted in Frenger et al. (2024). This revision clarifies that our analysis focuses on the production, export, remineralization, and subsurface storage of biologically respired carbon, rather than on an explicit flux back to the surface.</w:t>
      </w:r>
    </w:p>
    <w:p w14:paraId="7172BE87" w14:textId="3011784B" w:rsidR="005839C1" w:rsidRPr="00611AB3" w:rsidRDefault="005839C1" w:rsidP="004E1CA4">
      <w:pPr>
        <w:rPr>
          <w:rFonts w:ascii="Times New Roman" w:hAnsi="Times New Roman" w:cs="Times New Roman"/>
          <w:sz w:val="24"/>
          <w:szCs w:val="24"/>
          <w:lang w:val="en-GB"/>
        </w:rPr>
      </w:pPr>
      <w:r w:rsidRPr="00611AB3">
        <w:rPr>
          <w:rFonts w:ascii="Times New Roman" w:hAnsi="Times New Roman" w:cs="Times New Roman"/>
          <w:sz w:val="24"/>
          <w:szCs w:val="24"/>
          <w:lang w:val="en-GB"/>
        </w:rPr>
        <w:t>(8)</w:t>
      </w:r>
      <w:r w:rsidRPr="00611AB3">
        <w:rPr>
          <w:rFonts w:ascii="Times New Roman" w:hAnsi="Times New Roman" w:cs="Times New Roman"/>
          <w:sz w:val="24"/>
          <w:szCs w:val="24"/>
          <w:lang w:val="en-GB"/>
        </w:rPr>
        <w:tab/>
        <w:t xml:space="preserve">l. 46-47: Not only </w:t>
      </w:r>
      <w:r w:rsidR="00EC2DAF" w:rsidRPr="00611AB3">
        <w:rPr>
          <w:rFonts w:ascii="Times New Roman" w:hAnsi="Times New Roman" w:cs="Times New Roman"/>
          <w:sz w:val="24"/>
          <w:szCs w:val="24"/>
          <w:lang w:val="en-GB"/>
        </w:rPr>
        <w:t>POC but</w:t>
      </w:r>
      <w:r w:rsidRPr="00611AB3">
        <w:rPr>
          <w:rFonts w:ascii="Times New Roman" w:hAnsi="Times New Roman" w:cs="Times New Roman"/>
          <w:sz w:val="24"/>
          <w:szCs w:val="24"/>
          <w:lang w:val="en-GB"/>
        </w:rPr>
        <w:t xml:space="preserve"> also dissolved organic matter.</w:t>
      </w:r>
    </w:p>
    <w:p w14:paraId="5A042CA4" w14:textId="509674C0" w:rsidR="005839C1" w:rsidRPr="00616BC4" w:rsidRDefault="00616BC4" w:rsidP="004E1CA4">
      <w:pPr>
        <w:rPr>
          <w:rFonts w:ascii="Times New Roman" w:hAnsi="Times New Roman" w:cs="Times New Roman"/>
          <w:color w:val="EE0000"/>
          <w:sz w:val="24"/>
          <w:szCs w:val="24"/>
          <w:lang w:val="en-GB"/>
        </w:rPr>
      </w:pPr>
      <w:r w:rsidRPr="00616BC4">
        <w:rPr>
          <w:rFonts w:ascii="Times New Roman" w:hAnsi="Times New Roman" w:cs="Times New Roman"/>
          <w:color w:val="EE0000"/>
          <w:sz w:val="24"/>
          <w:szCs w:val="24"/>
          <w:lang w:val="en-GB"/>
        </w:rPr>
        <w:t>The text has been revised to explicitly include dissolved organic carbon (DOC) alongside particulate organic carbon (POC) in the description of organic matter production and export by the soft-tissue pump.</w:t>
      </w:r>
    </w:p>
    <w:p w14:paraId="1AB48A69" w14:textId="687FFA47" w:rsidR="005839C1" w:rsidRDefault="005839C1" w:rsidP="004E1CA4">
      <w:pPr>
        <w:rPr>
          <w:rFonts w:ascii="Times New Roman" w:hAnsi="Times New Roman" w:cs="Times New Roman"/>
          <w:sz w:val="24"/>
          <w:szCs w:val="24"/>
          <w:lang w:val="en-GB"/>
        </w:rPr>
      </w:pPr>
      <w:r w:rsidRPr="00611AB3">
        <w:rPr>
          <w:rFonts w:ascii="Times New Roman" w:hAnsi="Times New Roman" w:cs="Times New Roman"/>
          <w:sz w:val="24"/>
          <w:szCs w:val="24"/>
          <w:lang w:val="en-GB"/>
        </w:rPr>
        <w:t>(9)</w:t>
      </w:r>
      <w:r w:rsidRPr="00611AB3">
        <w:rPr>
          <w:rFonts w:ascii="Times New Roman" w:hAnsi="Times New Roman" w:cs="Times New Roman"/>
          <w:sz w:val="24"/>
          <w:szCs w:val="24"/>
          <w:lang w:val="en-GB"/>
        </w:rPr>
        <w:tab/>
        <w:t>l. 48: DICsoft has not been introduced before.</w:t>
      </w:r>
    </w:p>
    <w:p w14:paraId="46AFEA7B" w14:textId="19F68127" w:rsidR="00204E9A" w:rsidRPr="00300C38" w:rsidRDefault="00300C38" w:rsidP="004E1CA4">
      <w:pPr>
        <w:rPr>
          <w:rFonts w:ascii="Times New Roman" w:hAnsi="Times New Roman" w:cs="Times New Roman"/>
          <w:color w:val="EE0000"/>
          <w:sz w:val="24"/>
          <w:szCs w:val="24"/>
          <w:lang w:val="en-GB"/>
        </w:rPr>
      </w:pPr>
      <w:r w:rsidRPr="00300C38">
        <w:rPr>
          <w:rFonts w:ascii="Times New Roman" w:hAnsi="Times New Roman" w:cs="Times New Roman"/>
          <w:color w:val="EE0000"/>
          <w:sz w:val="24"/>
          <w:szCs w:val="24"/>
          <w:lang w:val="en-GB"/>
        </w:rPr>
        <w:t>DIC</w:t>
      </w:r>
      <w:r w:rsidRPr="00300C38">
        <w:rPr>
          <w:rFonts w:ascii="Times New Roman" w:hAnsi="Times New Roman" w:cs="Times New Roman"/>
          <w:color w:val="EE0000"/>
          <w:sz w:val="24"/>
          <w:szCs w:val="24"/>
          <w:vertAlign w:val="subscript"/>
          <w:lang w:val="en-GB"/>
        </w:rPr>
        <w:t>soft</w:t>
      </w:r>
      <w:r w:rsidRPr="00300C38">
        <w:rPr>
          <w:rFonts w:ascii="Times New Roman" w:hAnsi="Times New Roman" w:cs="Times New Roman"/>
          <w:color w:val="EE0000"/>
          <w:sz w:val="24"/>
          <w:szCs w:val="24"/>
          <w:lang w:val="en-GB"/>
        </w:rPr>
        <w:t xml:space="preserve"> has now been defined at its first occurrence in the manuscript.</w:t>
      </w:r>
    </w:p>
    <w:p w14:paraId="652EC10E" w14:textId="4F37DBB0" w:rsidR="005839C1" w:rsidRDefault="005839C1" w:rsidP="004E1CA4">
      <w:pPr>
        <w:rPr>
          <w:rFonts w:ascii="Times New Roman" w:hAnsi="Times New Roman" w:cs="Times New Roman"/>
          <w:sz w:val="24"/>
          <w:szCs w:val="24"/>
          <w:lang w:val="en-GB"/>
        </w:rPr>
      </w:pPr>
      <w:r w:rsidRPr="00611AB3">
        <w:rPr>
          <w:rFonts w:ascii="Times New Roman" w:hAnsi="Times New Roman" w:cs="Times New Roman"/>
          <w:sz w:val="24"/>
          <w:szCs w:val="24"/>
          <w:lang w:val="en-GB"/>
        </w:rPr>
        <w:t>(10)</w:t>
      </w:r>
      <w:r w:rsidRPr="00611AB3">
        <w:rPr>
          <w:rFonts w:ascii="Times New Roman" w:hAnsi="Times New Roman" w:cs="Times New Roman"/>
          <w:sz w:val="24"/>
          <w:szCs w:val="24"/>
          <w:lang w:val="en-GB"/>
        </w:rPr>
        <w:tab/>
        <w:t>l. 50: "The depth and residence time...governs..." is imprecise. It is the residence time that governs the impact on climate. The depth affects the residence time.</w:t>
      </w:r>
    </w:p>
    <w:p w14:paraId="35E3B2F1" w14:textId="216ED41D" w:rsidR="009617F7" w:rsidRPr="009617F7" w:rsidRDefault="009617F7" w:rsidP="004E1CA4">
      <w:pPr>
        <w:rPr>
          <w:rFonts w:ascii="Times New Roman" w:hAnsi="Times New Roman" w:cs="Times New Roman"/>
          <w:color w:val="EE0000"/>
          <w:sz w:val="24"/>
          <w:szCs w:val="24"/>
          <w:lang w:val="en-GB"/>
        </w:rPr>
      </w:pPr>
      <w:r w:rsidRPr="009617F7">
        <w:rPr>
          <w:rFonts w:ascii="Times New Roman" w:hAnsi="Times New Roman" w:cs="Times New Roman"/>
          <w:color w:val="EE0000"/>
          <w:sz w:val="24"/>
          <w:szCs w:val="24"/>
          <w:lang w:val="en-GB"/>
        </w:rPr>
        <w:t>The text has been revised to explicitly state that residence time governs the climate impact of the BCP, with remineralization depth influencing residence time rather than acting as an independent control.</w:t>
      </w:r>
    </w:p>
    <w:p w14:paraId="45E11AA4" w14:textId="6947ECB3" w:rsidR="005839C1" w:rsidRDefault="005839C1" w:rsidP="004E1CA4">
      <w:pPr>
        <w:rPr>
          <w:rFonts w:ascii="Times New Roman" w:hAnsi="Times New Roman" w:cs="Times New Roman"/>
          <w:sz w:val="24"/>
          <w:szCs w:val="24"/>
          <w:lang w:val="en-GB"/>
        </w:rPr>
      </w:pPr>
      <w:r w:rsidRPr="00611AB3">
        <w:rPr>
          <w:rFonts w:ascii="Times New Roman" w:hAnsi="Times New Roman" w:cs="Times New Roman"/>
          <w:sz w:val="24"/>
          <w:szCs w:val="24"/>
          <w:lang w:val="en-GB"/>
        </w:rPr>
        <w:t>(11)</w:t>
      </w:r>
      <w:r w:rsidRPr="00611AB3">
        <w:rPr>
          <w:rFonts w:ascii="Times New Roman" w:hAnsi="Times New Roman" w:cs="Times New Roman"/>
          <w:sz w:val="24"/>
          <w:szCs w:val="24"/>
          <w:lang w:val="en-GB"/>
        </w:rPr>
        <w:tab/>
        <w:t>l. 52: calcium carbonate formation or carbonate consumption</w:t>
      </w:r>
    </w:p>
    <w:p w14:paraId="7A5AEE37" w14:textId="26BD143F" w:rsidR="000C5369" w:rsidRPr="000C5369" w:rsidRDefault="000C5369" w:rsidP="004E1CA4">
      <w:pPr>
        <w:rPr>
          <w:rFonts w:ascii="Times New Roman" w:hAnsi="Times New Roman" w:cs="Times New Roman"/>
          <w:color w:val="EE0000"/>
          <w:sz w:val="24"/>
          <w:szCs w:val="24"/>
          <w:lang w:val="en-GB"/>
        </w:rPr>
      </w:pPr>
      <w:r w:rsidRPr="000C5369">
        <w:rPr>
          <w:rFonts w:ascii="Times New Roman" w:hAnsi="Times New Roman" w:cs="Times New Roman"/>
          <w:color w:val="EE0000"/>
          <w:sz w:val="24"/>
          <w:szCs w:val="24"/>
          <w:lang w:val="en-GB"/>
        </w:rPr>
        <w:t>The text has been revised to refer explicitly to calcium carbonate formation in surface waters, avoiding the ambiguous use of “carbonate consumption.”</w:t>
      </w:r>
    </w:p>
    <w:p w14:paraId="7C903DFC" w14:textId="1641EADD" w:rsidR="005839C1" w:rsidRDefault="005839C1" w:rsidP="004E1CA4">
      <w:pPr>
        <w:rPr>
          <w:rFonts w:ascii="Times New Roman" w:hAnsi="Times New Roman" w:cs="Times New Roman"/>
          <w:sz w:val="24"/>
          <w:szCs w:val="24"/>
          <w:lang w:val="en-GB"/>
        </w:rPr>
      </w:pPr>
      <w:r w:rsidRPr="00611AB3">
        <w:rPr>
          <w:rFonts w:ascii="Times New Roman" w:hAnsi="Times New Roman" w:cs="Times New Roman"/>
          <w:sz w:val="24"/>
          <w:szCs w:val="24"/>
          <w:lang w:val="en-GB"/>
        </w:rPr>
        <w:t>(12)</w:t>
      </w:r>
      <w:r w:rsidRPr="00611AB3">
        <w:rPr>
          <w:rFonts w:ascii="Times New Roman" w:hAnsi="Times New Roman" w:cs="Times New Roman"/>
          <w:sz w:val="24"/>
          <w:szCs w:val="24"/>
          <w:lang w:val="en-GB"/>
        </w:rPr>
        <w:tab/>
        <w:t>l. 55: "neutralizing CO2" needs to be clarify.</w:t>
      </w:r>
    </w:p>
    <w:p w14:paraId="677D21DF" w14:textId="3EE412AC" w:rsidR="00B46F19" w:rsidRPr="00B46F19" w:rsidRDefault="00B46F19" w:rsidP="004E1CA4">
      <w:pPr>
        <w:rPr>
          <w:rFonts w:ascii="Times New Roman" w:hAnsi="Times New Roman" w:cs="Times New Roman"/>
          <w:color w:val="EE0000"/>
          <w:sz w:val="24"/>
          <w:szCs w:val="24"/>
          <w:lang w:val="en-GB"/>
        </w:rPr>
      </w:pPr>
      <w:r w:rsidRPr="00B46F19">
        <w:rPr>
          <w:rFonts w:ascii="Times New Roman" w:hAnsi="Times New Roman" w:cs="Times New Roman"/>
          <w:color w:val="EE0000"/>
          <w:sz w:val="24"/>
          <w:szCs w:val="24"/>
          <w:lang w:val="en-GB"/>
        </w:rPr>
        <w:t>The text has been revised to clarify that carbonate dissolution at depth increases alkalinity and the buffering capacity of seawater, thereby partially offsetting surface CO</w:t>
      </w:r>
      <w:r w:rsidRPr="00B46F19">
        <w:rPr>
          <w:rFonts w:ascii="Times New Roman" w:hAnsi="Times New Roman" w:cs="Times New Roman"/>
          <w:color w:val="EE0000"/>
          <w:sz w:val="24"/>
          <w:szCs w:val="24"/>
          <w:vertAlign w:val="subscript"/>
          <w:lang w:val="en-GB"/>
        </w:rPr>
        <w:t>2</w:t>
      </w:r>
      <w:r w:rsidRPr="00B46F19">
        <w:rPr>
          <w:rFonts w:ascii="Times New Roman" w:hAnsi="Times New Roman" w:cs="Times New Roman"/>
          <w:color w:val="EE0000"/>
          <w:sz w:val="24"/>
          <w:szCs w:val="24"/>
          <w:lang w:val="en-GB"/>
        </w:rPr>
        <w:t xml:space="preserve"> release, rather than implying direct CO</w:t>
      </w:r>
      <w:r w:rsidRPr="00B46F19">
        <w:rPr>
          <w:rFonts w:ascii="Times New Roman" w:hAnsi="Times New Roman" w:cs="Times New Roman"/>
          <w:color w:val="EE0000"/>
          <w:sz w:val="24"/>
          <w:szCs w:val="24"/>
          <w:vertAlign w:val="subscript"/>
          <w:lang w:val="en-GB"/>
        </w:rPr>
        <w:t>2</w:t>
      </w:r>
      <w:r w:rsidRPr="00B46F19">
        <w:rPr>
          <w:rFonts w:ascii="Times New Roman" w:hAnsi="Times New Roman" w:cs="Times New Roman"/>
          <w:color w:val="EE0000"/>
          <w:sz w:val="24"/>
          <w:szCs w:val="24"/>
          <w:lang w:val="en-GB"/>
        </w:rPr>
        <w:t xml:space="preserve"> neutralization.</w:t>
      </w:r>
    </w:p>
    <w:p w14:paraId="44A6E435" w14:textId="77777777" w:rsidR="005839C1" w:rsidRDefault="005839C1" w:rsidP="004E1CA4">
      <w:pPr>
        <w:rPr>
          <w:rFonts w:ascii="Times New Roman" w:hAnsi="Times New Roman" w:cs="Times New Roman"/>
          <w:sz w:val="24"/>
          <w:szCs w:val="24"/>
          <w:lang w:val="en-GB"/>
        </w:rPr>
      </w:pPr>
      <w:r w:rsidRPr="00611AB3">
        <w:rPr>
          <w:rFonts w:ascii="Times New Roman" w:hAnsi="Times New Roman" w:cs="Times New Roman"/>
          <w:sz w:val="24"/>
          <w:szCs w:val="24"/>
          <w:lang w:val="en-GB"/>
        </w:rPr>
        <w:t>(13)</w:t>
      </w:r>
      <w:r w:rsidRPr="00611AB3">
        <w:rPr>
          <w:rFonts w:ascii="Times New Roman" w:hAnsi="Times New Roman" w:cs="Times New Roman"/>
          <w:sz w:val="24"/>
          <w:szCs w:val="24"/>
          <w:lang w:val="en-GB"/>
        </w:rPr>
        <w:tab/>
        <w:t>l. 57: The connection between the soft tissue pump and carbonate counter-pump and the export and return fluxes (see also comment above about the term return flux) is unclear. Please clarify.</w:t>
      </w:r>
    </w:p>
    <w:p w14:paraId="7581BC7A" w14:textId="61F7AB3C" w:rsidR="00D13A33" w:rsidRDefault="00D13A33" w:rsidP="004E1CA4">
      <w:pPr>
        <w:rPr>
          <w:rFonts w:ascii="Times New Roman" w:hAnsi="Times New Roman" w:cs="Times New Roman"/>
          <w:color w:val="EE0000"/>
          <w:sz w:val="24"/>
          <w:szCs w:val="24"/>
          <w:lang w:val="en-GB"/>
        </w:rPr>
      </w:pPr>
      <w:r w:rsidRPr="00D13A33">
        <w:rPr>
          <w:rFonts w:ascii="Times New Roman" w:hAnsi="Times New Roman" w:cs="Times New Roman"/>
          <w:color w:val="EE0000"/>
          <w:sz w:val="24"/>
          <w:szCs w:val="24"/>
          <w:lang w:val="en-GB"/>
        </w:rPr>
        <w:lastRenderedPageBreak/>
        <w:t>The text has been revised to explicitly link the soft-tissue pump and the carbonate counter-pump within the same export–remineralization framework, while avoiding the use of the term “return flux.” A clarifying sentence has been added to emphasize that both pumps are coupled through particle production, export, and transformation in the ocean interior</w:t>
      </w:r>
      <w:r w:rsidR="00081AFE">
        <w:rPr>
          <w:rFonts w:ascii="Times New Roman" w:hAnsi="Times New Roman" w:cs="Times New Roman"/>
          <w:color w:val="EE0000"/>
          <w:sz w:val="24"/>
          <w:szCs w:val="24"/>
          <w:lang w:val="en-GB"/>
        </w:rPr>
        <w:t>:</w:t>
      </w:r>
    </w:p>
    <w:p w14:paraId="0ADD8F71" w14:textId="136B3DD2" w:rsidR="00081AFE" w:rsidRPr="00D13A33" w:rsidRDefault="00081AFE" w:rsidP="004E1CA4">
      <w:pPr>
        <w:rPr>
          <w:rFonts w:ascii="Times New Roman" w:hAnsi="Times New Roman" w:cs="Times New Roman"/>
          <w:color w:val="EE0000"/>
          <w:sz w:val="24"/>
          <w:szCs w:val="24"/>
          <w:lang w:val="en-GB"/>
        </w:rPr>
      </w:pPr>
      <w:r>
        <w:rPr>
          <w:rFonts w:ascii="Times New Roman" w:hAnsi="Times New Roman" w:cs="Times New Roman"/>
          <w:color w:val="EE0000"/>
          <w:sz w:val="24"/>
          <w:szCs w:val="24"/>
          <w:lang w:val="en-GB"/>
        </w:rPr>
        <w:t>“</w:t>
      </w:r>
      <w:r w:rsidRPr="00081AFE">
        <w:rPr>
          <w:rFonts w:ascii="Times New Roman" w:hAnsi="Times New Roman" w:cs="Times New Roman"/>
          <w:color w:val="EE0000"/>
          <w:sz w:val="24"/>
          <w:szCs w:val="24"/>
          <w:lang w:val="en-GB"/>
        </w:rPr>
        <w:t>In parallel to the soft-tissue pump, the carbonate counter-pump is coupled to organic matter export through the production, sinking, and dissolution of calcium carbonate.”</w:t>
      </w:r>
      <w:r w:rsidR="008978E9">
        <w:rPr>
          <w:rFonts w:ascii="Times New Roman" w:hAnsi="Times New Roman" w:cs="Times New Roman"/>
          <w:color w:val="EE0000"/>
          <w:sz w:val="24"/>
          <w:szCs w:val="24"/>
          <w:lang w:val="en-GB"/>
        </w:rPr>
        <w:t xml:space="preserve"> (L54-55)</w:t>
      </w:r>
    </w:p>
    <w:p w14:paraId="518DA23D" w14:textId="77777777" w:rsidR="005839C1" w:rsidRDefault="005839C1" w:rsidP="004E1CA4">
      <w:pPr>
        <w:rPr>
          <w:rFonts w:ascii="Times New Roman" w:hAnsi="Times New Roman" w:cs="Times New Roman"/>
          <w:sz w:val="24"/>
          <w:szCs w:val="24"/>
          <w:lang w:val="en-GB"/>
        </w:rPr>
      </w:pPr>
      <w:r w:rsidRPr="00611AB3">
        <w:rPr>
          <w:rFonts w:ascii="Times New Roman" w:hAnsi="Times New Roman" w:cs="Times New Roman"/>
          <w:sz w:val="24"/>
          <w:szCs w:val="24"/>
          <w:lang w:val="en-GB"/>
        </w:rPr>
        <w:t>(14)</w:t>
      </w:r>
      <w:r w:rsidRPr="00611AB3">
        <w:rPr>
          <w:rFonts w:ascii="Times New Roman" w:hAnsi="Times New Roman" w:cs="Times New Roman"/>
          <w:sz w:val="24"/>
          <w:szCs w:val="24"/>
          <w:lang w:val="en-GB"/>
        </w:rPr>
        <w:tab/>
        <w:t>l. 66: specify ’anthropogenic’ climate change. In past climate changes, such as glacial/interglacial periods, the roles of BCP have been investigated well in many studies, e.g., Sigman and Boyle (2000), Kessler et al. (2018)</w:t>
      </w:r>
    </w:p>
    <w:p w14:paraId="5B4B5E53" w14:textId="7C85FA0A" w:rsidR="00856564" w:rsidRPr="00856564" w:rsidRDefault="00856564" w:rsidP="004E1CA4">
      <w:pPr>
        <w:rPr>
          <w:rFonts w:ascii="Times New Roman" w:hAnsi="Times New Roman" w:cs="Times New Roman"/>
          <w:color w:val="EE0000"/>
          <w:sz w:val="24"/>
          <w:szCs w:val="24"/>
          <w:lang w:val="en-GB"/>
        </w:rPr>
      </w:pPr>
      <w:r w:rsidRPr="00856564">
        <w:rPr>
          <w:rFonts w:ascii="Times New Roman" w:hAnsi="Times New Roman" w:cs="Times New Roman"/>
          <w:color w:val="EE0000"/>
          <w:sz w:val="24"/>
          <w:szCs w:val="24"/>
          <w:lang w:val="en-GB"/>
        </w:rPr>
        <w:t>The text has been revised to explicitly refer to anthropogenically driven climate change</w:t>
      </w:r>
      <w:r w:rsidR="00513E1D">
        <w:rPr>
          <w:rFonts w:ascii="Times New Roman" w:hAnsi="Times New Roman" w:cs="Times New Roman"/>
          <w:color w:val="EE0000"/>
          <w:sz w:val="24"/>
          <w:szCs w:val="24"/>
          <w:lang w:val="en-GB"/>
        </w:rPr>
        <w:t xml:space="preserve"> (L70-71)</w:t>
      </w:r>
    </w:p>
    <w:p w14:paraId="2EF08E20" w14:textId="1429C34D" w:rsidR="005839C1" w:rsidRDefault="005839C1" w:rsidP="004E1CA4">
      <w:pPr>
        <w:rPr>
          <w:rFonts w:ascii="Times New Roman" w:hAnsi="Times New Roman" w:cs="Times New Roman"/>
          <w:sz w:val="24"/>
          <w:szCs w:val="24"/>
          <w:lang w:val="en-GB"/>
        </w:rPr>
      </w:pPr>
      <w:r w:rsidRPr="00611AB3">
        <w:rPr>
          <w:rFonts w:ascii="Times New Roman" w:hAnsi="Times New Roman" w:cs="Times New Roman"/>
          <w:sz w:val="24"/>
          <w:szCs w:val="24"/>
          <w:lang w:val="en-GB"/>
        </w:rPr>
        <w:t>(15)</w:t>
      </w:r>
      <w:r w:rsidRPr="00611AB3">
        <w:rPr>
          <w:rFonts w:ascii="Times New Roman" w:hAnsi="Times New Roman" w:cs="Times New Roman"/>
          <w:sz w:val="24"/>
          <w:szCs w:val="24"/>
          <w:lang w:val="en-GB"/>
        </w:rPr>
        <w:tab/>
        <w:t>l. 64-77: It is not clear what the authors want to say in this paragraph. Please reformulate.</w:t>
      </w:r>
    </w:p>
    <w:p w14:paraId="0A731FC6" w14:textId="3C0A610B" w:rsidR="00DD78BB" w:rsidRPr="009253FA" w:rsidRDefault="009253FA" w:rsidP="004E1CA4">
      <w:pPr>
        <w:rPr>
          <w:rFonts w:ascii="Times New Roman" w:hAnsi="Times New Roman" w:cs="Times New Roman"/>
          <w:color w:val="EE0000"/>
          <w:sz w:val="24"/>
          <w:szCs w:val="24"/>
          <w:lang w:val="en-GB"/>
        </w:rPr>
      </w:pPr>
      <w:r w:rsidRPr="009253FA">
        <w:rPr>
          <w:rFonts w:ascii="Times New Roman" w:hAnsi="Times New Roman" w:cs="Times New Roman"/>
          <w:color w:val="EE0000"/>
          <w:sz w:val="24"/>
          <w:szCs w:val="24"/>
          <w:lang w:val="en-GB"/>
        </w:rPr>
        <w:t>The paragraph has been rewritten to clarify its central message, namely that the response of the biological carbon pump to ongoing anthropogenic climate change remains poorly constrained despite its climatic importance, conflicting observational indicators, and divergent model projections.</w:t>
      </w:r>
    </w:p>
    <w:p w14:paraId="75592EC9" w14:textId="60B4FDF9" w:rsidR="005839C1" w:rsidRDefault="005839C1" w:rsidP="004E1CA4">
      <w:pPr>
        <w:rPr>
          <w:rFonts w:ascii="Times New Roman" w:hAnsi="Times New Roman" w:cs="Times New Roman"/>
          <w:sz w:val="24"/>
          <w:szCs w:val="24"/>
          <w:lang w:val="en-GB"/>
        </w:rPr>
      </w:pPr>
      <w:r w:rsidRPr="00611AB3">
        <w:rPr>
          <w:rFonts w:ascii="Times New Roman" w:hAnsi="Times New Roman" w:cs="Times New Roman"/>
          <w:sz w:val="24"/>
          <w:szCs w:val="24"/>
          <w:lang w:val="en-GB"/>
        </w:rPr>
        <w:t>(16)</w:t>
      </w:r>
      <w:r w:rsidRPr="00611AB3">
        <w:rPr>
          <w:rFonts w:ascii="Times New Roman" w:hAnsi="Times New Roman" w:cs="Times New Roman"/>
          <w:sz w:val="24"/>
          <w:szCs w:val="24"/>
          <w:lang w:val="en-GB"/>
        </w:rPr>
        <w:tab/>
        <w:t>l. 81-82: Tian et al. (2025) should be cited too.</w:t>
      </w:r>
    </w:p>
    <w:p w14:paraId="0C5AC3FA" w14:textId="31117751" w:rsidR="000225E0" w:rsidRPr="000225E0" w:rsidRDefault="00C670D4" w:rsidP="004E1CA4">
      <w:pPr>
        <w:rPr>
          <w:rFonts w:ascii="Times New Roman" w:hAnsi="Times New Roman" w:cs="Times New Roman"/>
          <w:color w:val="EE0000"/>
          <w:sz w:val="24"/>
          <w:szCs w:val="24"/>
          <w:lang w:val="en-GB"/>
        </w:rPr>
      </w:pPr>
      <w:r w:rsidRPr="00C670D4">
        <w:rPr>
          <w:rFonts w:ascii="Times New Roman" w:hAnsi="Times New Roman" w:cs="Times New Roman"/>
          <w:color w:val="EE0000"/>
          <w:sz w:val="24"/>
          <w:szCs w:val="24"/>
          <w:lang w:val="en-GB"/>
        </w:rPr>
        <w:t>We thank the reviewer for this suggestion. We considered this reference carefully, but decided not to add it because the point made in this sentence does not depend on evidence from that study specifically, and we aimed to avoid citing work whose interpretation remains actively debated. The relevant statement is already supported by the existing references cited in this section.</w:t>
      </w:r>
    </w:p>
    <w:p w14:paraId="169AD37E" w14:textId="77777777" w:rsidR="00F2746C" w:rsidRDefault="005839C1" w:rsidP="004E1CA4">
      <w:pPr>
        <w:rPr>
          <w:rFonts w:ascii="Times New Roman" w:hAnsi="Times New Roman" w:cs="Times New Roman"/>
          <w:sz w:val="24"/>
          <w:szCs w:val="24"/>
          <w:lang w:val="en-GB"/>
        </w:rPr>
      </w:pPr>
      <w:r w:rsidRPr="00611AB3">
        <w:rPr>
          <w:rFonts w:ascii="Times New Roman" w:hAnsi="Times New Roman" w:cs="Times New Roman"/>
          <w:sz w:val="24"/>
          <w:szCs w:val="24"/>
          <w:lang w:val="en-GB"/>
        </w:rPr>
        <w:t>(17)</w:t>
      </w:r>
      <w:r w:rsidRPr="00611AB3">
        <w:rPr>
          <w:rFonts w:ascii="Times New Roman" w:hAnsi="Times New Roman" w:cs="Times New Roman"/>
          <w:sz w:val="24"/>
          <w:szCs w:val="24"/>
          <w:lang w:val="en-GB"/>
        </w:rPr>
        <w:tab/>
        <w:t>l. 82-86: Saying that the difference between anthropogenic DIC changes and total DIC changes is a redistribution of DICsoft is incorrect. Keppler et al. do not say that. Please reformulate.</w:t>
      </w:r>
    </w:p>
    <w:p w14:paraId="4BD6B18F" w14:textId="0AC422C8" w:rsidR="00376268" w:rsidRPr="00F2746C" w:rsidRDefault="00F2746C" w:rsidP="004E1CA4">
      <w:pPr>
        <w:rPr>
          <w:rFonts w:ascii="Times New Roman" w:hAnsi="Times New Roman" w:cs="Times New Roman"/>
          <w:color w:val="EE0000"/>
          <w:sz w:val="24"/>
          <w:szCs w:val="24"/>
          <w:lang w:val="en-GB"/>
        </w:rPr>
      </w:pPr>
      <w:r w:rsidRPr="00F2746C">
        <w:rPr>
          <w:rFonts w:ascii="Times New Roman" w:hAnsi="Times New Roman" w:cs="Times New Roman"/>
          <w:color w:val="EE0000"/>
          <w:sz w:val="24"/>
          <w:szCs w:val="24"/>
          <w:lang w:val="en-GB"/>
        </w:rPr>
        <w:t>We have revised the text to avoid attributing the residual between total DIC and anthropogenic DIC specifically to DIC</w:t>
      </w:r>
      <w:r w:rsidRPr="00F2746C">
        <w:rPr>
          <w:rFonts w:ascii="Times New Roman" w:hAnsi="Times New Roman" w:cs="Times New Roman"/>
          <w:color w:val="EE0000"/>
          <w:sz w:val="24"/>
          <w:szCs w:val="24"/>
          <w:vertAlign w:val="subscript"/>
          <w:lang w:val="en-GB"/>
        </w:rPr>
        <w:t>soft</w:t>
      </w:r>
      <w:r w:rsidRPr="00F2746C">
        <w:rPr>
          <w:rFonts w:ascii="Times New Roman" w:hAnsi="Times New Roman" w:cs="Times New Roman"/>
          <w:color w:val="EE0000"/>
          <w:sz w:val="24"/>
          <w:szCs w:val="24"/>
          <w:lang w:val="en-GB"/>
        </w:rPr>
        <w:t>. Instead, following Keppler et al. (2023), we now refer to this residual as indicating internal redistributions of natural DIC/CO</w:t>
      </w:r>
      <w:r w:rsidRPr="00F2746C">
        <w:rPr>
          <w:rFonts w:ascii="Times New Roman" w:hAnsi="Times New Roman" w:cs="Times New Roman"/>
          <w:color w:val="EE0000"/>
          <w:sz w:val="24"/>
          <w:szCs w:val="24"/>
          <w:vertAlign w:val="subscript"/>
          <w:lang w:val="en-GB"/>
        </w:rPr>
        <w:t>2</w:t>
      </w:r>
      <w:r w:rsidRPr="00F2746C">
        <w:rPr>
          <w:rFonts w:ascii="Times New Roman" w:hAnsi="Times New Roman" w:cs="Times New Roman"/>
          <w:color w:val="EE0000"/>
          <w:sz w:val="24"/>
          <w:szCs w:val="24"/>
          <w:lang w:val="en-GB"/>
        </w:rPr>
        <w:t xml:space="preserve"> (C</w:t>
      </w:r>
      <w:r w:rsidRPr="00F2746C">
        <w:rPr>
          <w:rFonts w:ascii="Times New Roman" w:hAnsi="Times New Roman" w:cs="Times New Roman"/>
          <w:color w:val="EE0000"/>
          <w:sz w:val="24"/>
          <w:szCs w:val="24"/>
          <w:vertAlign w:val="subscript"/>
          <w:lang w:val="en-GB"/>
        </w:rPr>
        <w:t>nat</w:t>
      </w:r>
      <w:r w:rsidRPr="00F2746C">
        <w:rPr>
          <w:rFonts w:ascii="Times New Roman" w:hAnsi="Times New Roman" w:cs="Times New Roman"/>
          <w:color w:val="EE0000"/>
          <w:sz w:val="24"/>
          <w:szCs w:val="24"/>
          <w:lang w:val="en-GB"/>
        </w:rPr>
        <w:t>), without implying a direct diagnostic of the soft-tissue component.</w:t>
      </w:r>
    </w:p>
    <w:p w14:paraId="2CCA9814" w14:textId="77777777" w:rsidR="005839C1" w:rsidRDefault="005839C1" w:rsidP="004E1CA4">
      <w:pPr>
        <w:rPr>
          <w:rFonts w:ascii="Times New Roman" w:hAnsi="Times New Roman" w:cs="Times New Roman"/>
          <w:sz w:val="24"/>
          <w:szCs w:val="24"/>
          <w:lang w:val="en-GB"/>
        </w:rPr>
      </w:pPr>
      <w:r w:rsidRPr="00611AB3">
        <w:rPr>
          <w:rFonts w:ascii="Times New Roman" w:hAnsi="Times New Roman" w:cs="Times New Roman"/>
          <w:sz w:val="24"/>
          <w:szCs w:val="24"/>
          <w:lang w:val="en-GB"/>
        </w:rPr>
        <w:t>(18)</w:t>
      </w:r>
      <w:r w:rsidRPr="00611AB3">
        <w:rPr>
          <w:rFonts w:ascii="Times New Roman" w:hAnsi="Times New Roman" w:cs="Times New Roman"/>
          <w:sz w:val="24"/>
          <w:szCs w:val="24"/>
          <w:lang w:val="en-GB"/>
        </w:rPr>
        <w:tab/>
        <w:t>l. 167: ocean warming is mentioned, thus the authors should also include citations from studies that show observed ocean warming in the past decades.</w:t>
      </w:r>
    </w:p>
    <w:p w14:paraId="26465E0A" w14:textId="4F692103" w:rsidR="007A52D8" w:rsidRDefault="007A52D8" w:rsidP="004E1CA4">
      <w:pPr>
        <w:rPr>
          <w:rFonts w:ascii="Times New Roman" w:hAnsi="Times New Roman" w:cs="Times New Roman"/>
          <w:color w:val="EE0000"/>
          <w:sz w:val="24"/>
          <w:szCs w:val="24"/>
          <w:lang w:val="en-GB"/>
        </w:rPr>
      </w:pPr>
      <w:r w:rsidRPr="007A52D8">
        <w:rPr>
          <w:rFonts w:ascii="Times New Roman" w:hAnsi="Times New Roman" w:cs="Times New Roman"/>
          <w:color w:val="EE0000"/>
          <w:sz w:val="24"/>
          <w:szCs w:val="24"/>
          <w:lang w:val="en-GB"/>
        </w:rPr>
        <w:t>Observational references documenting recent ocean warming have now been added to support this statement.</w:t>
      </w:r>
      <w:r>
        <w:rPr>
          <w:rFonts w:ascii="Times New Roman" w:hAnsi="Times New Roman" w:cs="Times New Roman"/>
          <w:color w:val="EE0000"/>
          <w:sz w:val="24"/>
          <w:szCs w:val="24"/>
          <w:lang w:val="en-GB"/>
        </w:rPr>
        <w:t xml:space="preserve"> Notably:</w:t>
      </w:r>
    </w:p>
    <w:p w14:paraId="7E1282AE" w14:textId="2112A81A" w:rsidR="007A52D8" w:rsidRPr="003F27A2" w:rsidRDefault="006F407A" w:rsidP="004E1CA4">
      <w:pPr>
        <w:pStyle w:val="ListParagraph"/>
        <w:numPr>
          <w:ilvl w:val="0"/>
          <w:numId w:val="17"/>
        </w:numPr>
        <w:rPr>
          <w:rFonts w:ascii="Times New Roman" w:hAnsi="Times New Roman" w:cs="Times New Roman"/>
          <w:color w:val="EE0000"/>
          <w:sz w:val="24"/>
          <w:szCs w:val="24"/>
          <w:lang w:val="en-GB"/>
        </w:rPr>
      </w:pPr>
      <w:r w:rsidRPr="006F407A">
        <w:rPr>
          <w:rFonts w:ascii="Times New Roman" w:hAnsi="Times New Roman" w:cs="Times New Roman"/>
          <w:color w:val="EE0000"/>
          <w:sz w:val="24"/>
          <w:szCs w:val="24"/>
          <w:lang w:val="en-GB"/>
        </w:rPr>
        <w:t xml:space="preserve">Levitus, S., et al. (2012). World ocean heat content and thermosteric sea level change </w:t>
      </w:r>
      <w:r w:rsidRPr="003F27A2">
        <w:rPr>
          <w:rFonts w:ascii="Times New Roman" w:hAnsi="Times New Roman" w:cs="Times New Roman"/>
          <w:color w:val="EE0000"/>
          <w:sz w:val="24"/>
          <w:szCs w:val="24"/>
          <w:lang w:val="en-GB"/>
        </w:rPr>
        <w:t xml:space="preserve">(0–2000 m),1955–2010. Geophysical Research Letters, 39(10), L10603. </w:t>
      </w:r>
      <w:hyperlink r:id="rId19" w:history="1">
        <w:r w:rsidRPr="003F27A2">
          <w:rPr>
            <w:rStyle w:val="Hyperlink"/>
            <w:rFonts w:ascii="Times New Roman" w:hAnsi="Times New Roman" w:cs="Times New Roman"/>
            <w:sz w:val="24"/>
            <w:szCs w:val="24"/>
            <w:lang w:val="en-GB"/>
          </w:rPr>
          <w:t>https://doi.org/10.1029/2012GL051106</w:t>
        </w:r>
      </w:hyperlink>
    </w:p>
    <w:p w14:paraId="151E0D28" w14:textId="1090A44D" w:rsidR="006F407A" w:rsidRPr="003F27A2" w:rsidRDefault="003F27A2" w:rsidP="004E1CA4">
      <w:pPr>
        <w:pStyle w:val="ListParagraph"/>
        <w:numPr>
          <w:ilvl w:val="0"/>
          <w:numId w:val="17"/>
        </w:numPr>
        <w:rPr>
          <w:rFonts w:ascii="Times New Roman" w:hAnsi="Times New Roman" w:cs="Times New Roman"/>
          <w:color w:val="EE0000"/>
          <w:sz w:val="24"/>
          <w:szCs w:val="24"/>
          <w:lang w:val="en-GB"/>
        </w:rPr>
      </w:pPr>
      <w:r w:rsidRPr="003F27A2">
        <w:rPr>
          <w:rFonts w:ascii="Times New Roman" w:hAnsi="Times New Roman" w:cs="Times New Roman"/>
          <w:color w:val="EE0000"/>
          <w:sz w:val="24"/>
          <w:szCs w:val="24"/>
          <w:lang w:val="en-GB"/>
        </w:rPr>
        <w:t>Cheng, L., et al. (2017). Improved estimates of ocean heat content from 1960 to 2015. Science Advances, 3(3), e1601545. </w:t>
      </w:r>
      <w:hyperlink r:id="rId20" w:history="1">
        <w:r w:rsidRPr="00241BB1">
          <w:rPr>
            <w:rStyle w:val="Hyperlink"/>
            <w:rFonts w:ascii="Times New Roman" w:hAnsi="Times New Roman" w:cs="Times New Roman"/>
            <w:sz w:val="24"/>
            <w:szCs w:val="24"/>
            <w:lang w:val="en-GB"/>
          </w:rPr>
          <w:t>https://doi.org/10.1126/sciadv.1601545</w:t>
        </w:r>
      </w:hyperlink>
      <w:r>
        <w:rPr>
          <w:rFonts w:ascii="Times New Roman" w:hAnsi="Times New Roman" w:cs="Times New Roman"/>
          <w:color w:val="EE0000"/>
          <w:sz w:val="24"/>
          <w:szCs w:val="24"/>
          <w:lang w:val="en-GB"/>
        </w:rPr>
        <w:t xml:space="preserve"> </w:t>
      </w:r>
    </w:p>
    <w:p w14:paraId="73390138" w14:textId="77777777" w:rsidR="005839C1" w:rsidRDefault="005839C1" w:rsidP="004E1CA4">
      <w:pPr>
        <w:rPr>
          <w:rFonts w:ascii="Times New Roman" w:hAnsi="Times New Roman" w:cs="Times New Roman"/>
          <w:sz w:val="24"/>
          <w:szCs w:val="24"/>
          <w:lang w:val="en-GB"/>
        </w:rPr>
      </w:pPr>
      <w:r w:rsidRPr="00611AB3">
        <w:rPr>
          <w:rFonts w:ascii="Times New Roman" w:hAnsi="Times New Roman" w:cs="Times New Roman"/>
          <w:sz w:val="24"/>
          <w:szCs w:val="24"/>
          <w:lang w:val="en-GB"/>
        </w:rPr>
        <w:lastRenderedPageBreak/>
        <w:t>(19)</w:t>
      </w:r>
      <w:r w:rsidRPr="00611AB3">
        <w:rPr>
          <w:rFonts w:ascii="Times New Roman" w:hAnsi="Times New Roman" w:cs="Times New Roman"/>
          <w:sz w:val="24"/>
          <w:szCs w:val="24"/>
          <w:lang w:val="en-GB"/>
        </w:rPr>
        <w:tab/>
        <w:t>l. 166: How about Labrador Sea and subpolar North Atlantic, which have recently experienced cooling (instead of warming) but yet the analysis indicates a reduced BCP?</w:t>
      </w:r>
    </w:p>
    <w:p w14:paraId="3D170F79" w14:textId="77777777" w:rsidR="001376D6" w:rsidRDefault="001376D6" w:rsidP="005C6D3C">
      <w:pPr>
        <w:rPr>
          <w:rFonts w:ascii="Times New Roman" w:hAnsi="Times New Roman" w:cs="Times New Roman"/>
          <w:color w:val="EE0000"/>
          <w:sz w:val="24"/>
          <w:szCs w:val="24"/>
          <w:lang w:val="en-GB"/>
        </w:rPr>
      </w:pPr>
      <w:r w:rsidRPr="001376D6">
        <w:rPr>
          <w:rFonts w:ascii="Times New Roman" w:hAnsi="Times New Roman" w:cs="Times New Roman"/>
          <w:color w:val="EE0000"/>
          <w:sz w:val="24"/>
          <w:szCs w:val="24"/>
          <w:lang w:val="en-GB"/>
        </w:rPr>
        <w:t>We agree and have revised the text accordingly. In the revised manuscript, we explicitly note that reduced DIC</w:t>
      </w:r>
      <w:r w:rsidRPr="001376D6">
        <w:rPr>
          <w:rFonts w:ascii="Times New Roman" w:hAnsi="Times New Roman" w:cs="Times New Roman"/>
          <w:color w:val="EE0000"/>
          <w:sz w:val="24"/>
          <w:szCs w:val="24"/>
          <w:vertAlign w:val="subscript"/>
          <w:lang w:val="en-GB"/>
        </w:rPr>
        <w:t>soft</w:t>
      </w:r>
      <w:r w:rsidRPr="001376D6">
        <w:rPr>
          <w:rFonts w:ascii="Times New Roman" w:hAnsi="Times New Roman" w:cs="Times New Roman"/>
          <w:color w:val="EE0000"/>
          <w:sz w:val="24"/>
          <w:szCs w:val="24"/>
          <w:lang w:val="en-GB"/>
        </w:rPr>
        <w:t xml:space="preserve"> accumulation in the Labrador Sea and subpolar North Atlantic occurs despite recent surface cooling. We therefore no longer frame this pattern as a simple warming-driven response, but instead interpret it in the context of ventilation and overturning changes, supported by the new physical-context analysis in Figure 3. </w:t>
      </w:r>
    </w:p>
    <w:p w14:paraId="6CF0A5E5" w14:textId="7597013A" w:rsidR="005839C1" w:rsidRDefault="005839C1" w:rsidP="005C6D3C">
      <w:pPr>
        <w:rPr>
          <w:rFonts w:ascii="Times New Roman" w:hAnsi="Times New Roman" w:cs="Times New Roman"/>
          <w:sz w:val="24"/>
          <w:szCs w:val="24"/>
          <w:lang w:val="en-GB"/>
        </w:rPr>
      </w:pPr>
      <w:r w:rsidRPr="00611AB3">
        <w:rPr>
          <w:rFonts w:ascii="Times New Roman" w:hAnsi="Times New Roman" w:cs="Times New Roman"/>
          <w:sz w:val="24"/>
          <w:szCs w:val="24"/>
          <w:lang w:val="en-GB"/>
        </w:rPr>
        <w:t>(20)</w:t>
      </w:r>
      <w:r w:rsidRPr="00611AB3">
        <w:rPr>
          <w:rFonts w:ascii="Times New Roman" w:hAnsi="Times New Roman" w:cs="Times New Roman"/>
          <w:sz w:val="24"/>
          <w:szCs w:val="24"/>
          <w:lang w:val="en-GB"/>
        </w:rPr>
        <w:tab/>
        <w:t>l. 170: "Reduced particle exports likely ..." another hand-waving statement. The authors also need to show evidences/supports of ’Reduced export’ to back up this statement.</w:t>
      </w:r>
    </w:p>
    <w:p w14:paraId="63B16A16" w14:textId="4626118F" w:rsidR="00871759" w:rsidRPr="00871759" w:rsidRDefault="00871759" w:rsidP="00871759">
      <w:pPr>
        <w:rPr>
          <w:rFonts w:ascii="Times New Roman" w:hAnsi="Times New Roman" w:cs="Times New Roman"/>
          <w:color w:val="EE0000"/>
          <w:sz w:val="24"/>
          <w:szCs w:val="24"/>
          <w:lang w:val="en-GB"/>
        </w:rPr>
      </w:pPr>
      <w:r w:rsidRPr="00871759">
        <w:rPr>
          <w:rFonts w:ascii="Times New Roman" w:hAnsi="Times New Roman" w:cs="Times New Roman"/>
          <w:color w:val="EE0000"/>
          <w:sz w:val="24"/>
          <w:szCs w:val="24"/>
          <w:lang w:val="en-GB"/>
        </w:rPr>
        <w:t>We agree. Because our framework diagnoses remineralized DIC (</w:t>
      </w:r>
      <w:r w:rsidR="001A1185" w:rsidRPr="001376D6">
        <w:rPr>
          <w:rFonts w:ascii="Times New Roman" w:hAnsi="Times New Roman" w:cs="Times New Roman"/>
          <w:color w:val="EE0000"/>
          <w:sz w:val="24"/>
          <w:szCs w:val="24"/>
          <w:lang w:val="en-GB"/>
        </w:rPr>
        <w:t>DIC</w:t>
      </w:r>
      <w:r w:rsidR="001A1185" w:rsidRPr="001376D6">
        <w:rPr>
          <w:rFonts w:ascii="Times New Roman" w:hAnsi="Times New Roman" w:cs="Times New Roman"/>
          <w:color w:val="EE0000"/>
          <w:sz w:val="24"/>
          <w:szCs w:val="24"/>
          <w:vertAlign w:val="subscript"/>
          <w:lang w:val="en-GB"/>
        </w:rPr>
        <w:t>soft</w:t>
      </w:r>
      <w:r w:rsidRPr="00871759">
        <w:rPr>
          <w:rFonts w:ascii="Times New Roman" w:hAnsi="Times New Roman" w:cs="Times New Roman"/>
          <w:color w:val="EE0000"/>
          <w:sz w:val="24"/>
          <w:szCs w:val="24"/>
          <w:lang w:val="en-GB"/>
        </w:rPr>
        <w:t>) from oxygen/AOU, it does not provide an independent constraint on particle export. We have therefore removed the statement implying that reduced export was shown by our analysis.</w:t>
      </w:r>
    </w:p>
    <w:p w14:paraId="281D54EA" w14:textId="6323E62D" w:rsidR="00871759" w:rsidRDefault="00871759" w:rsidP="00871759">
      <w:pPr>
        <w:rPr>
          <w:rFonts w:ascii="Times New Roman" w:hAnsi="Times New Roman" w:cs="Times New Roman"/>
          <w:color w:val="EE0000"/>
          <w:sz w:val="24"/>
          <w:szCs w:val="24"/>
          <w:lang w:val="en-GB"/>
        </w:rPr>
      </w:pPr>
      <w:r w:rsidRPr="00871759">
        <w:rPr>
          <w:rFonts w:ascii="Times New Roman" w:hAnsi="Times New Roman" w:cs="Times New Roman"/>
          <w:color w:val="EE0000"/>
          <w:sz w:val="24"/>
          <w:szCs w:val="24"/>
          <w:lang w:val="en-GB"/>
        </w:rPr>
        <w:t>The revised text now refers only to quantities directly diagnosed from the reconstruction—</w:t>
      </w:r>
      <w:r w:rsidR="001A1185" w:rsidRPr="001A1185">
        <w:rPr>
          <w:rFonts w:ascii="Times New Roman" w:hAnsi="Times New Roman" w:cs="Times New Roman"/>
          <w:color w:val="EE0000"/>
          <w:sz w:val="24"/>
          <w:szCs w:val="24"/>
          <w:lang w:val="en-GB"/>
        </w:rPr>
        <w:t xml:space="preserve"> </w:t>
      </w:r>
      <w:r w:rsidR="001A1185" w:rsidRPr="001376D6">
        <w:rPr>
          <w:rFonts w:ascii="Times New Roman" w:hAnsi="Times New Roman" w:cs="Times New Roman"/>
          <w:color w:val="EE0000"/>
          <w:sz w:val="24"/>
          <w:szCs w:val="24"/>
          <w:lang w:val="en-GB"/>
        </w:rPr>
        <w:t>DIC</w:t>
      </w:r>
      <w:r w:rsidR="001A1185" w:rsidRPr="001376D6">
        <w:rPr>
          <w:rFonts w:ascii="Times New Roman" w:hAnsi="Times New Roman" w:cs="Times New Roman"/>
          <w:color w:val="EE0000"/>
          <w:sz w:val="24"/>
          <w:szCs w:val="24"/>
          <w:vertAlign w:val="subscript"/>
          <w:lang w:val="en-GB"/>
        </w:rPr>
        <w:t>soft</w:t>
      </w:r>
      <w:r w:rsidR="001A1185" w:rsidRPr="001376D6">
        <w:rPr>
          <w:rFonts w:ascii="Times New Roman" w:hAnsi="Times New Roman" w:cs="Times New Roman"/>
          <w:color w:val="EE0000"/>
          <w:sz w:val="24"/>
          <w:szCs w:val="24"/>
          <w:lang w:val="en-GB"/>
        </w:rPr>
        <w:t xml:space="preserve"> </w:t>
      </w:r>
      <w:r w:rsidRPr="00871759">
        <w:rPr>
          <w:rFonts w:ascii="Times New Roman" w:hAnsi="Times New Roman" w:cs="Times New Roman"/>
          <w:color w:val="EE0000"/>
          <w:sz w:val="24"/>
          <w:szCs w:val="24"/>
          <w:lang w:val="en-GB"/>
        </w:rPr>
        <w:t xml:space="preserve">trend profiles, band-integrated </w:t>
      </w:r>
      <w:r w:rsidR="001A1185" w:rsidRPr="001376D6">
        <w:rPr>
          <w:rFonts w:ascii="Times New Roman" w:hAnsi="Times New Roman" w:cs="Times New Roman"/>
          <w:color w:val="EE0000"/>
          <w:sz w:val="24"/>
          <w:szCs w:val="24"/>
          <w:lang w:val="en-GB"/>
        </w:rPr>
        <w:t>DIC</w:t>
      </w:r>
      <w:r w:rsidR="001A1185" w:rsidRPr="001376D6">
        <w:rPr>
          <w:rFonts w:ascii="Times New Roman" w:hAnsi="Times New Roman" w:cs="Times New Roman"/>
          <w:color w:val="EE0000"/>
          <w:sz w:val="24"/>
          <w:szCs w:val="24"/>
          <w:vertAlign w:val="subscript"/>
          <w:lang w:val="en-GB"/>
        </w:rPr>
        <w:t>soft</w:t>
      </w:r>
      <w:r w:rsidR="001A1185" w:rsidRPr="001376D6">
        <w:rPr>
          <w:rFonts w:ascii="Times New Roman" w:hAnsi="Times New Roman" w:cs="Times New Roman"/>
          <w:color w:val="EE0000"/>
          <w:sz w:val="24"/>
          <w:szCs w:val="24"/>
          <w:lang w:val="en-GB"/>
        </w:rPr>
        <w:t xml:space="preserve"> </w:t>
      </w:r>
      <w:r w:rsidRPr="00871759">
        <w:rPr>
          <w:rFonts w:ascii="Times New Roman" w:hAnsi="Times New Roman" w:cs="Times New Roman"/>
          <w:color w:val="EE0000"/>
          <w:sz w:val="24"/>
          <w:szCs w:val="24"/>
          <w:lang w:val="en-GB"/>
        </w:rPr>
        <w:t xml:space="preserve">trends, sub-winter mixed-layer </w:t>
      </w:r>
      <w:r w:rsidR="001A1185" w:rsidRPr="001376D6">
        <w:rPr>
          <w:rFonts w:ascii="Times New Roman" w:hAnsi="Times New Roman" w:cs="Times New Roman"/>
          <w:color w:val="EE0000"/>
          <w:sz w:val="24"/>
          <w:szCs w:val="24"/>
          <w:lang w:val="en-GB"/>
        </w:rPr>
        <w:t>DIC</w:t>
      </w:r>
      <w:r w:rsidR="001A1185" w:rsidRPr="001376D6">
        <w:rPr>
          <w:rFonts w:ascii="Times New Roman" w:hAnsi="Times New Roman" w:cs="Times New Roman"/>
          <w:color w:val="EE0000"/>
          <w:sz w:val="24"/>
          <w:szCs w:val="24"/>
          <w:vertAlign w:val="subscript"/>
          <w:lang w:val="en-GB"/>
        </w:rPr>
        <w:t>soft</w:t>
      </w:r>
      <w:r w:rsidR="001A1185" w:rsidRPr="001376D6">
        <w:rPr>
          <w:rFonts w:ascii="Times New Roman" w:hAnsi="Times New Roman" w:cs="Times New Roman"/>
          <w:color w:val="EE0000"/>
          <w:sz w:val="24"/>
          <w:szCs w:val="24"/>
          <w:lang w:val="en-GB"/>
        </w:rPr>
        <w:t xml:space="preserve"> </w:t>
      </w:r>
      <w:r w:rsidRPr="00871759">
        <w:rPr>
          <w:rFonts w:ascii="Times New Roman" w:hAnsi="Times New Roman" w:cs="Times New Roman"/>
          <w:color w:val="EE0000"/>
          <w:sz w:val="24"/>
          <w:szCs w:val="24"/>
          <w:lang w:val="en-GB"/>
        </w:rPr>
        <w:t xml:space="preserve">storage, and 50% storage depth—and interprets these patterns in terms of redistribution and physical isolation of remineralized carbon, contextualized by stratification and ideal age (Fig. 3). Any discussion of export-related mechanisms is now explicitly presented as literature-based hypothesis rather than as a result of this study. </w:t>
      </w:r>
    </w:p>
    <w:p w14:paraId="4DB63E37" w14:textId="0FA0D523" w:rsidR="005839C1" w:rsidRDefault="005839C1" w:rsidP="00871759">
      <w:pPr>
        <w:rPr>
          <w:rFonts w:ascii="Times New Roman" w:hAnsi="Times New Roman" w:cs="Times New Roman"/>
          <w:sz w:val="24"/>
          <w:szCs w:val="24"/>
          <w:lang w:val="en-GB"/>
        </w:rPr>
      </w:pPr>
      <w:r w:rsidRPr="00611AB3">
        <w:rPr>
          <w:rFonts w:ascii="Times New Roman" w:hAnsi="Times New Roman" w:cs="Times New Roman"/>
          <w:sz w:val="24"/>
          <w:szCs w:val="24"/>
          <w:lang w:val="en-GB"/>
        </w:rPr>
        <w:t>(21)</w:t>
      </w:r>
      <w:r w:rsidRPr="00611AB3">
        <w:rPr>
          <w:rFonts w:ascii="Times New Roman" w:hAnsi="Times New Roman" w:cs="Times New Roman"/>
          <w:sz w:val="24"/>
          <w:szCs w:val="24"/>
          <w:lang w:val="en-GB"/>
        </w:rPr>
        <w:tab/>
        <w:t>l. 183: Fig. 4 is referenced before Fig. 3</w:t>
      </w:r>
    </w:p>
    <w:p w14:paraId="6F7312BB" w14:textId="0D45AA7F" w:rsidR="00BE164F" w:rsidRPr="00970FD1" w:rsidRDefault="00970FD1" w:rsidP="004E1CA4">
      <w:pPr>
        <w:rPr>
          <w:rFonts w:ascii="Times New Roman" w:hAnsi="Times New Roman" w:cs="Times New Roman"/>
          <w:color w:val="EE0000"/>
          <w:sz w:val="24"/>
          <w:szCs w:val="24"/>
          <w:lang w:val="en-GB"/>
        </w:rPr>
      </w:pPr>
      <w:r w:rsidRPr="00970FD1">
        <w:rPr>
          <w:rFonts w:ascii="Times New Roman" w:hAnsi="Times New Roman" w:cs="Times New Roman"/>
          <w:color w:val="EE0000"/>
          <w:sz w:val="24"/>
          <w:szCs w:val="24"/>
          <w:lang w:val="en-GB"/>
        </w:rPr>
        <w:t>Figures have been reordered so that they are now introduced and referenced in numerical order throughout the manuscript.</w:t>
      </w:r>
    </w:p>
    <w:p w14:paraId="66B1A0B9" w14:textId="11E3FE3B" w:rsidR="005839C1" w:rsidRDefault="005839C1" w:rsidP="004E1CA4">
      <w:pPr>
        <w:rPr>
          <w:rFonts w:ascii="Times New Roman" w:hAnsi="Times New Roman" w:cs="Times New Roman"/>
          <w:sz w:val="24"/>
          <w:szCs w:val="24"/>
          <w:lang w:val="en-GB"/>
        </w:rPr>
      </w:pPr>
      <w:r w:rsidRPr="00611AB3">
        <w:rPr>
          <w:rFonts w:ascii="Times New Roman" w:hAnsi="Times New Roman" w:cs="Times New Roman"/>
          <w:sz w:val="24"/>
          <w:szCs w:val="24"/>
          <w:lang w:val="en-GB"/>
        </w:rPr>
        <w:t>(22)</w:t>
      </w:r>
      <w:r w:rsidRPr="00611AB3">
        <w:rPr>
          <w:rFonts w:ascii="Times New Roman" w:hAnsi="Times New Roman" w:cs="Times New Roman"/>
          <w:sz w:val="24"/>
          <w:szCs w:val="24"/>
          <w:lang w:val="en-GB"/>
        </w:rPr>
        <w:tab/>
        <w:t>l. 188-192: inappropriate references, which are mostly modelling studies on future projections. Observational studies that support the statement ’shifts toward smaller phytoplankton’ due to warming, acidification, and nutrient limitation are needed.</w:t>
      </w:r>
    </w:p>
    <w:p w14:paraId="242B9D6F" w14:textId="77777777" w:rsidR="007C32C9" w:rsidRDefault="007C32C9" w:rsidP="004E1CA4">
      <w:pPr>
        <w:rPr>
          <w:rFonts w:ascii="Times New Roman" w:hAnsi="Times New Roman" w:cs="Times New Roman"/>
          <w:sz w:val="24"/>
          <w:szCs w:val="24"/>
          <w:lang w:val="en-GB"/>
        </w:rPr>
      </w:pPr>
      <w:r w:rsidRPr="00611AB3">
        <w:rPr>
          <w:rFonts w:ascii="Times New Roman" w:hAnsi="Times New Roman" w:cs="Times New Roman"/>
          <w:sz w:val="24"/>
          <w:szCs w:val="24"/>
          <w:lang w:val="en-GB"/>
        </w:rPr>
        <w:t>(23)</w:t>
      </w:r>
      <w:r w:rsidRPr="00611AB3">
        <w:rPr>
          <w:rFonts w:ascii="Times New Roman" w:hAnsi="Times New Roman" w:cs="Times New Roman"/>
          <w:sz w:val="24"/>
          <w:szCs w:val="24"/>
          <w:lang w:val="en-GB"/>
        </w:rPr>
        <w:tab/>
        <w:t>l. 192-195: hand-waving statement that is not supported by any references.</w:t>
      </w:r>
    </w:p>
    <w:p w14:paraId="532719D4" w14:textId="42B619BC" w:rsidR="00621C76" w:rsidRDefault="007C32C9" w:rsidP="004E1CA4">
      <w:pPr>
        <w:rPr>
          <w:rFonts w:ascii="Times New Roman" w:hAnsi="Times New Roman" w:cs="Times New Roman"/>
          <w:color w:val="EE0000"/>
          <w:sz w:val="24"/>
          <w:szCs w:val="24"/>
          <w:lang w:val="en-GB"/>
        </w:rPr>
      </w:pPr>
      <w:r w:rsidRPr="007C32C9">
        <w:rPr>
          <w:rFonts w:ascii="Times New Roman" w:hAnsi="Times New Roman" w:cs="Times New Roman"/>
          <w:color w:val="EE0000"/>
          <w:sz w:val="24"/>
          <w:szCs w:val="24"/>
          <w:lang w:val="en-GB"/>
        </w:rPr>
        <w:t>With respect to (22) and (23)</w:t>
      </w:r>
      <w:r w:rsidR="00621C76">
        <w:rPr>
          <w:rFonts w:ascii="Times New Roman" w:hAnsi="Times New Roman" w:cs="Times New Roman"/>
          <w:color w:val="EE0000"/>
          <w:sz w:val="24"/>
          <w:szCs w:val="24"/>
          <w:lang w:val="en-GB"/>
        </w:rPr>
        <w:t>, w</w:t>
      </w:r>
      <w:r w:rsidR="00621C76" w:rsidRPr="00621C76">
        <w:rPr>
          <w:rFonts w:ascii="Times New Roman" w:hAnsi="Times New Roman" w:cs="Times New Roman"/>
          <w:color w:val="EE0000"/>
          <w:sz w:val="24"/>
          <w:szCs w:val="24"/>
          <w:lang w:val="en-GB"/>
        </w:rPr>
        <w:t xml:space="preserve">e have revised the text to remove unsupported causal language and now frame the observed </w:t>
      </w:r>
      <w:r w:rsidR="005335EA" w:rsidRPr="001376D6">
        <w:rPr>
          <w:rFonts w:ascii="Times New Roman" w:hAnsi="Times New Roman" w:cs="Times New Roman"/>
          <w:color w:val="EE0000"/>
          <w:sz w:val="24"/>
          <w:szCs w:val="24"/>
          <w:lang w:val="en-GB"/>
        </w:rPr>
        <w:t>DIC</w:t>
      </w:r>
      <w:r w:rsidR="005335EA" w:rsidRPr="001376D6">
        <w:rPr>
          <w:rFonts w:ascii="Times New Roman" w:hAnsi="Times New Roman" w:cs="Times New Roman"/>
          <w:color w:val="EE0000"/>
          <w:sz w:val="24"/>
          <w:szCs w:val="24"/>
          <w:vertAlign w:val="subscript"/>
          <w:lang w:val="en-GB"/>
        </w:rPr>
        <w:t>soft</w:t>
      </w:r>
      <w:r w:rsidR="005335EA" w:rsidRPr="00621C76">
        <w:rPr>
          <w:rFonts w:ascii="Times New Roman" w:hAnsi="Times New Roman" w:cs="Times New Roman"/>
          <w:color w:val="EE0000"/>
          <w:sz w:val="24"/>
          <w:szCs w:val="24"/>
          <w:lang w:val="en-GB"/>
        </w:rPr>
        <w:t xml:space="preserve"> </w:t>
      </w:r>
      <w:r w:rsidR="00621C76" w:rsidRPr="00621C76">
        <w:rPr>
          <w:rFonts w:ascii="Times New Roman" w:hAnsi="Times New Roman" w:cs="Times New Roman"/>
          <w:color w:val="EE0000"/>
          <w:sz w:val="24"/>
          <w:szCs w:val="24"/>
          <w:lang w:val="en-GB"/>
        </w:rPr>
        <w:t xml:space="preserve">patterns as being consistent with previously documented ecosystem changes under warming and stratification, rather than as direct evidence of such changes from our analysis. We also revised the supporting references so that this statement is better grounded in the literature on observed and documented changes in ecosystem structure and export efficiency in subtropical gyres. </w:t>
      </w:r>
    </w:p>
    <w:p w14:paraId="2F9C223A" w14:textId="52CB0FB9" w:rsidR="005839C1" w:rsidRDefault="005839C1" w:rsidP="004E1CA4">
      <w:pPr>
        <w:rPr>
          <w:rFonts w:ascii="Times New Roman" w:hAnsi="Times New Roman" w:cs="Times New Roman"/>
          <w:sz w:val="24"/>
          <w:szCs w:val="24"/>
          <w:lang w:val="en-GB"/>
        </w:rPr>
      </w:pPr>
      <w:r w:rsidRPr="00611AB3">
        <w:rPr>
          <w:rFonts w:ascii="Times New Roman" w:hAnsi="Times New Roman" w:cs="Times New Roman"/>
          <w:sz w:val="24"/>
          <w:szCs w:val="24"/>
          <w:lang w:val="en-GB"/>
        </w:rPr>
        <w:t>(24)</w:t>
      </w:r>
      <w:r w:rsidRPr="00611AB3">
        <w:rPr>
          <w:rFonts w:ascii="Times New Roman" w:hAnsi="Times New Roman" w:cs="Times New Roman"/>
          <w:sz w:val="24"/>
          <w:szCs w:val="24"/>
          <w:lang w:val="en-GB"/>
        </w:rPr>
        <w:tab/>
        <w:t>l. 193: western subtropical North Pacific</w:t>
      </w:r>
    </w:p>
    <w:p w14:paraId="71044434" w14:textId="244824BF" w:rsidR="002C03D2" w:rsidRPr="00611AB3" w:rsidRDefault="002C03D2" w:rsidP="004E1CA4">
      <w:pPr>
        <w:rPr>
          <w:rFonts w:ascii="Times New Roman" w:hAnsi="Times New Roman" w:cs="Times New Roman"/>
          <w:sz w:val="24"/>
          <w:szCs w:val="24"/>
          <w:lang w:val="en-GB"/>
        </w:rPr>
      </w:pPr>
      <w:r w:rsidRPr="009617F7">
        <w:rPr>
          <w:rFonts w:ascii="Times New Roman" w:hAnsi="Times New Roman" w:cs="Times New Roman"/>
          <w:color w:val="EE0000"/>
          <w:sz w:val="24"/>
          <w:szCs w:val="24"/>
          <w:lang w:val="en-GB"/>
        </w:rPr>
        <w:t>The text has been revised</w:t>
      </w:r>
      <w:r>
        <w:rPr>
          <w:rFonts w:ascii="Times New Roman" w:hAnsi="Times New Roman" w:cs="Times New Roman"/>
          <w:color w:val="EE0000"/>
          <w:sz w:val="24"/>
          <w:szCs w:val="24"/>
          <w:lang w:val="en-GB"/>
        </w:rPr>
        <w:t>.</w:t>
      </w:r>
    </w:p>
    <w:p w14:paraId="13D9E789" w14:textId="77777777" w:rsidR="005839C1" w:rsidRDefault="005839C1" w:rsidP="004E1CA4">
      <w:pPr>
        <w:rPr>
          <w:rFonts w:ascii="Times New Roman" w:hAnsi="Times New Roman" w:cs="Times New Roman"/>
          <w:sz w:val="24"/>
          <w:szCs w:val="24"/>
          <w:lang w:val="en-GB"/>
        </w:rPr>
      </w:pPr>
      <w:r w:rsidRPr="00611AB3">
        <w:rPr>
          <w:rFonts w:ascii="Times New Roman" w:hAnsi="Times New Roman" w:cs="Times New Roman"/>
          <w:sz w:val="24"/>
          <w:szCs w:val="24"/>
          <w:lang w:val="en-GB"/>
        </w:rPr>
        <w:t>(25)</w:t>
      </w:r>
      <w:r w:rsidRPr="00611AB3">
        <w:rPr>
          <w:rFonts w:ascii="Times New Roman" w:hAnsi="Times New Roman" w:cs="Times New Roman"/>
          <w:sz w:val="24"/>
          <w:szCs w:val="24"/>
          <w:lang w:val="en-GB"/>
        </w:rPr>
        <w:tab/>
        <w:t>l. 195-196: clarify how this decreases long-term carbon storage at depth. Stratification also implies less ventilation in the deep ocean, which increases DICsoft retention.</w:t>
      </w:r>
    </w:p>
    <w:p w14:paraId="52E2B58A" w14:textId="2194B069" w:rsidR="009B1984" w:rsidRDefault="009B1984" w:rsidP="004E1CA4">
      <w:pPr>
        <w:rPr>
          <w:rFonts w:ascii="Times New Roman" w:hAnsi="Times New Roman" w:cs="Times New Roman"/>
          <w:color w:val="EE0000"/>
          <w:sz w:val="24"/>
          <w:szCs w:val="24"/>
          <w:lang w:val="en-GB"/>
        </w:rPr>
      </w:pPr>
      <w:r w:rsidRPr="009B1984">
        <w:rPr>
          <w:rFonts w:ascii="Times New Roman" w:hAnsi="Times New Roman" w:cs="Times New Roman"/>
          <w:color w:val="EE0000"/>
          <w:sz w:val="24"/>
          <w:szCs w:val="24"/>
          <w:lang w:val="en-GB"/>
        </w:rPr>
        <w:t xml:space="preserve">We agree and have clarified this point. In the revised manuscript, we now distinguish explicitly between shallower retention of respired carbon and long-term deep-ocean sequestration. Although stronger stratification can enhance </w:t>
      </w:r>
      <w:r w:rsidR="005335EA" w:rsidRPr="001376D6">
        <w:rPr>
          <w:rFonts w:ascii="Times New Roman" w:hAnsi="Times New Roman" w:cs="Times New Roman"/>
          <w:color w:val="EE0000"/>
          <w:sz w:val="24"/>
          <w:szCs w:val="24"/>
          <w:lang w:val="en-GB"/>
        </w:rPr>
        <w:t>DIC</w:t>
      </w:r>
      <w:r w:rsidR="005335EA" w:rsidRPr="001376D6">
        <w:rPr>
          <w:rFonts w:ascii="Times New Roman" w:hAnsi="Times New Roman" w:cs="Times New Roman"/>
          <w:color w:val="EE0000"/>
          <w:sz w:val="24"/>
          <w:szCs w:val="24"/>
          <w:vertAlign w:val="subscript"/>
          <w:lang w:val="en-GB"/>
        </w:rPr>
        <w:t>soft</w:t>
      </w:r>
      <w:r w:rsidR="005335EA" w:rsidRPr="009B1984">
        <w:rPr>
          <w:rFonts w:ascii="Times New Roman" w:hAnsi="Times New Roman" w:cs="Times New Roman"/>
          <w:color w:val="EE0000"/>
          <w:sz w:val="24"/>
          <w:szCs w:val="24"/>
          <w:lang w:val="en-GB"/>
        </w:rPr>
        <w:t xml:space="preserve"> </w:t>
      </w:r>
      <w:r w:rsidRPr="009B1984">
        <w:rPr>
          <w:rFonts w:ascii="Times New Roman" w:hAnsi="Times New Roman" w:cs="Times New Roman"/>
          <w:color w:val="EE0000"/>
          <w:sz w:val="24"/>
          <w:szCs w:val="24"/>
          <w:lang w:val="en-GB"/>
        </w:rPr>
        <w:t xml:space="preserve">accumulation at shallow or intermediate depths, it can still reduce long-term storage by shifting remineralization upward and limiting </w:t>
      </w:r>
      <w:r w:rsidRPr="009B1984">
        <w:rPr>
          <w:rFonts w:ascii="Times New Roman" w:hAnsi="Times New Roman" w:cs="Times New Roman"/>
          <w:color w:val="EE0000"/>
          <w:sz w:val="24"/>
          <w:szCs w:val="24"/>
          <w:lang w:val="en-GB"/>
        </w:rPr>
        <w:lastRenderedPageBreak/>
        <w:t xml:space="preserve">transfer into the deeper, older, weakly ventilated ocean where isolation times are longest. We now support this interpretation with the new depth-resolved stratification, </w:t>
      </w:r>
      <w:r w:rsidR="005335EA" w:rsidRPr="001376D6">
        <w:rPr>
          <w:rFonts w:ascii="Times New Roman" w:hAnsi="Times New Roman" w:cs="Times New Roman"/>
          <w:color w:val="EE0000"/>
          <w:sz w:val="24"/>
          <w:szCs w:val="24"/>
          <w:lang w:val="en-GB"/>
        </w:rPr>
        <w:t>DIC</w:t>
      </w:r>
      <w:r w:rsidR="005335EA" w:rsidRPr="001376D6">
        <w:rPr>
          <w:rFonts w:ascii="Times New Roman" w:hAnsi="Times New Roman" w:cs="Times New Roman"/>
          <w:color w:val="EE0000"/>
          <w:sz w:val="24"/>
          <w:szCs w:val="24"/>
          <w:vertAlign w:val="subscript"/>
          <w:lang w:val="en-GB"/>
        </w:rPr>
        <w:t>soft</w:t>
      </w:r>
      <w:r w:rsidRPr="009B1984">
        <w:rPr>
          <w:rFonts w:ascii="Times New Roman" w:hAnsi="Times New Roman" w:cs="Times New Roman"/>
          <w:color w:val="EE0000"/>
          <w:sz w:val="24"/>
          <w:szCs w:val="24"/>
          <w:lang w:val="en-GB"/>
        </w:rPr>
        <w:t xml:space="preserve">, and ideal-age diagnostics in Figure 3. </w:t>
      </w:r>
    </w:p>
    <w:p w14:paraId="3460C6FD" w14:textId="2003F535" w:rsidR="005839C1" w:rsidRDefault="005839C1" w:rsidP="004E1CA4">
      <w:pPr>
        <w:rPr>
          <w:rFonts w:ascii="Times New Roman" w:hAnsi="Times New Roman" w:cs="Times New Roman"/>
          <w:sz w:val="24"/>
          <w:szCs w:val="24"/>
          <w:lang w:val="en-GB"/>
        </w:rPr>
      </w:pPr>
      <w:r w:rsidRPr="00611AB3">
        <w:rPr>
          <w:rFonts w:ascii="Times New Roman" w:hAnsi="Times New Roman" w:cs="Times New Roman"/>
          <w:sz w:val="24"/>
          <w:szCs w:val="24"/>
          <w:lang w:val="en-GB"/>
        </w:rPr>
        <w:t>(26)</w:t>
      </w:r>
      <w:r w:rsidRPr="00611AB3">
        <w:rPr>
          <w:rFonts w:ascii="Times New Roman" w:hAnsi="Times New Roman" w:cs="Times New Roman"/>
          <w:sz w:val="24"/>
          <w:szCs w:val="24"/>
          <w:lang w:val="en-GB"/>
        </w:rPr>
        <w:tab/>
        <w:t>l. 211: may slow down</w:t>
      </w:r>
    </w:p>
    <w:p w14:paraId="2A28861C" w14:textId="51044ED5" w:rsidR="002D704E" w:rsidRPr="002D704E" w:rsidRDefault="003D60F4" w:rsidP="004E1CA4">
      <w:pPr>
        <w:rPr>
          <w:rFonts w:ascii="Times New Roman" w:hAnsi="Times New Roman" w:cs="Times New Roman"/>
          <w:color w:val="EE0000"/>
          <w:sz w:val="24"/>
          <w:szCs w:val="24"/>
          <w:lang w:val="en-GB"/>
        </w:rPr>
      </w:pPr>
      <w:r>
        <w:rPr>
          <w:rFonts w:ascii="Times New Roman" w:hAnsi="Times New Roman" w:cs="Times New Roman"/>
          <w:color w:val="EE0000"/>
          <w:sz w:val="24"/>
          <w:szCs w:val="24"/>
          <w:lang w:val="en-GB"/>
        </w:rPr>
        <w:t>The text</w:t>
      </w:r>
      <w:r w:rsidR="002D704E" w:rsidRPr="009617F7">
        <w:rPr>
          <w:rFonts w:ascii="Times New Roman" w:hAnsi="Times New Roman" w:cs="Times New Roman"/>
          <w:color w:val="EE0000"/>
          <w:sz w:val="24"/>
          <w:szCs w:val="24"/>
          <w:lang w:val="en-GB"/>
        </w:rPr>
        <w:t xml:space="preserve"> has been revised</w:t>
      </w:r>
      <w:r w:rsidR="002D704E">
        <w:rPr>
          <w:rFonts w:ascii="Times New Roman" w:hAnsi="Times New Roman" w:cs="Times New Roman"/>
          <w:color w:val="EE0000"/>
          <w:sz w:val="24"/>
          <w:szCs w:val="24"/>
          <w:lang w:val="en-GB"/>
        </w:rPr>
        <w:t>.</w:t>
      </w:r>
    </w:p>
    <w:p w14:paraId="51EF61D6" w14:textId="29140216" w:rsidR="005839C1" w:rsidRDefault="005839C1" w:rsidP="004E1CA4">
      <w:pPr>
        <w:rPr>
          <w:rFonts w:ascii="Times New Roman" w:hAnsi="Times New Roman" w:cs="Times New Roman"/>
          <w:sz w:val="24"/>
          <w:szCs w:val="24"/>
          <w:lang w:val="en-GB"/>
        </w:rPr>
      </w:pPr>
      <w:r w:rsidRPr="00611AB3">
        <w:rPr>
          <w:rFonts w:ascii="Times New Roman" w:hAnsi="Times New Roman" w:cs="Times New Roman"/>
          <w:sz w:val="24"/>
          <w:szCs w:val="24"/>
          <w:lang w:val="en-GB"/>
        </w:rPr>
        <w:t>(27)</w:t>
      </w:r>
      <w:r w:rsidRPr="00611AB3">
        <w:rPr>
          <w:rFonts w:ascii="Times New Roman" w:hAnsi="Times New Roman" w:cs="Times New Roman"/>
          <w:sz w:val="24"/>
          <w:szCs w:val="24"/>
          <w:lang w:val="en-GB"/>
        </w:rPr>
        <w:tab/>
        <w:t>l. 214: do you mean eastern subpolar and Arctic outflow? Please clarify.</w:t>
      </w:r>
    </w:p>
    <w:p w14:paraId="4A84EDA2" w14:textId="3874A003" w:rsidR="0084336C" w:rsidRPr="0084336C" w:rsidRDefault="0084336C" w:rsidP="004E1CA4">
      <w:pPr>
        <w:rPr>
          <w:rFonts w:ascii="Times New Roman" w:hAnsi="Times New Roman" w:cs="Times New Roman"/>
          <w:color w:val="EE0000"/>
          <w:sz w:val="24"/>
          <w:szCs w:val="24"/>
          <w:lang w:val="en-GB"/>
        </w:rPr>
      </w:pPr>
      <w:r w:rsidRPr="0084336C">
        <w:rPr>
          <w:rFonts w:ascii="Times New Roman" w:hAnsi="Times New Roman" w:cs="Times New Roman"/>
          <w:color w:val="EE0000"/>
          <w:sz w:val="24"/>
          <w:szCs w:val="24"/>
          <w:lang w:val="en-GB"/>
        </w:rPr>
        <w:t>The text has been revised to expli</w:t>
      </w:r>
      <w:r w:rsidRPr="00F261DD">
        <w:rPr>
          <w:rFonts w:ascii="Times New Roman" w:hAnsi="Times New Roman" w:cs="Times New Roman"/>
          <w:color w:val="EE0000"/>
          <w:sz w:val="24"/>
          <w:szCs w:val="24"/>
          <w:lang w:val="en-GB"/>
        </w:rPr>
        <w:t>citly</w:t>
      </w:r>
      <w:r w:rsidRPr="0084336C">
        <w:rPr>
          <w:rFonts w:ascii="Times New Roman" w:hAnsi="Times New Roman" w:cs="Times New Roman"/>
          <w:color w:val="EE0000"/>
          <w:sz w:val="24"/>
          <w:szCs w:val="24"/>
          <w:lang w:val="en-GB"/>
        </w:rPr>
        <w:t xml:space="preserve"> refer to Arctic–Nordic Seas overflow pathways and downstream boundary currents (e.g. the East Greenland Current</w:t>
      </w:r>
      <w:r>
        <w:rPr>
          <w:rFonts w:ascii="Times New Roman" w:hAnsi="Times New Roman" w:cs="Times New Roman"/>
          <w:color w:val="EE0000"/>
          <w:sz w:val="24"/>
          <w:szCs w:val="24"/>
          <w:lang w:val="en-GB"/>
        </w:rPr>
        <w:t>).</w:t>
      </w:r>
    </w:p>
    <w:p w14:paraId="6789226F" w14:textId="77777777" w:rsidR="005839C1" w:rsidRDefault="005839C1" w:rsidP="004E1CA4">
      <w:pPr>
        <w:rPr>
          <w:rFonts w:ascii="Times New Roman" w:hAnsi="Times New Roman" w:cs="Times New Roman"/>
          <w:sz w:val="24"/>
          <w:szCs w:val="24"/>
          <w:lang w:val="en-GB"/>
        </w:rPr>
      </w:pPr>
      <w:r w:rsidRPr="00611AB3">
        <w:rPr>
          <w:rFonts w:ascii="Times New Roman" w:hAnsi="Times New Roman" w:cs="Times New Roman"/>
          <w:sz w:val="24"/>
          <w:szCs w:val="24"/>
          <w:lang w:val="en-GB"/>
        </w:rPr>
        <w:t>(28)</w:t>
      </w:r>
      <w:r w:rsidRPr="00611AB3">
        <w:rPr>
          <w:rFonts w:ascii="Times New Roman" w:hAnsi="Times New Roman" w:cs="Times New Roman"/>
          <w:sz w:val="24"/>
          <w:szCs w:val="24"/>
          <w:lang w:val="en-GB"/>
        </w:rPr>
        <w:tab/>
        <w:t>l. 216: The citation to Yashayaev and Loder (2016), which shows strongest ventilation in 2015 since the mid 1990s, contradicts the corresponding statement on reduced ventilation.</w:t>
      </w:r>
    </w:p>
    <w:p w14:paraId="721CD7FD" w14:textId="77E44A14" w:rsidR="00F261DD" w:rsidRPr="00F261DD" w:rsidRDefault="00F261DD" w:rsidP="004E1CA4">
      <w:pPr>
        <w:rPr>
          <w:rFonts w:ascii="Times New Roman" w:hAnsi="Times New Roman" w:cs="Times New Roman"/>
          <w:color w:val="EE0000"/>
          <w:sz w:val="24"/>
          <w:szCs w:val="24"/>
          <w:lang w:val="en-GB"/>
        </w:rPr>
      </w:pPr>
      <w:r w:rsidRPr="00F261DD">
        <w:rPr>
          <w:rFonts w:ascii="Times New Roman" w:hAnsi="Times New Roman" w:cs="Times New Roman"/>
          <w:color w:val="EE0000"/>
          <w:sz w:val="24"/>
          <w:szCs w:val="24"/>
          <w:lang w:val="en-GB"/>
        </w:rPr>
        <w:t>We have revised the text to avoid implying a monotonic reduction in ventilation. The revised wording now reflects the strong interannual variability and episodic deep convection documented by Yashayaev and Loder (2016)</w:t>
      </w:r>
      <w:r>
        <w:rPr>
          <w:rFonts w:ascii="Times New Roman" w:hAnsi="Times New Roman" w:cs="Times New Roman"/>
          <w:color w:val="EE0000"/>
          <w:sz w:val="24"/>
          <w:szCs w:val="24"/>
          <w:lang w:val="en-GB"/>
        </w:rPr>
        <w:t>.</w:t>
      </w:r>
    </w:p>
    <w:p w14:paraId="41187FD4" w14:textId="7F64A428" w:rsidR="005839C1" w:rsidRDefault="005839C1" w:rsidP="004E1CA4">
      <w:pPr>
        <w:rPr>
          <w:rFonts w:ascii="Times New Roman" w:hAnsi="Times New Roman" w:cs="Times New Roman"/>
          <w:sz w:val="24"/>
          <w:szCs w:val="24"/>
          <w:lang w:val="en-GB"/>
        </w:rPr>
      </w:pPr>
      <w:r w:rsidRPr="00611AB3">
        <w:rPr>
          <w:rFonts w:ascii="Times New Roman" w:hAnsi="Times New Roman" w:cs="Times New Roman"/>
          <w:sz w:val="24"/>
          <w:szCs w:val="24"/>
          <w:lang w:val="en-GB"/>
        </w:rPr>
        <w:t>(29)</w:t>
      </w:r>
      <w:r w:rsidRPr="00611AB3">
        <w:rPr>
          <w:rFonts w:ascii="Times New Roman" w:hAnsi="Times New Roman" w:cs="Times New Roman"/>
          <w:sz w:val="24"/>
          <w:szCs w:val="24"/>
          <w:lang w:val="en-GB"/>
        </w:rPr>
        <w:tab/>
        <w:t>l. 218-219: Does this mean that in major Cant uptake regions (N. Atlantic and Southern Ocean), your method is not robust? Pertaining this</w:t>
      </w:r>
      <w:r w:rsidRPr="00740BFA">
        <w:rPr>
          <w:rFonts w:ascii="Times New Roman" w:hAnsi="Times New Roman" w:cs="Times New Roman"/>
          <w:sz w:val="24"/>
          <w:szCs w:val="24"/>
          <w:lang w:val="en-GB"/>
        </w:rPr>
        <w:t>, it is useful to show similar Figure as Fig. 1 but for different ocean domains.</w:t>
      </w:r>
    </w:p>
    <w:p w14:paraId="756FED27" w14:textId="7185630D" w:rsidR="00CC1F35" w:rsidRPr="00CC1F35" w:rsidRDefault="00CC1F35" w:rsidP="00CC1F35">
      <w:pPr>
        <w:rPr>
          <w:rFonts w:ascii="Times New Roman" w:hAnsi="Times New Roman" w:cs="Times New Roman"/>
          <w:color w:val="EE0000"/>
          <w:sz w:val="24"/>
          <w:szCs w:val="24"/>
          <w:lang w:val="en-GB"/>
        </w:rPr>
      </w:pPr>
      <w:r w:rsidRPr="00CC1F35">
        <w:rPr>
          <w:rFonts w:ascii="Times New Roman" w:hAnsi="Times New Roman" w:cs="Times New Roman"/>
          <w:color w:val="EE0000"/>
          <w:sz w:val="24"/>
          <w:szCs w:val="24"/>
          <w:lang w:val="en-GB"/>
        </w:rPr>
        <w:t>This statement does not imply reduced robustness of the method in regions of strong anthropogenic CO</w:t>
      </w:r>
      <w:r w:rsidRPr="00CC1F35">
        <w:rPr>
          <w:rFonts w:ascii="Times New Roman" w:hAnsi="Times New Roman" w:cs="Times New Roman"/>
          <w:color w:val="EE0000"/>
          <w:sz w:val="24"/>
          <w:szCs w:val="24"/>
          <w:vertAlign w:val="subscript"/>
          <w:lang w:val="en-GB"/>
        </w:rPr>
        <w:t>2</w:t>
      </w:r>
      <w:r w:rsidRPr="00CC1F35">
        <w:rPr>
          <w:rFonts w:ascii="Times New Roman" w:hAnsi="Times New Roman" w:cs="Times New Roman"/>
          <w:color w:val="EE0000"/>
          <w:sz w:val="24"/>
          <w:szCs w:val="24"/>
          <w:lang w:val="en-GB"/>
        </w:rPr>
        <w:t xml:space="preserve"> uptake, such as the North Atlantic or Southern Ocean. Rather, it reflects that in upper-ocean layers, biologically driven </w:t>
      </w:r>
      <w:r w:rsidRPr="001376D6">
        <w:rPr>
          <w:rFonts w:ascii="Times New Roman" w:hAnsi="Times New Roman" w:cs="Times New Roman"/>
          <w:color w:val="EE0000"/>
          <w:sz w:val="24"/>
          <w:szCs w:val="24"/>
          <w:lang w:val="en-GB"/>
        </w:rPr>
        <w:t>DIC</w:t>
      </w:r>
      <w:r w:rsidRPr="001376D6">
        <w:rPr>
          <w:rFonts w:ascii="Times New Roman" w:hAnsi="Times New Roman" w:cs="Times New Roman"/>
          <w:color w:val="EE0000"/>
          <w:sz w:val="24"/>
          <w:szCs w:val="24"/>
          <w:vertAlign w:val="subscript"/>
          <w:lang w:val="en-GB"/>
        </w:rPr>
        <w:t>soft</w:t>
      </w:r>
      <w:r w:rsidRPr="009B1984">
        <w:rPr>
          <w:rFonts w:ascii="Times New Roman" w:hAnsi="Times New Roman" w:cs="Times New Roman"/>
          <w:color w:val="EE0000"/>
          <w:sz w:val="24"/>
          <w:szCs w:val="24"/>
          <w:lang w:val="en-GB"/>
        </w:rPr>
        <w:t xml:space="preserve"> </w:t>
      </w:r>
      <w:r w:rsidRPr="00CC1F35">
        <w:rPr>
          <w:rFonts w:ascii="Times New Roman" w:hAnsi="Times New Roman" w:cs="Times New Roman"/>
          <w:color w:val="EE0000"/>
          <w:sz w:val="24"/>
          <w:szCs w:val="24"/>
          <w:lang w:val="en-GB"/>
        </w:rPr>
        <w:t xml:space="preserve">variability can be partially masked by the large and rapidly accumulating anthropogenic signal. Our framework explicitly separates </w:t>
      </w:r>
      <w:r w:rsidRPr="001376D6">
        <w:rPr>
          <w:rFonts w:ascii="Times New Roman" w:hAnsi="Times New Roman" w:cs="Times New Roman"/>
          <w:color w:val="EE0000"/>
          <w:sz w:val="24"/>
          <w:szCs w:val="24"/>
          <w:lang w:val="en-GB"/>
        </w:rPr>
        <w:t>DIC</w:t>
      </w:r>
      <w:r w:rsidRPr="001376D6">
        <w:rPr>
          <w:rFonts w:ascii="Times New Roman" w:hAnsi="Times New Roman" w:cs="Times New Roman"/>
          <w:color w:val="EE0000"/>
          <w:sz w:val="24"/>
          <w:szCs w:val="24"/>
          <w:vertAlign w:val="subscript"/>
          <w:lang w:val="en-GB"/>
        </w:rPr>
        <w:t>soft</w:t>
      </w:r>
      <w:r w:rsidRPr="009B1984">
        <w:rPr>
          <w:rFonts w:ascii="Times New Roman" w:hAnsi="Times New Roman" w:cs="Times New Roman"/>
          <w:color w:val="EE0000"/>
          <w:sz w:val="24"/>
          <w:szCs w:val="24"/>
          <w:lang w:val="en-GB"/>
        </w:rPr>
        <w:t xml:space="preserve"> </w:t>
      </w:r>
      <w:r w:rsidRPr="00CC1F35">
        <w:rPr>
          <w:rFonts w:ascii="Times New Roman" w:hAnsi="Times New Roman" w:cs="Times New Roman"/>
          <w:color w:val="EE0000"/>
          <w:sz w:val="24"/>
          <w:szCs w:val="24"/>
          <w:lang w:val="en-GB"/>
        </w:rPr>
        <w:t xml:space="preserve">into anthropogenic, biological, and carbonate components, allowing </w:t>
      </w:r>
      <w:r w:rsidRPr="001376D6">
        <w:rPr>
          <w:rFonts w:ascii="Times New Roman" w:hAnsi="Times New Roman" w:cs="Times New Roman"/>
          <w:color w:val="EE0000"/>
          <w:sz w:val="24"/>
          <w:szCs w:val="24"/>
          <w:lang w:val="en-GB"/>
        </w:rPr>
        <w:t>DIC</w:t>
      </w:r>
      <w:r w:rsidRPr="001376D6">
        <w:rPr>
          <w:rFonts w:ascii="Times New Roman" w:hAnsi="Times New Roman" w:cs="Times New Roman"/>
          <w:color w:val="EE0000"/>
          <w:sz w:val="24"/>
          <w:szCs w:val="24"/>
          <w:vertAlign w:val="subscript"/>
          <w:lang w:val="en-GB"/>
        </w:rPr>
        <w:t>soft</w:t>
      </w:r>
      <w:r w:rsidRPr="009B1984">
        <w:rPr>
          <w:rFonts w:ascii="Times New Roman" w:hAnsi="Times New Roman" w:cs="Times New Roman"/>
          <w:color w:val="EE0000"/>
          <w:sz w:val="24"/>
          <w:szCs w:val="24"/>
          <w:lang w:val="en-GB"/>
        </w:rPr>
        <w:t xml:space="preserve"> </w:t>
      </w:r>
      <w:r w:rsidRPr="00CC1F35">
        <w:rPr>
          <w:rFonts w:ascii="Times New Roman" w:hAnsi="Times New Roman" w:cs="Times New Roman"/>
          <w:color w:val="EE0000"/>
          <w:sz w:val="24"/>
          <w:szCs w:val="24"/>
          <w:lang w:val="en-GB"/>
        </w:rPr>
        <w:t>trends to be diagnosed even in these regions, while requiring care in interpretation where the signals are superimposed.</w:t>
      </w:r>
    </w:p>
    <w:p w14:paraId="2F70D305" w14:textId="20849517" w:rsidR="00CC1F35" w:rsidRDefault="00CC1F35" w:rsidP="00CC1F35">
      <w:pPr>
        <w:rPr>
          <w:rFonts w:ascii="Times New Roman" w:hAnsi="Times New Roman" w:cs="Times New Roman"/>
          <w:color w:val="EE0000"/>
          <w:sz w:val="24"/>
          <w:szCs w:val="24"/>
          <w:lang w:val="en-GB"/>
        </w:rPr>
      </w:pPr>
      <w:r w:rsidRPr="00CC1F35">
        <w:rPr>
          <w:rFonts w:ascii="Times New Roman" w:hAnsi="Times New Roman" w:cs="Times New Roman"/>
          <w:color w:val="EE0000"/>
          <w:sz w:val="24"/>
          <w:szCs w:val="24"/>
          <w:lang w:val="en-GB"/>
        </w:rPr>
        <w:t xml:space="preserve">To address the reviewer’s suggestion, we now include a new supplementary figure </w:t>
      </w:r>
      <w:r w:rsidR="00AF3AA6">
        <w:rPr>
          <w:rFonts w:ascii="Times New Roman" w:hAnsi="Times New Roman" w:cs="Times New Roman"/>
          <w:color w:val="EE0000"/>
          <w:sz w:val="24"/>
          <w:szCs w:val="24"/>
          <w:lang w:val="en-GB"/>
        </w:rPr>
        <w:t xml:space="preserve">S11 </w:t>
      </w:r>
      <w:r w:rsidRPr="00CC1F35">
        <w:rPr>
          <w:rFonts w:ascii="Times New Roman" w:hAnsi="Times New Roman" w:cs="Times New Roman"/>
          <w:color w:val="EE0000"/>
          <w:sz w:val="24"/>
          <w:szCs w:val="24"/>
          <w:lang w:val="en-GB"/>
        </w:rPr>
        <w:t xml:space="preserve">showing basin-resolved vertical profiles of </w:t>
      </w:r>
      <w:r w:rsidRPr="001376D6">
        <w:rPr>
          <w:rFonts w:ascii="Times New Roman" w:hAnsi="Times New Roman" w:cs="Times New Roman"/>
          <w:color w:val="EE0000"/>
          <w:sz w:val="24"/>
          <w:szCs w:val="24"/>
          <w:lang w:val="en-GB"/>
        </w:rPr>
        <w:t>DIC</w:t>
      </w:r>
      <w:r w:rsidR="00AE0C5B" w:rsidRPr="00AE0C5B">
        <w:rPr>
          <w:rFonts w:ascii="Times New Roman" w:hAnsi="Times New Roman" w:cs="Times New Roman"/>
          <w:color w:val="EE0000"/>
          <w:sz w:val="24"/>
          <w:szCs w:val="24"/>
          <w:vertAlign w:val="subscript"/>
          <w:lang w:val="en-GB"/>
        </w:rPr>
        <w:t>total</w:t>
      </w:r>
      <w:r w:rsidRPr="009B1984">
        <w:rPr>
          <w:rFonts w:ascii="Times New Roman" w:hAnsi="Times New Roman" w:cs="Times New Roman"/>
          <w:color w:val="EE0000"/>
          <w:sz w:val="24"/>
          <w:szCs w:val="24"/>
          <w:lang w:val="en-GB"/>
        </w:rPr>
        <w:t xml:space="preserve"> </w:t>
      </w:r>
      <w:r w:rsidRPr="00CC1F35">
        <w:rPr>
          <w:rFonts w:ascii="Times New Roman" w:hAnsi="Times New Roman" w:cs="Times New Roman"/>
          <w:color w:val="EE0000"/>
          <w:sz w:val="24"/>
          <w:szCs w:val="24"/>
          <w:lang w:val="en-GB"/>
        </w:rPr>
        <w:t xml:space="preserve">and its components for the global ocean and major basins, including the North Atlantic and Southern Ocean. These basin-scale profiles show that the dominant surface increase is associated with </w:t>
      </w:r>
      <w:r w:rsidRPr="001376D6">
        <w:rPr>
          <w:rFonts w:ascii="Times New Roman" w:hAnsi="Times New Roman" w:cs="Times New Roman"/>
          <w:color w:val="EE0000"/>
          <w:sz w:val="24"/>
          <w:szCs w:val="24"/>
          <w:lang w:val="en-GB"/>
        </w:rPr>
        <w:t>DIC</w:t>
      </w:r>
      <w:r w:rsidRPr="001376D6">
        <w:rPr>
          <w:rFonts w:ascii="Times New Roman" w:hAnsi="Times New Roman" w:cs="Times New Roman"/>
          <w:color w:val="EE0000"/>
          <w:sz w:val="24"/>
          <w:szCs w:val="24"/>
          <w:vertAlign w:val="subscript"/>
          <w:lang w:val="en-GB"/>
        </w:rPr>
        <w:t>soft</w:t>
      </w:r>
      <w:r w:rsidRPr="00CC1F35">
        <w:rPr>
          <w:rFonts w:ascii="Times New Roman" w:hAnsi="Times New Roman" w:cs="Times New Roman"/>
          <w:color w:val="EE0000"/>
          <w:sz w:val="24"/>
          <w:szCs w:val="24"/>
          <w:lang w:val="en-GB"/>
        </w:rPr>
        <w:t xml:space="preserve">, while the </w:t>
      </w:r>
      <w:r w:rsidRPr="001376D6">
        <w:rPr>
          <w:rFonts w:ascii="Times New Roman" w:hAnsi="Times New Roman" w:cs="Times New Roman"/>
          <w:color w:val="EE0000"/>
          <w:sz w:val="24"/>
          <w:szCs w:val="24"/>
          <w:lang w:val="en-GB"/>
        </w:rPr>
        <w:t>DIC</w:t>
      </w:r>
      <w:r w:rsidRPr="001376D6">
        <w:rPr>
          <w:rFonts w:ascii="Times New Roman" w:hAnsi="Times New Roman" w:cs="Times New Roman"/>
          <w:color w:val="EE0000"/>
          <w:sz w:val="24"/>
          <w:szCs w:val="24"/>
          <w:vertAlign w:val="subscript"/>
          <w:lang w:val="en-GB"/>
        </w:rPr>
        <w:t>soft</w:t>
      </w:r>
      <w:r w:rsidRPr="009B1984">
        <w:rPr>
          <w:rFonts w:ascii="Times New Roman" w:hAnsi="Times New Roman" w:cs="Times New Roman"/>
          <w:color w:val="EE0000"/>
          <w:sz w:val="24"/>
          <w:szCs w:val="24"/>
          <w:lang w:val="en-GB"/>
        </w:rPr>
        <w:t xml:space="preserve"> </w:t>
      </w:r>
      <w:r w:rsidRPr="00CC1F35">
        <w:rPr>
          <w:rFonts w:ascii="Times New Roman" w:hAnsi="Times New Roman" w:cs="Times New Roman"/>
          <w:color w:val="EE0000"/>
          <w:sz w:val="24"/>
          <w:szCs w:val="24"/>
          <w:lang w:val="en-GB"/>
        </w:rPr>
        <w:t xml:space="preserve">structure remains distinct and regionally interpretable, supporting the robustness of the decomposition across ocean domains. </w:t>
      </w:r>
    </w:p>
    <w:p w14:paraId="63ECBDE2" w14:textId="0C3A30DA" w:rsidR="005839C1" w:rsidRDefault="005839C1" w:rsidP="00CC1F35">
      <w:pPr>
        <w:rPr>
          <w:rFonts w:ascii="Times New Roman" w:hAnsi="Times New Roman" w:cs="Times New Roman"/>
          <w:sz w:val="24"/>
          <w:szCs w:val="24"/>
          <w:lang w:val="en-GB"/>
        </w:rPr>
      </w:pPr>
      <w:r w:rsidRPr="00611AB3">
        <w:rPr>
          <w:rFonts w:ascii="Times New Roman" w:hAnsi="Times New Roman" w:cs="Times New Roman"/>
          <w:sz w:val="24"/>
          <w:szCs w:val="24"/>
          <w:lang w:val="en-GB"/>
        </w:rPr>
        <w:t>(30)</w:t>
      </w:r>
      <w:r w:rsidRPr="00611AB3">
        <w:rPr>
          <w:rFonts w:ascii="Times New Roman" w:hAnsi="Times New Roman" w:cs="Times New Roman"/>
          <w:sz w:val="24"/>
          <w:szCs w:val="24"/>
          <w:lang w:val="en-GB"/>
        </w:rPr>
        <w:tab/>
        <w:t>l. 228: Reference to Friedlingstein et al. (2023) on the globacl carbon budget is inappropriate. More focused studies linking regional BCP changes to stratification, nutrient and ecosystem dynamics should be cited here.</w:t>
      </w:r>
    </w:p>
    <w:p w14:paraId="64811200" w14:textId="72813F5D" w:rsidR="001D210F" w:rsidRPr="001D210F" w:rsidRDefault="001D210F" w:rsidP="004E1CA4">
      <w:pPr>
        <w:rPr>
          <w:rFonts w:ascii="Times New Roman" w:hAnsi="Times New Roman" w:cs="Times New Roman"/>
          <w:color w:val="EE0000"/>
          <w:sz w:val="24"/>
          <w:szCs w:val="24"/>
          <w:lang w:val="en-GB"/>
        </w:rPr>
      </w:pPr>
      <w:r w:rsidRPr="001D210F">
        <w:rPr>
          <w:rFonts w:ascii="Times New Roman" w:hAnsi="Times New Roman" w:cs="Times New Roman"/>
          <w:color w:val="EE0000"/>
          <w:sz w:val="24"/>
          <w:szCs w:val="24"/>
          <w:lang w:val="en-GB"/>
        </w:rPr>
        <w:t>We have revised the text to replace the global carbon budget reference with more process-focused observational and modeling studies</w:t>
      </w:r>
    </w:p>
    <w:p w14:paraId="2AA8849F" w14:textId="54542F83" w:rsidR="005839C1" w:rsidRDefault="005839C1" w:rsidP="004E1CA4">
      <w:pPr>
        <w:rPr>
          <w:rFonts w:ascii="Times New Roman" w:hAnsi="Times New Roman" w:cs="Times New Roman"/>
          <w:sz w:val="24"/>
          <w:szCs w:val="24"/>
          <w:lang w:val="en-GB"/>
        </w:rPr>
      </w:pPr>
      <w:r w:rsidRPr="00611AB3">
        <w:rPr>
          <w:rFonts w:ascii="Times New Roman" w:hAnsi="Times New Roman" w:cs="Times New Roman"/>
          <w:sz w:val="24"/>
          <w:szCs w:val="24"/>
          <w:lang w:val="en-GB"/>
        </w:rPr>
        <w:t>(31)</w:t>
      </w:r>
      <w:r w:rsidRPr="00611AB3">
        <w:rPr>
          <w:rFonts w:ascii="Times New Roman" w:hAnsi="Times New Roman" w:cs="Times New Roman"/>
          <w:sz w:val="24"/>
          <w:szCs w:val="24"/>
          <w:lang w:val="en-GB"/>
        </w:rPr>
        <w:tab/>
        <w:t>l. 268: total change of DICsoft</w:t>
      </w:r>
    </w:p>
    <w:p w14:paraId="0B10B38C" w14:textId="59BCDFB7" w:rsidR="00521AF4" w:rsidRPr="00521AF4" w:rsidRDefault="00521AF4" w:rsidP="004E1CA4">
      <w:pPr>
        <w:rPr>
          <w:rFonts w:ascii="Times New Roman" w:hAnsi="Times New Roman" w:cs="Times New Roman"/>
          <w:color w:val="EE0000"/>
          <w:sz w:val="24"/>
          <w:szCs w:val="24"/>
          <w:lang w:val="en-GB"/>
        </w:rPr>
      </w:pPr>
      <w:r w:rsidRPr="002D704E">
        <w:rPr>
          <w:rFonts w:ascii="Times New Roman" w:hAnsi="Times New Roman" w:cs="Times New Roman"/>
          <w:color w:val="EE0000"/>
          <w:sz w:val="24"/>
          <w:szCs w:val="24"/>
          <w:lang w:val="en-GB"/>
        </w:rPr>
        <w:t xml:space="preserve">Thank you, </w:t>
      </w:r>
      <w:r>
        <w:rPr>
          <w:rFonts w:ascii="Times New Roman" w:hAnsi="Times New Roman" w:cs="Times New Roman"/>
          <w:color w:val="EE0000"/>
          <w:sz w:val="24"/>
          <w:szCs w:val="24"/>
          <w:lang w:val="en-GB"/>
        </w:rPr>
        <w:t>t</w:t>
      </w:r>
      <w:r w:rsidRPr="009617F7">
        <w:rPr>
          <w:rFonts w:ascii="Times New Roman" w:hAnsi="Times New Roman" w:cs="Times New Roman"/>
          <w:color w:val="EE0000"/>
          <w:sz w:val="24"/>
          <w:szCs w:val="24"/>
          <w:lang w:val="en-GB"/>
        </w:rPr>
        <w:t>he text has been revised</w:t>
      </w:r>
      <w:r>
        <w:rPr>
          <w:rFonts w:ascii="Times New Roman" w:hAnsi="Times New Roman" w:cs="Times New Roman"/>
          <w:color w:val="EE0000"/>
          <w:sz w:val="24"/>
          <w:szCs w:val="24"/>
          <w:lang w:val="en-GB"/>
        </w:rPr>
        <w:t>.</w:t>
      </w:r>
    </w:p>
    <w:p w14:paraId="483118EF" w14:textId="0BE37FFE" w:rsidR="005839C1" w:rsidRDefault="005839C1" w:rsidP="004E1CA4">
      <w:pPr>
        <w:rPr>
          <w:rFonts w:ascii="Times New Roman" w:hAnsi="Times New Roman" w:cs="Times New Roman"/>
          <w:sz w:val="24"/>
          <w:szCs w:val="24"/>
          <w:lang w:val="en-GB"/>
        </w:rPr>
      </w:pPr>
      <w:r w:rsidRPr="00611AB3">
        <w:rPr>
          <w:rFonts w:ascii="Times New Roman" w:hAnsi="Times New Roman" w:cs="Times New Roman"/>
          <w:sz w:val="24"/>
          <w:szCs w:val="24"/>
          <w:lang w:val="en-GB"/>
        </w:rPr>
        <w:t>(32)</w:t>
      </w:r>
      <w:r w:rsidRPr="00611AB3">
        <w:rPr>
          <w:rFonts w:ascii="Times New Roman" w:hAnsi="Times New Roman" w:cs="Times New Roman"/>
          <w:sz w:val="24"/>
          <w:szCs w:val="24"/>
          <w:lang w:val="en-GB"/>
        </w:rPr>
        <w:tab/>
        <w:t>l. 278: Fig. 4c</w:t>
      </w:r>
    </w:p>
    <w:p w14:paraId="65C419CA" w14:textId="0EBACC0B" w:rsidR="00AB1013" w:rsidRPr="00AB1013" w:rsidRDefault="00AB1013" w:rsidP="004E1CA4">
      <w:pPr>
        <w:rPr>
          <w:rFonts w:ascii="Times New Roman" w:hAnsi="Times New Roman" w:cs="Times New Roman"/>
          <w:color w:val="EE0000"/>
          <w:sz w:val="24"/>
          <w:szCs w:val="24"/>
          <w:lang w:val="en-GB"/>
        </w:rPr>
      </w:pPr>
      <w:r w:rsidRPr="002D704E">
        <w:rPr>
          <w:rFonts w:ascii="Times New Roman" w:hAnsi="Times New Roman" w:cs="Times New Roman"/>
          <w:color w:val="EE0000"/>
          <w:sz w:val="24"/>
          <w:szCs w:val="24"/>
          <w:lang w:val="en-GB"/>
        </w:rPr>
        <w:t xml:space="preserve">Thank you, </w:t>
      </w:r>
      <w:r>
        <w:rPr>
          <w:rFonts w:ascii="Times New Roman" w:hAnsi="Times New Roman" w:cs="Times New Roman"/>
          <w:color w:val="EE0000"/>
          <w:sz w:val="24"/>
          <w:szCs w:val="24"/>
          <w:lang w:val="en-GB"/>
        </w:rPr>
        <w:t>t</w:t>
      </w:r>
      <w:r w:rsidRPr="009617F7">
        <w:rPr>
          <w:rFonts w:ascii="Times New Roman" w:hAnsi="Times New Roman" w:cs="Times New Roman"/>
          <w:color w:val="EE0000"/>
          <w:sz w:val="24"/>
          <w:szCs w:val="24"/>
          <w:lang w:val="en-GB"/>
        </w:rPr>
        <w:t>he text has been revised</w:t>
      </w:r>
      <w:r>
        <w:rPr>
          <w:rFonts w:ascii="Times New Roman" w:hAnsi="Times New Roman" w:cs="Times New Roman"/>
          <w:color w:val="EE0000"/>
          <w:sz w:val="24"/>
          <w:szCs w:val="24"/>
          <w:lang w:val="en-GB"/>
        </w:rPr>
        <w:t>.</w:t>
      </w:r>
    </w:p>
    <w:p w14:paraId="1E9666B6" w14:textId="77777777" w:rsidR="005839C1" w:rsidRDefault="005839C1" w:rsidP="004E1CA4">
      <w:pPr>
        <w:rPr>
          <w:rFonts w:ascii="Times New Roman" w:hAnsi="Times New Roman" w:cs="Times New Roman"/>
          <w:sz w:val="24"/>
          <w:szCs w:val="24"/>
          <w:lang w:val="en-GB"/>
        </w:rPr>
      </w:pPr>
      <w:r w:rsidRPr="00611AB3">
        <w:rPr>
          <w:rFonts w:ascii="Times New Roman" w:hAnsi="Times New Roman" w:cs="Times New Roman"/>
          <w:sz w:val="24"/>
          <w:szCs w:val="24"/>
          <w:lang w:val="en-GB"/>
        </w:rPr>
        <w:lastRenderedPageBreak/>
        <w:t>(33)</w:t>
      </w:r>
      <w:r w:rsidRPr="00611AB3">
        <w:rPr>
          <w:rFonts w:ascii="Times New Roman" w:hAnsi="Times New Roman" w:cs="Times New Roman"/>
          <w:sz w:val="24"/>
          <w:szCs w:val="24"/>
          <w:lang w:val="en-GB"/>
        </w:rPr>
        <w:tab/>
        <w:t>l. 282.284: not necessarily true. Shoaling could also mean that remineralization occurs more intense in the upper ocean, e.g., due to warming (see Brewer and Peltzer, 2016).</w:t>
      </w:r>
    </w:p>
    <w:p w14:paraId="69F3FD9C" w14:textId="77777777" w:rsidR="00820B7D" w:rsidRDefault="00820B7D" w:rsidP="004E1CA4">
      <w:pPr>
        <w:rPr>
          <w:rFonts w:ascii="Times New Roman" w:hAnsi="Times New Roman" w:cs="Times New Roman"/>
          <w:color w:val="EE0000"/>
          <w:sz w:val="24"/>
          <w:szCs w:val="24"/>
          <w:lang w:val="en-GB"/>
        </w:rPr>
      </w:pPr>
      <w:r w:rsidRPr="00820B7D">
        <w:rPr>
          <w:rFonts w:ascii="Times New Roman" w:hAnsi="Times New Roman" w:cs="Times New Roman"/>
          <w:color w:val="EE0000"/>
          <w:sz w:val="24"/>
          <w:szCs w:val="24"/>
          <w:lang w:val="en-GB"/>
        </w:rPr>
        <w:t xml:space="preserve">We agree. We have revised the text to clarify that a shoaling sequestration depth does not uniquely imply re-exposure to the surface ocean. It may also reflect enhanced upper-ocean remineralization under warming. The revised wording now explicitly acknowledges both interpretations and cites Brewer &amp; Peltzer (2016). </w:t>
      </w:r>
    </w:p>
    <w:p w14:paraId="0AEF1E73" w14:textId="50BFD24F" w:rsidR="005839C1" w:rsidRDefault="005839C1" w:rsidP="004E1CA4">
      <w:pPr>
        <w:rPr>
          <w:rFonts w:ascii="Times New Roman" w:hAnsi="Times New Roman" w:cs="Times New Roman"/>
          <w:sz w:val="24"/>
          <w:szCs w:val="24"/>
          <w:lang w:val="en-GB"/>
        </w:rPr>
      </w:pPr>
      <w:r w:rsidRPr="00611AB3">
        <w:rPr>
          <w:rFonts w:ascii="Times New Roman" w:hAnsi="Times New Roman" w:cs="Times New Roman"/>
          <w:sz w:val="24"/>
          <w:szCs w:val="24"/>
          <w:lang w:val="en-GB"/>
        </w:rPr>
        <w:t>(34)</w:t>
      </w:r>
      <w:r w:rsidRPr="00611AB3">
        <w:rPr>
          <w:rFonts w:ascii="Times New Roman" w:hAnsi="Times New Roman" w:cs="Times New Roman"/>
          <w:sz w:val="24"/>
          <w:szCs w:val="24"/>
          <w:lang w:val="en-GB"/>
        </w:rPr>
        <w:tab/>
        <w:t>l. 291 also in the introduction: the role of dissolved organic matter was never mentioned despite its large carbon storage (Hansell et al. 2013).</w:t>
      </w:r>
    </w:p>
    <w:p w14:paraId="5CE481A9" w14:textId="249ADC14" w:rsidR="00C6548F" w:rsidRDefault="00C6548F" w:rsidP="004E1CA4">
      <w:pPr>
        <w:rPr>
          <w:rFonts w:ascii="Times New Roman" w:hAnsi="Times New Roman" w:cs="Times New Roman"/>
          <w:color w:val="EE0000"/>
          <w:sz w:val="24"/>
          <w:szCs w:val="24"/>
          <w:lang w:val="en-GB"/>
        </w:rPr>
      </w:pPr>
      <w:r w:rsidRPr="00C6548F">
        <w:rPr>
          <w:rFonts w:ascii="Times New Roman" w:hAnsi="Times New Roman" w:cs="Times New Roman"/>
          <w:color w:val="EE0000"/>
          <w:sz w:val="24"/>
          <w:szCs w:val="24"/>
          <w:lang w:val="en-GB"/>
        </w:rPr>
        <w:t xml:space="preserve">We agree. The revised manuscript now explicitly acknowledges long-lived dissolved organic matter as a major interior carbon reservoir within the broader biological carbon pump (Hansell, 2013). We also make clear that this component lies beyond the scope of the present analysis, which focuses on particulate export and respired </w:t>
      </w:r>
      <w:r w:rsidRPr="001376D6">
        <w:rPr>
          <w:rFonts w:ascii="Times New Roman" w:hAnsi="Times New Roman" w:cs="Times New Roman"/>
          <w:color w:val="EE0000"/>
          <w:sz w:val="24"/>
          <w:szCs w:val="24"/>
          <w:lang w:val="en-GB"/>
        </w:rPr>
        <w:t>DIC</w:t>
      </w:r>
      <w:r w:rsidRPr="001376D6">
        <w:rPr>
          <w:rFonts w:ascii="Times New Roman" w:hAnsi="Times New Roman" w:cs="Times New Roman"/>
          <w:color w:val="EE0000"/>
          <w:sz w:val="24"/>
          <w:szCs w:val="24"/>
          <w:vertAlign w:val="subscript"/>
          <w:lang w:val="en-GB"/>
        </w:rPr>
        <w:t>soft</w:t>
      </w:r>
      <w:r w:rsidRPr="00C6548F">
        <w:rPr>
          <w:rFonts w:ascii="Times New Roman" w:hAnsi="Times New Roman" w:cs="Times New Roman"/>
          <w:color w:val="EE0000"/>
          <w:sz w:val="24"/>
          <w:szCs w:val="24"/>
          <w:lang w:val="en-GB"/>
        </w:rPr>
        <w:t xml:space="preserve">. </w:t>
      </w:r>
    </w:p>
    <w:p w14:paraId="6868E3DE" w14:textId="607E0075" w:rsidR="005839C1" w:rsidRDefault="005839C1" w:rsidP="004E1CA4">
      <w:pPr>
        <w:rPr>
          <w:rFonts w:ascii="Times New Roman" w:hAnsi="Times New Roman" w:cs="Times New Roman"/>
          <w:sz w:val="24"/>
          <w:szCs w:val="24"/>
          <w:lang w:val="en-GB"/>
        </w:rPr>
      </w:pPr>
      <w:r w:rsidRPr="00611AB3">
        <w:rPr>
          <w:rFonts w:ascii="Times New Roman" w:hAnsi="Times New Roman" w:cs="Times New Roman"/>
          <w:sz w:val="24"/>
          <w:szCs w:val="24"/>
          <w:lang w:val="en-GB"/>
        </w:rPr>
        <w:t>(35)</w:t>
      </w:r>
      <w:r w:rsidRPr="00611AB3">
        <w:rPr>
          <w:rFonts w:ascii="Times New Roman" w:hAnsi="Times New Roman" w:cs="Times New Roman"/>
          <w:sz w:val="24"/>
          <w:szCs w:val="24"/>
          <w:lang w:val="en-GB"/>
        </w:rPr>
        <w:tab/>
        <w:t>l. 306: "assume constant sequestration depths" seems incorrect to me. Please clarify and add references.</w:t>
      </w:r>
    </w:p>
    <w:p w14:paraId="30F0553F" w14:textId="45FD330D" w:rsidR="007D4C43" w:rsidRDefault="007D4C43" w:rsidP="004E1CA4">
      <w:pPr>
        <w:rPr>
          <w:rFonts w:ascii="Times New Roman" w:hAnsi="Times New Roman" w:cs="Times New Roman"/>
          <w:color w:val="EE0000"/>
          <w:sz w:val="24"/>
          <w:szCs w:val="24"/>
          <w:lang w:val="en-GB"/>
        </w:rPr>
      </w:pPr>
      <w:r w:rsidRPr="007D4C43">
        <w:rPr>
          <w:rFonts w:ascii="Times New Roman" w:hAnsi="Times New Roman" w:cs="Times New Roman"/>
          <w:color w:val="EE0000"/>
          <w:sz w:val="24"/>
          <w:szCs w:val="24"/>
          <w:lang w:val="en-GB"/>
        </w:rPr>
        <w:t xml:space="preserve">In the revised manuscript, we no longer state that models “assume constant sequestration depths.” Instead, we now clarify that processes central to our analysis—such as remineralization depth, sequestration depth, and the residence time of respired </w:t>
      </w:r>
      <w:r w:rsidR="00873F18" w:rsidRPr="001376D6">
        <w:rPr>
          <w:rFonts w:ascii="Times New Roman" w:hAnsi="Times New Roman" w:cs="Times New Roman"/>
          <w:color w:val="EE0000"/>
          <w:sz w:val="24"/>
          <w:szCs w:val="24"/>
          <w:lang w:val="en-GB"/>
        </w:rPr>
        <w:t>DIC</w:t>
      </w:r>
      <w:r w:rsidR="00873F18" w:rsidRPr="001376D6">
        <w:rPr>
          <w:rFonts w:ascii="Times New Roman" w:hAnsi="Times New Roman" w:cs="Times New Roman"/>
          <w:color w:val="EE0000"/>
          <w:sz w:val="24"/>
          <w:szCs w:val="24"/>
          <w:vertAlign w:val="subscript"/>
          <w:lang w:val="en-GB"/>
        </w:rPr>
        <w:t>soft</w:t>
      </w:r>
      <w:r w:rsidR="00873F18" w:rsidRPr="007D4C43">
        <w:rPr>
          <w:rFonts w:ascii="Times New Roman" w:hAnsi="Times New Roman" w:cs="Times New Roman"/>
          <w:color w:val="EE0000"/>
          <w:sz w:val="24"/>
          <w:szCs w:val="24"/>
          <w:lang w:val="en-GB"/>
        </w:rPr>
        <w:t xml:space="preserve"> </w:t>
      </w:r>
      <w:r w:rsidRPr="007D4C43">
        <w:rPr>
          <w:rFonts w:ascii="Times New Roman" w:hAnsi="Times New Roman" w:cs="Times New Roman"/>
          <w:color w:val="EE0000"/>
          <w:sz w:val="24"/>
          <w:szCs w:val="24"/>
          <w:lang w:val="en-GB"/>
        </w:rPr>
        <w:t xml:space="preserve">—are often prescribed or weakly parameterized rather than dynamically resolved in current Earth system models. We have also added references to support this statement (Kwon et al., 2009; DeVries et al., 2012; Ricour et al., 2023). </w:t>
      </w:r>
    </w:p>
    <w:p w14:paraId="1AFAAF6A" w14:textId="121B0089" w:rsidR="005839C1" w:rsidRDefault="005839C1" w:rsidP="004E1CA4">
      <w:pPr>
        <w:rPr>
          <w:rFonts w:ascii="Times New Roman" w:hAnsi="Times New Roman" w:cs="Times New Roman"/>
          <w:sz w:val="24"/>
          <w:szCs w:val="24"/>
          <w:lang w:val="en-GB"/>
        </w:rPr>
      </w:pPr>
      <w:r w:rsidRPr="00611AB3">
        <w:rPr>
          <w:rFonts w:ascii="Times New Roman" w:hAnsi="Times New Roman" w:cs="Times New Roman"/>
          <w:sz w:val="24"/>
          <w:szCs w:val="24"/>
          <w:lang w:val="en-GB"/>
        </w:rPr>
        <w:t>(36)</w:t>
      </w:r>
      <w:r w:rsidRPr="00611AB3">
        <w:rPr>
          <w:rFonts w:ascii="Times New Roman" w:hAnsi="Times New Roman" w:cs="Times New Roman"/>
          <w:sz w:val="24"/>
          <w:szCs w:val="24"/>
          <w:lang w:val="en-GB"/>
        </w:rPr>
        <w:tab/>
        <w:t>l. 304-312: This paragraph about ESM is a bit too vague. Please give more details. For instance, what has been identified in the previous studies as the major unknowns or uncertainties in model projections. In addition to the uncertainties in the biogeochemical parameterizations mentioned, are the physical or climatic processes described in this paper (e.g., stratification, warming, etc.) are well simulated in current models. And finally how the modelling community can progress forward.</w:t>
      </w:r>
    </w:p>
    <w:p w14:paraId="28AC4A3E" w14:textId="6D54DA21" w:rsidR="00873F18" w:rsidRPr="00873F18" w:rsidRDefault="00873F18" w:rsidP="00873F18">
      <w:pPr>
        <w:rPr>
          <w:rFonts w:ascii="Times New Roman" w:hAnsi="Times New Roman" w:cs="Times New Roman"/>
          <w:color w:val="EE0000"/>
          <w:sz w:val="24"/>
          <w:szCs w:val="24"/>
          <w:lang w:val="en-GB"/>
        </w:rPr>
      </w:pPr>
      <w:r w:rsidRPr="00873F18">
        <w:rPr>
          <w:rFonts w:ascii="Times New Roman" w:hAnsi="Times New Roman" w:cs="Times New Roman"/>
          <w:color w:val="EE0000"/>
          <w:sz w:val="24"/>
          <w:szCs w:val="24"/>
          <w:lang w:val="en-GB"/>
        </w:rPr>
        <w:t xml:space="preserve">In the revised manuscript, we now identify the main uncertainties highlighted by previous studies more explicitly, including the representation of nutrient pathways, vertical carbon transport, ecosystem-mediated export efficiency, remineralization depth, sequestration depth, and the residence times of respired </w:t>
      </w:r>
      <w:r w:rsidRPr="001376D6">
        <w:rPr>
          <w:rFonts w:ascii="Times New Roman" w:hAnsi="Times New Roman" w:cs="Times New Roman"/>
          <w:color w:val="EE0000"/>
          <w:sz w:val="24"/>
          <w:szCs w:val="24"/>
          <w:lang w:val="en-GB"/>
        </w:rPr>
        <w:t>DIC</w:t>
      </w:r>
      <w:r w:rsidRPr="001376D6">
        <w:rPr>
          <w:rFonts w:ascii="Times New Roman" w:hAnsi="Times New Roman" w:cs="Times New Roman"/>
          <w:color w:val="EE0000"/>
          <w:sz w:val="24"/>
          <w:szCs w:val="24"/>
          <w:vertAlign w:val="subscript"/>
          <w:lang w:val="en-GB"/>
        </w:rPr>
        <w:t>soft</w:t>
      </w:r>
      <w:r w:rsidRPr="00873F18">
        <w:rPr>
          <w:rFonts w:ascii="Times New Roman" w:hAnsi="Times New Roman" w:cs="Times New Roman"/>
          <w:color w:val="EE0000"/>
          <w:sz w:val="24"/>
          <w:szCs w:val="24"/>
          <w:lang w:val="en-GB"/>
        </w:rPr>
        <w:t>. We also clarify that, although large-scale warming and stratification trends are generally well reproduced in current models, their biogeochemical consequences for interior carbon storage remain uncertain and model dependent.</w:t>
      </w:r>
    </w:p>
    <w:p w14:paraId="5909D7C3" w14:textId="77777777" w:rsidR="00873F18" w:rsidRDefault="00873F18" w:rsidP="00873F18">
      <w:pPr>
        <w:rPr>
          <w:rFonts w:ascii="Times New Roman" w:hAnsi="Times New Roman" w:cs="Times New Roman"/>
          <w:color w:val="EE0000"/>
          <w:sz w:val="24"/>
          <w:szCs w:val="24"/>
          <w:lang w:val="en-GB"/>
        </w:rPr>
      </w:pPr>
      <w:r w:rsidRPr="00873F18">
        <w:rPr>
          <w:rFonts w:ascii="Times New Roman" w:hAnsi="Times New Roman" w:cs="Times New Roman"/>
          <w:color w:val="EE0000"/>
          <w:sz w:val="24"/>
          <w:szCs w:val="24"/>
          <w:lang w:val="en-GB"/>
        </w:rPr>
        <w:t xml:space="preserve">We further clarify that processes central to our interpretation—particularly shifts in remineralization depth, sequestration depth, and carbon residence time—are often prescribed or weakly parameterized rather than dynamically resolved in current Earth system models. The paragraph has been revised accordingly. </w:t>
      </w:r>
    </w:p>
    <w:p w14:paraId="095F5331" w14:textId="21411686" w:rsidR="005839C1" w:rsidRDefault="005839C1" w:rsidP="00873F18">
      <w:pPr>
        <w:rPr>
          <w:rFonts w:ascii="Times New Roman" w:hAnsi="Times New Roman" w:cs="Times New Roman"/>
          <w:sz w:val="24"/>
          <w:szCs w:val="24"/>
          <w:lang w:val="en-GB"/>
        </w:rPr>
      </w:pPr>
      <w:r w:rsidRPr="00611AB3">
        <w:rPr>
          <w:rFonts w:ascii="Times New Roman" w:hAnsi="Times New Roman" w:cs="Times New Roman"/>
          <w:sz w:val="24"/>
          <w:szCs w:val="24"/>
          <w:lang w:val="en-GB"/>
        </w:rPr>
        <w:t>(37)</w:t>
      </w:r>
      <w:r w:rsidRPr="00611AB3">
        <w:rPr>
          <w:rFonts w:ascii="Times New Roman" w:hAnsi="Times New Roman" w:cs="Times New Roman"/>
          <w:sz w:val="24"/>
          <w:szCs w:val="24"/>
          <w:lang w:val="en-GB"/>
        </w:rPr>
        <w:tab/>
        <w:t xml:space="preserve">l. 316: destabilization is an overstatement. The authors </w:t>
      </w:r>
      <w:r w:rsidR="002A2B51" w:rsidRPr="00611AB3">
        <w:rPr>
          <w:rFonts w:ascii="Times New Roman" w:hAnsi="Times New Roman" w:cs="Times New Roman"/>
          <w:sz w:val="24"/>
          <w:szCs w:val="24"/>
          <w:lang w:val="en-GB"/>
        </w:rPr>
        <w:t>have</w:t>
      </w:r>
      <w:r w:rsidRPr="00611AB3">
        <w:rPr>
          <w:rFonts w:ascii="Times New Roman" w:hAnsi="Times New Roman" w:cs="Times New Roman"/>
          <w:sz w:val="24"/>
          <w:szCs w:val="24"/>
          <w:lang w:val="en-GB"/>
        </w:rPr>
        <w:t xml:space="preserve"> not shown that the regional trends </w:t>
      </w:r>
      <w:r w:rsidR="002A2B51" w:rsidRPr="00611AB3">
        <w:rPr>
          <w:rFonts w:ascii="Times New Roman" w:hAnsi="Times New Roman" w:cs="Times New Roman"/>
          <w:sz w:val="24"/>
          <w:szCs w:val="24"/>
          <w:lang w:val="en-GB"/>
        </w:rPr>
        <w:t>are</w:t>
      </w:r>
      <w:r w:rsidRPr="00611AB3">
        <w:rPr>
          <w:rFonts w:ascii="Times New Roman" w:hAnsi="Times New Roman" w:cs="Times New Roman"/>
          <w:sz w:val="24"/>
          <w:szCs w:val="24"/>
          <w:lang w:val="en-GB"/>
        </w:rPr>
        <w:t xml:space="preserve"> solely driven by external forcing (anthropogenic climate change). The presented changes can simply indicate naturally occurring variability, or indicating long-term non-steady state BCP states in various parts of the world oceans.</w:t>
      </w:r>
    </w:p>
    <w:p w14:paraId="2216C52A" w14:textId="2DD2DD06" w:rsidR="00605704" w:rsidRPr="00605704" w:rsidRDefault="00605704" w:rsidP="00605704">
      <w:pPr>
        <w:rPr>
          <w:rFonts w:ascii="Times New Roman" w:hAnsi="Times New Roman" w:cs="Times New Roman"/>
          <w:color w:val="EE0000"/>
          <w:sz w:val="24"/>
          <w:szCs w:val="24"/>
          <w:lang w:val="en-GB"/>
        </w:rPr>
      </w:pPr>
      <w:r w:rsidRPr="00605704">
        <w:rPr>
          <w:rFonts w:ascii="Times New Roman" w:hAnsi="Times New Roman" w:cs="Times New Roman"/>
          <w:color w:val="EE0000"/>
          <w:sz w:val="24"/>
          <w:szCs w:val="24"/>
          <w:lang w:val="en-GB"/>
        </w:rPr>
        <w:lastRenderedPageBreak/>
        <w:t>We no longer use the term “destabilization”, as this overstated what can be inferred from the present analysis.</w:t>
      </w:r>
    </w:p>
    <w:p w14:paraId="5E96B38C" w14:textId="77777777" w:rsidR="00605704" w:rsidRPr="00605704" w:rsidRDefault="00605704" w:rsidP="00605704">
      <w:pPr>
        <w:rPr>
          <w:rFonts w:ascii="Times New Roman" w:hAnsi="Times New Roman" w:cs="Times New Roman"/>
          <w:color w:val="EE0000"/>
          <w:sz w:val="24"/>
          <w:szCs w:val="24"/>
          <w:lang w:val="en-GB"/>
        </w:rPr>
      </w:pPr>
      <w:r w:rsidRPr="00605704">
        <w:rPr>
          <w:rFonts w:ascii="Times New Roman" w:hAnsi="Times New Roman" w:cs="Times New Roman"/>
          <w:color w:val="EE0000"/>
          <w:sz w:val="24"/>
          <w:szCs w:val="24"/>
          <w:lang w:val="en-GB"/>
        </w:rPr>
        <w:t>In the revised manuscript, we now explicitly acknowledge that the 2004–2024 record includes substantial internal climate variability, and that some of the regional trends we diagnose may reflect phase-dependent decadal reorganization or long-term non-stationary BCP behaviour, rather than monotonic externally forced change alone.</w:t>
      </w:r>
    </w:p>
    <w:p w14:paraId="0053E3E3" w14:textId="77777777" w:rsidR="00605704" w:rsidRDefault="00605704" w:rsidP="00605704">
      <w:pPr>
        <w:rPr>
          <w:rFonts w:ascii="Times New Roman" w:hAnsi="Times New Roman" w:cs="Times New Roman"/>
          <w:color w:val="EE0000"/>
          <w:sz w:val="24"/>
          <w:szCs w:val="24"/>
          <w:lang w:val="en-GB"/>
        </w:rPr>
      </w:pPr>
      <w:r w:rsidRPr="00605704">
        <w:rPr>
          <w:rFonts w:ascii="Times New Roman" w:hAnsi="Times New Roman" w:cs="Times New Roman"/>
          <w:color w:val="EE0000"/>
          <w:sz w:val="24"/>
          <w:szCs w:val="24"/>
          <w:lang w:val="en-GB"/>
        </w:rPr>
        <w:t>We therefore now frame these patterns more cautiously, as an observational constraint on contemporary BCP variability and redistribution, while noting that continued observations will be required to distinguish internal variability from longer-term forced trends.</w:t>
      </w:r>
    </w:p>
    <w:p w14:paraId="29073533" w14:textId="0D75EEB9" w:rsidR="005839C1" w:rsidRPr="00611AB3" w:rsidRDefault="005839C1" w:rsidP="00605704">
      <w:pPr>
        <w:rPr>
          <w:rFonts w:ascii="Times New Roman" w:hAnsi="Times New Roman" w:cs="Times New Roman"/>
          <w:b/>
          <w:bCs/>
          <w:sz w:val="24"/>
          <w:szCs w:val="24"/>
          <w:lang w:val="en-GB"/>
        </w:rPr>
      </w:pPr>
      <w:r w:rsidRPr="00611AB3">
        <w:rPr>
          <w:rFonts w:ascii="Times New Roman" w:hAnsi="Times New Roman" w:cs="Times New Roman"/>
          <w:b/>
          <w:bCs/>
          <w:sz w:val="24"/>
          <w:szCs w:val="24"/>
          <w:lang w:val="en-GB"/>
        </w:rPr>
        <w:t>Methods</w:t>
      </w:r>
    </w:p>
    <w:p w14:paraId="0F4C935C" w14:textId="61A21193" w:rsidR="005839C1" w:rsidRDefault="005839C1" w:rsidP="004E1CA4">
      <w:pPr>
        <w:rPr>
          <w:rFonts w:ascii="Times New Roman" w:hAnsi="Times New Roman" w:cs="Times New Roman"/>
          <w:sz w:val="24"/>
          <w:szCs w:val="24"/>
          <w:lang w:val="en-GB"/>
        </w:rPr>
      </w:pPr>
      <w:r w:rsidRPr="00611AB3">
        <w:rPr>
          <w:rFonts w:ascii="Times New Roman" w:hAnsi="Times New Roman" w:cs="Times New Roman"/>
          <w:sz w:val="24"/>
          <w:szCs w:val="24"/>
          <w:lang w:val="en-GB"/>
        </w:rPr>
        <w:t>(38)</w:t>
      </w:r>
      <w:r w:rsidRPr="00611AB3">
        <w:rPr>
          <w:rFonts w:ascii="Times New Roman" w:hAnsi="Times New Roman" w:cs="Times New Roman"/>
          <w:sz w:val="24"/>
          <w:szCs w:val="24"/>
          <w:lang w:val="en-GB"/>
        </w:rPr>
        <w:tab/>
        <w:t xml:space="preserve">l. 355: GLODAPv2 should be cited. See </w:t>
      </w:r>
      <w:hyperlink r:id="rId21" w:history="1">
        <w:r w:rsidR="007D357A" w:rsidRPr="00241BB1">
          <w:rPr>
            <w:rStyle w:val="Hyperlink"/>
            <w:rFonts w:ascii="Times New Roman" w:hAnsi="Times New Roman" w:cs="Times New Roman"/>
            <w:sz w:val="24"/>
            <w:szCs w:val="24"/>
            <w:lang w:val="en-GB"/>
          </w:rPr>
          <w:t>https://glodap.info/index.php/fair-data-use-statement/</w:t>
        </w:r>
      </w:hyperlink>
    </w:p>
    <w:p w14:paraId="62C10DCF" w14:textId="23A34B75" w:rsidR="007D357A" w:rsidRPr="007D357A" w:rsidRDefault="000953D4" w:rsidP="004E1CA4">
      <w:pPr>
        <w:rPr>
          <w:rFonts w:ascii="Times New Roman" w:hAnsi="Times New Roman" w:cs="Times New Roman"/>
          <w:color w:val="EE0000"/>
          <w:sz w:val="24"/>
          <w:szCs w:val="24"/>
          <w:lang w:val="en-GB"/>
        </w:rPr>
      </w:pPr>
      <w:r>
        <w:rPr>
          <w:rFonts w:ascii="Times New Roman" w:hAnsi="Times New Roman" w:cs="Times New Roman"/>
          <w:color w:val="EE0000"/>
          <w:sz w:val="24"/>
          <w:szCs w:val="24"/>
          <w:lang w:val="en-GB"/>
        </w:rPr>
        <w:t>The citation was added.</w:t>
      </w:r>
    </w:p>
    <w:p w14:paraId="07BDE6E6" w14:textId="77777777" w:rsidR="005839C1" w:rsidRDefault="005839C1" w:rsidP="004E1CA4">
      <w:pPr>
        <w:rPr>
          <w:rFonts w:ascii="Times New Roman" w:hAnsi="Times New Roman" w:cs="Times New Roman"/>
          <w:sz w:val="24"/>
          <w:szCs w:val="24"/>
          <w:lang w:val="en-GB"/>
        </w:rPr>
      </w:pPr>
      <w:r w:rsidRPr="00611AB3">
        <w:rPr>
          <w:rFonts w:ascii="Times New Roman" w:hAnsi="Times New Roman" w:cs="Times New Roman"/>
          <w:sz w:val="24"/>
          <w:szCs w:val="24"/>
          <w:lang w:val="en-GB"/>
        </w:rPr>
        <w:t>(39)</w:t>
      </w:r>
      <w:r w:rsidRPr="00611AB3">
        <w:rPr>
          <w:rFonts w:ascii="Times New Roman" w:hAnsi="Times New Roman" w:cs="Times New Roman"/>
          <w:sz w:val="24"/>
          <w:szCs w:val="24"/>
          <w:lang w:val="en-GB"/>
        </w:rPr>
        <w:tab/>
        <w:t>l. 406-407: The way the sentence is written, "dissolved inorganic nutrients into particulate inorganic matter", only refer to photosynthesis. Please correct the sentence.</w:t>
      </w:r>
    </w:p>
    <w:p w14:paraId="4454BFBB" w14:textId="3DA58103" w:rsidR="009148FC" w:rsidRPr="009148FC" w:rsidRDefault="009148FC" w:rsidP="004E1CA4">
      <w:pPr>
        <w:rPr>
          <w:rFonts w:ascii="Times New Roman" w:hAnsi="Times New Roman" w:cs="Times New Roman"/>
          <w:color w:val="EE0000"/>
          <w:sz w:val="24"/>
          <w:szCs w:val="24"/>
          <w:lang w:val="en-GB"/>
        </w:rPr>
      </w:pPr>
      <w:r w:rsidRPr="009148FC">
        <w:rPr>
          <w:rFonts w:ascii="Times New Roman" w:hAnsi="Times New Roman" w:cs="Times New Roman"/>
          <w:color w:val="EE0000"/>
          <w:sz w:val="24"/>
          <w:szCs w:val="24"/>
          <w:lang w:val="en-GB"/>
        </w:rPr>
        <w:t>The sentence has been revised to clearly distinguish photosynthetic carbon fixation from the subsequent export and remineralization processes that together define the soft tissue pump.</w:t>
      </w:r>
    </w:p>
    <w:p w14:paraId="5CC7D616" w14:textId="1C2E0476" w:rsidR="005839C1" w:rsidRDefault="005839C1" w:rsidP="004E1CA4">
      <w:pPr>
        <w:rPr>
          <w:rFonts w:ascii="Times New Roman" w:hAnsi="Times New Roman" w:cs="Times New Roman"/>
          <w:sz w:val="24"/>
          <w:szCs w:val="24"/>
          <w:lang w:val="en-GB"/>
        </w:rPr>
      </w:pPr>
      <w:r w:rsidRPr="00611AB3">
        <w:rPr>
          <w:rFonts w:ascii="Times New Roman" w:hAnsi="Times New Roman" w:cs="Times New Roman"/>
          <w:sz w:val="24"/>
          <w:szCs w:val="24"/>
          <w:lang w:val="en-GB"/>
        </w:rPr>
        <w:t>(40)</w:t>
      </w:r>
      <w:r w:rsidRPr="00611AB3">
        <w:rPr>
          <w:rFonts w:ascii="Times New Roman" w:hAnsi="Times New Roman" w:cs="Times New Roman"/>
          <w:sz w:val="24"/>
          <w:szCs w:val="24"/>
          <w:lang w:val="en-GB"/>
        </w:rPr>
        <w:tab/>
        <w:t>l. 425: Equation 3 indicate DICnat. Is that correct? Do you mean DICsoft?</w:t>
      </w:r>
    </w:p>
    <w:p w14:paraId="0DA937DB" w14:textId="41F497AB" w:rsidR="002C0FCC" w:rsidRPr="002C0FCC" w:rsidRDefault="002C0FCC" w:rsidP="004E1CA4">
      <w:pPr>
        <w:rPr>
          <w:rFonts w:ascii="Times New Roman" w:hAnsi="Times New Roman" w:cs="Times New Roman"/>
          <w:color w:val="EE0000"/>
          <w:sz w:val="24"/>
          <w:szCs w:val="24"/>
          <w:lang w:val="en-GB"/>
        </w:rPr>
      </w:pPr>
      <w:r w:rsidRPr="002C0FCC">
        <w:rPr>
          <w:rFonts w:ascii="Times New Roman" w:hAnsi="Times New Roman" w:cs="Times New Roman"/>
          <w:color w:val="EE0000"/>
          <w:sz w:val="24"/>
          <w:szCs w:val="24"/>
          <w:lang w:val="en-GB"/>
        </w:rPr>
        <w:t>Thank you, the typo was corrected.</w:t>
      </w:r>
    </w:p>
    <w:p w14:paraId="61EE8E3B" w14:textId="68DACA1D" w:rsidR="005839C1" w:rsidRDefault="005839C1" w:rsidP="004E1CA4">
      <w:pPr>
        <w:rPr>
          <w:rFonts w:ascii="Times New Roman" w:hAnsi="Times New Roman" w:cs="Times New Roman"/>
          <w:sz w:val="24"/>
          <w:szCs w:val="24"/>
          <w:lang w:val="en-GB"/>
        </w:rPr>
      </w:pPr>
      <w:r w:rsidRPr="00611AB3">
        <w:rPr>
          <w:rFonts w:ascii="Times New Roman" w:hAnsi="Times New Roman" w:cs="Times New Roman"/>
          <w:sz w:val="24"/>
          <w:szCs w:val="24"/>
          <w:lang w:val="en-GB"/>
        </w:rPr>
        <w:t>(41)</w:t>
      </w:r>
      <w:r w:rsidRPr="00611AB3">
        <w:rPr>
          <w:rFonts w:ascii="Times New Roman" w:hAnsi="Times New Roman" w:cs="Times New Roman"/>
          <w:sz w:val="24"/>
          <w:szCs w:val="24"/>
          <w:lang w:val="en-GB"/>
        </w:rPr>
        <w:tab/>
        <w:t>l. 450-489: Neutral density has not been mentioned before in the manuscript. Can the authors clarify why this analysis is necessary? Maybe by explaining what would be the effect on the results if one instead of the other would be used.</w:t>
      </w:r>
    </w:p>
    <w:p w14:paraId="332BE5C0" w14:textId="77777777" w:rsidR="00E741CE" w:rsidRDefault="00E741CE" w:rsidP="004E1CA4">
      <w:pPr>
        <w:rPr>
          <w:rFonts w:ascii="Times New Roman" w:hAnsi="Times New Roman" w:cs="Times New Roman"/>
          <w:color w:val="EE0000"/>
          <w:sz w:val="24"/>
          <w:szCs w:val="24"/>
          <w:lang w:val="en-GB"/>
        </w:rPr>
      </w:pPr>
      <w:r w:rsidRPr="00E741CE">
        <w:rPr>
          <w:rFonts w:ascii="Times New Roman" w:hAnsi="Times New Roman" w:cs="Times New Roman"/>
          <w:color w:val="EE0000"/>
          <w:sz w:val="24"/>
          <w:szCs w:val="24"/>
          <w:lang w:val="en-GB"/>
        </w:rPr>
        <w:t>Because this analysis was not essential to the main line of argument, we removed it from the main manuscript and moved it to the Supplementary Information as a supporting comparison. The revised manuscript now presents all results consistently in depth coordinates, while the supplementary analysis shows that this choice does not materially affect the interpretation over the study period.</w:t>
      </w:r>
    </w:p>
    <w:p w14:paraId="17D34D45" w14:textId="0B902018" w:rsidR="005839C1" w:rsidRPr="00611AB3" w:rsidRDefault="005839C1" w:rsidP="004E1CA4">
      <w:pPr>
        <w:rPr>
          <w:rFonts w:ascii="Times New Roman" w:hAnsi="Times New Roman" w:cs="Times New Roman"/>
          <w:b/>
          <w:bCs/>
          <w:sz w:val="24"/>
          <w:szCs w:val="24"/>
          <w:lang w:val="en-GB"/>
        </w:rPr>
      </w:pPr>
      <w:r w:rsidRPr="00611AB3">
        <w:rPr>
          <w:rFonts w:ascii="Times New Roman" w:hAnsi="Times New Roman" w:cs="Times New Roman"/>
          <w:b/>
          <w:bCs/>
          <w:sz w:val="24"/>
          <w:szCs w:val="24"/>
          <w:lang w:val="en-GB"/>
        </w:rPr>
        <w:t>Figures</w:t>
      </w:r>
    </w:p>
    <w:p w14:paraId="07914817" w14:textId="322FE9E9" w:rsidR="005839C1" w:rsidRDefault="005839C1" w:rsidP="004E1CA4">
      <w:pPr>
        <w:rPr>
          <w:rFonts w:ascii="Times New Roman" w:hAnsi="Times New Roman" w:cs="Times New Roman"/>
          <w:sz w:val="24"/>
          <w:szCs w:val="24"/>
          <w:lang w:val="en-GB"/>
        </w:rPr>
      </w:pPr>
      <w:r w:rsidRPr="00611AB3">
        <w:rPr>
          <w:rFonts w:ascii="Times New Roman" w:hAnsi="Times New Roman" w:cs="Times New Roman"/>
          <w:sz w:val="24"/>
          <w:szCs w:val="24"/>
          <w:lang w:val="en-GB"/>
        </w:rPr>
        <w:t>(42)</w:t>
      </w:r>
      <w:r w:rsidRPr="00611AB3">
        <w:rPr>
          <w:rFonts w:ascii="Times New Roman" w:hAnsi="Times New Roman" w:cs="Times New Roman"/>
          <w:sz w:val="24"/>
          <w:szCs w:val="24"/>
          <w:lang w:val="en-GB"/>
        </w:rPr>
        <w:tab/>
        <w:t>Fig. 1: add Delta notations in the legend. Consider blue instead of green color for Delta DIC-soft.</w:t>
      </w:r>
    </w:p>
    <w:p w14:paraId="1B781D69" w14:textId="77777777" w:rsidR="009700BB" w:rsidRDefault="009700BB" w:rsidP="004E1CA4">
      <w:pPr>
        <w:rPr>
          <w:rFonts w:ascii="Times New Roman" w:hAnsi="Times New Roman" w:cs="Times New Roman"/>
          <w:color w:val="EE0000"/>
          <w:sz w:val="24"/>
          <w:szCs w:val="24"/>
          <w:lang w:val="en-GB"/>
        </w:rPr>
      </w:pPr>
      <w:r w:rsidRPr="009700BB">
        <w:rPr>
          <w:rFonts w:ascii="Times New Roman" w:hAnsi="Times New Roman" w:cs="Times New Roman"/>
          <w:color w:val="EE0000"/>
          <w:sz w:val="24"/>
          <w:szCs w:val="24"/>
          <w:lang w:val="en-GB"/>
        </w:rPr>
        <w:t xml:space="preserve">We have added Δ notation to the Figure 1 legend for consistency with the text. We retained the original colour scheme for consistency across figures. </w:t>
      </w:r>
    </w:p>
    <w:p w14:paraId="4381F65E" w14:textId="57240246" w:rsidR="005839C1" w:rsidRDefault="005839C1" w:rsidP="004E1CA4">
      <w:pPr>
        <w:rPr>
          <w:rFonts w:ascii="Times New Roman" w:hAnsi="Times New Roman" w:cs="Times New Roman"/>
          <w:sz w:val="24"/>
          <w:szCs w:val="24"/>
          <w:lang w:val="en-GB"/>
        </w:rPr>
      </w:pPr>
      <w:r w:rsidRPr="00611AB3">
        <w:rPr>
          <w:rFonts w:ascii="Times New Roman" w:hAnsi="Times New Roman" w:cs="Times New Roman"/>
          <w:sz w:val="24"/>
          <w:szCs w:val="24"/>
          <w:lang w:val="en-GB"/>
        </w:rPr>
        <w:t>(43)</w:t>
      </w:r>
      <w:r w:rsidRPr="00611AB3">
        <w:rPr>
          <w:rFonts w:ascii="Times New Roman" w:hAnsi="Times New Roman" w:cs="Times New Roman"/>
          <w:sz w:val="24"/>
          <w:szCs w:val="24"/>
          <w:lang w:val="en-GB"/>
        </w:rPr>
        <w:tab/>
        <w:t>Fig. 2 caption: describe SPOTS.</w:t>
      </w:r>
    </w:p>
    <w:p w14:paraId="07D163A3" w14:textId="77777777" w:rsidR="001235E1" w:rsidRDefault="001235E1" w:rsidP="004E1CA4">
      <w:pPr>
        <w:rPr>
          <w:rFonts w:ascii="Times New Roman" w:hAnsi="Times New Roman" w:cs="Times New Roman"/>
          <w:color w:val="EE0000"/>
          <w:sz w:val="24"/>
          <w:szCs w:val="24"/>
          <w:lang w:val="en-GB"/>
        </w:rPr>
      </w:pPr>
      <w:r w:rsidRPr="001235E1">
        <w:rPr>
          <w:rFonts w:ascii="Times New Roman" w:hAnsi="Times New Roman" w:cs="Times New Roman"/>
          <w:color w:val="EE0000"/>
          <w:sz w:val="24"/>
          <w:szCs w:val="24"/>
          <w:lang w:val="en-GB"/>
        </w:rPr>
        <w:t xml:space="preserve">We now define SPOTS in the Figure 2 caption as the Synthesis Product for Ocean Time Series. </w:t>
      </w:r>
    </w:p>
    <w:p w14:paraId="6F3ACA4E" w14:textId="582468B2" w:rsidR="005839C1" w:rsidRDefault="005839C1" w:rsidP="004E1CA4">
      <w:pPr>
        <w:rPr>
          <w:rFonts w:ascii="Times New Roman" w:hAnsi="Times New Roman" w:cs="Times New Roman"/>
          <w:sz w:val="24"/>
          <w:szCs w:val="24"/>
          <w:lang w:val="en-GB"/>
        </w:rPr>
      </w:pPr>
      <w:r w:rsidRPr="00611AB3">
        <w:rPr>
          <w:rFonts w:ascii="Times New Roman" w:hAnsi="Times New Roman" w:cs="Times New Roman"/>
          <w:sz w:val="24"/>
          <w:szCs w:val="24"/>
          <w:lang w:val="en-GB"/>
        </w:rPr>
        <w:t>(44)</w:t>
      </w:r>
      <w:r w:rsidRPr="00611AB3">
        <w:rPr>
          <w:rFonts w:ascii="Times New Roman" w:hAnsi="Times New Roman" w:cs="Times New Roman"/>
          <w:sz w:val="24"/>
          <w:szCs w:val="24"/>
          <w:lang w:val="en-GB"/>
        </w:rPr>
        <w:tab/>
        <w:t>Fig. 2 caption: "soft tissue pump’s return flux" is more commonly named remineralised DIC</w:t>
      </w:r>
    </w:p>
    <w:p w14:paraId="14BB6A4F" w14:textId="18631E8E" w:rsidR="00196613" w:rsidRPr="00196613" w:rsidRDefault="00196613" w:rsidP="004E1CA4">
      <w:pPr>
        <w:rPr>
          <w:rFonts w:ascii="Times New Roman" w:hAnsi="Times New Roman" w:cs="Times New Roman"/>
          <w:color w:val="EE0000"/>
          <w:sz w:val="24"/>
          <w:szCs w:val="24"/>
          <w:lang w:val="en-GB"/>
        </w:rPr>
      </w:pPr>
      <w:r w:rsidRPr="00196613">
        <w:rPr>
          <w:rFonts w:ascii="Times New Roman" w:hAnsi="Times New Roman" w:cs="Times New Roman"/>
          <w:color w:val="EE0000"/>
          <w:sz w:val="24"/>
          <w:szCs w:val="24"/>
          <w:lang w:val="en-GB"/>
        </w:rPr>
        <w:t>The caption now reads “Spatial redistribution of biologically respired carbon.”</w:t>
      </w:r>
    </w:p>
    <w:p w14:paraId="0FB7C78E" w14:textId="6AD97559" w:rsidR="005839C1" w:rsidRDefault="005839C1" w:rsidP="004E1CA4">
      <w:pPr>
        <w:rPr>
          <w:rFonts w:ascii="Times New Roman" w:hAnsi="Times New Roman" w:cs="Times New Roman"/>
          <w:sz w:val="24"/>
          <w:szCs w:val="24"/>
          <w:lang w:val="en-GB"/>
        </w:rPr>
      </w:pPr>
      <w:r w:rsidRPr="00611AB3">
        <w:rPr>
          <w:rFonts w:ascii="Times New Roman" w:hAnsi="Times New Roman" w:cs="Times New Roman"/>
          <w:sz w:val="24"/>
          <w:szCs w:val="24"/>
          <w:lang w:val="en-GB"/>
        </w:rPr>
        <w:lastRenderedPageBreak/>
        <w:t>(45)</w:t>
      </w:r>
      <w:r w:rsidRPr="00611AB3">
        <w:rPr>
          <w:rFonts w:ascii="Times New Roman" w:hAnsi="Times New Roman" w:cs="Times New Roman"/>
          <w:sz w:val="24"/>
          <w:szCs w:val="24"/>
          <w:lang w:val="en-GB"/>
        </w:rPr>
        <w:tab/>
        <w:t>Fig. 3 caption: using panel labelling of figure 4 within figure 3 caption is misleading. Please adjust.</w:t>
      </w:r>
    </w:p>
    <w:p w14:paraId="5DAD276B" w14:textId="0B0521F0" w:rsidR="001235E1" w:rsidRDefault="001235E1" w:rsidP="004E1CA4">
      <w:pPr>
        <w:rPr>
          <w:rFonts w:ascii="Times New Roman" w:hAnsi="Times New Roman" w:cs="Times New Roman"/>
          <w:color w:val="EE0000"/>
          <w:sz w:val="24"/>
          <w:szCs w:val="24"/>
          <w:lang w:val="en-GB"/>
        </w:rPr>
      </w:pPr>
      <w:r w:rsidRPr="001235E1">
        <w:rPr>
          <w:rFonts w:ascii="Times New Roman" w:hAnsi="Times New Roman" w:cs="Times New Roman"/>
          <w:color w:val="EE0000"/>
          <w:sz w:val="24"/>
          <w:szCs w:val="24"/>
          <w:lang w:val="en-GB"/>
        </w:rPr>
        <w:t xml:space="preserve">We have revised </w:t>
      </w:r>
      <w:r w:rsidR="0084546A">
        <w:rPr>
          <w:rFonts w:ascii="Times New Roman" w:hAnsi="Times New Roman" w:cs="Times New Roman"/>
          <w:color w:val="EE0000"/>
          <w:sz w:val="24"/>
          <w:szCs w:val="24"/>
          <w:lang w:val="en-GB"/>
        </w:rPr>
        <w:t>this figure</w:t>
      </w:r>
      <w:r w:rsidRPr="001235E1">
        <w:rPr>
          <w:rFonts w:ascii="Times New Roman" w:hAnsi="Times New Roman" w:cs="Times New Roman"/>
          <w:color w:val="EE0000"/>
          <w:sz w:val="24"/>
          <w:szCs w:val="24"/>
          <w:lang w:val="en-GB"/>
        </w:rPr>
        <w:t xml:space="preserve"> caption</w:t>
      </w:r>
      <w:r w:rsidR="0084546A">
        <w:rPr>
          <w:rFonts w:ascii="Times New Roman" w:hAnsi="Times New Roman" w:cs="Times New Roman"/>
          <w:color w:val="EE0000"/>
          <w:sz w:val="24"/>
          <w:szCs w:val="24"/>
          <w:lang w:val="en-GB"/>
        </w:rPr>
        <w:t xml:space="preserve"> (now figure 4)</w:t>
      </w:r>
      <w:r w:rsidRPr="001235E1">
        <w:rPr>
          <w:rFonts w:ascii="Times New Roman" w:hAnsi="Times New Roman" w:cs="Times New Roman"/>
          <w:color w:val="EE0000"/>
          <w:sz w:val="24"/>
          <w:szCs w:val="24"/>
          <w:lang w:val="en-GB"/>
        </w:rPr>
        <w:t xml:space="preserve"> to remove the misleading cross-reference to panel labels from another figure. </w:t>
      </w:r>
    </w:p>
    <w:p w14:paraId="013B75D7" w14:textId="75872BED" w:rsidR="005839C1" w:rsidRDefault="005839C1" w:rsidP="004E1CA4">
      <w:pPr>
        <w:rPr>
          <w:rFonts w:ascii="Times New Roman" w:hAnsi="Times New Roman" w:cs="Times New Roman"/>
          <w:sz w:val="24"/>
          <w:szCs w:val="24"/>
          <w:lang w:val="en-GB"/>
        </w:rPr>
      </w:pPr>
      <w:r w:rsidRPr="00611AB3">
        <w:rPr>
          <w:rFonts w:ascii="Times New Roman" w:hAnsi="Times New Roman" w:cs="Times New Roman"/>
          <w:sz w:val="24"/>
          <w:szCs w:val="24"/>
          <w:lang w:val="en-GB"/>
        </w:rPr>
        <w:t>(46)</w:t>
      </w:r>
      <w:r w:rsidRPr="00611AB3">
        <w:rPr>
          <w:rFonts w:ascii="Times New Roman" w:hAnsi="Times New Roman" w:cs="Times New Roman"/>
          <w:sz w:val="24"/>
          <w:szCs w:val="24"/>
          <w:lang w:val="en-GB"/>
        </w:rPr>
        <w:tab/>
        <w:t>Fig. 4: Max MLD in figure legend while MLDmax in caption. Please adjust for consistency.</w:t>
      </w:r>
    </w:p>
    <w:p w14:paraId="7BFEB79D" w14:textId="77777777" w:rsidR="008919E6" w:rsidRDefault="008919E6" w:rsidP="004E1CA4">
      <w:pPr>
        <w:rPr>
          <w:rFonts w:ascii="Times New Roman" w:hAnsi="Times New Roman" w:cs="Times New Roman"/>
          <w:color w:val="EE0000"/>
          <w:sz w:val="24"/>
          <w:szCs w:val="24"/>
          <w:lang w:val="en-GB"/>
        </w:rPr>
      </w:pPr>
      <w:r w:rsidRPr="008919E6">
        <w:rPr>
          <w:rFonts w:ascii="Times New Roman" w:hAnsi="Times New Roman" w:cs="Times New Roman"/>
          <w:color w:val="EE0000"/>
          <w:sz w:val="24"/>
          <w:szCs w:val="24"/>
          <w:lang w:val="en-GB"/>
        </w:rPr>
        <w:t>We have standardized this notation to MLD</w:t>
      </w:r>
      <w:r w:rsidRPr="008919E6">
        <w:rPr>
          <w:rFonts w:ascii="Times New Roman" w:hAnsi="Times New Roman" w:cs="Times New Roman"/>
          <w:color w:val="EE0000"/>
          <w:sz w:val="24"/>
          <w:szCs w:val="24"/>
          <w:vertAlign w:val="subscript"/>
          <w:lang w:val="en-GB"/>
        </w:rPr>
        <w:t>max</w:t>
      </w:r>
      <w:r w:rsidRPr="008919E6">
        <w:rPr>
          <w:rFonts w:ascii="Times New Roman" w:hAnsi="Times New Roman" w:cs="Times New Roman"/>
          <w:color w:val="EE0000"/>
          <w:sz w:val="24"/>
          <w:szCs w:val="24"/>
          <w:lang w:val="en-GB"/>
        </w:rPr>
        <w:t xml:space="preserve"> for consistency. </w:t>
      </w:r>
    </w:p>
    <w:p w14:paraId="4D580273" w14:textId="5094EAC0" w:rsidR="005839C1" w:rsidRDefault="005839C1" w:rsidP="004E1CA4">
      <w:pPr>
        <w:rPr>
          <w:rFonts w:ascii="Times New Roman" w:hAnsi="Times New Roman" w:cs="Times New Roman"/>
          <w:sz w:val="24"/>
          <w:szCs w:val="24"/>
          <w:lang w:val="en-GB"/>
        </w:rPr>
      </w:pPr>
      <w:r w:rsidRPr="00611AB3">
        <w:rPr>
          <w:rFonts w:ascii="Times New Roman" w:hAnsi="Times New Roman" w:cs="Times New Roman"/>
          <w:sz w:val="24"/>
          <w:szCs w:val="24"/>
          <w:lang w:val="en-GB"/>
        </w:rPr>
        <w:t>(47)</w:t>
      </w:r>
      <w:r w:rsidRPr="00611AB3">
        <w:rPr>
          <w:rFonts w:ascii="Times New Roman" w:hAnsi="Times New Roman" w:cs="Times New Roman"/>
          <w:sz w:val="24"/>
          <w:szCs w:val="24"/>
          <w:lang w:val="en-GB"/>
        </w:rPr>
        <w:tab/>
        <w:t>Fig. 4 caption (l254: DICant(?); l251: as shown in Fig. 3)</w:t>
      </w:r>
    </w:p>
    <w:p w14:paraId="239B7C8A" w14:textId="77777777" w:rsidR="008919E6" w:rsidRDefault="008919E6" w:rsidP="004E1CA4">
      <w:pPr>
        <w:rPr>
          <w:rFonts w:ascii="Times New Roman" w:hAnsi="Times New Roman" w:cs="Times New Roman"/>
          <w:color w:val="EE0000"/>
          <w:sz w:val="24"/>
          <w:szCs w:val="24"/>
          <w:lang w:val="en-GB"/>
        </w:rPr>
      </w:pPr>
      <w:r w:rsidRPr="008919E6">
        <w:rPr>
          <w:rFonts w:ascii="Times New Roman" w:hAnsi="Times New Roman" w:cs="Times New Roman"/>
          <w:color w:val="EE0000"/>
          <w:sz w:val="24"/>
          <w:szCs w:val="24"/>
          <w:lang w:val="en-GB"/>
        </w:rPr>
        <w:t>We corrected the typo: DIC</w:t>
      </w:r>
      <w:r w:rsidRPr="001669EC">
        <w:rPr>
          <w:rFonts w:ascii="Times New Roman" w:hAnsi="Times New Roman" w:cs="Times New Roman"/>
          <w:color w:val="EE0000"/>
          <w:sz w:val="24"/>
          <w:szCs w:val="24"/>
          <w:vertAlign w:val="subscript"/>
          <w:lang w:val="en-GB"/>
        </w:rPr>
        <w:t>nat</w:t>
      </w:r>
      <w:r w:rsidRPr="008919E6">
        <w:rPr>
          <w:rFonts w:ascii="Times New Roman" w:hAnsi="Times New Roman" w:cs="Times New Roman"/>
          <w:color w:val="EE0000"/>
          <w:sz w:val="24"/>
          <w:szCs w:val="24"/>
          <w:lang w:val="en-GB"/>
        </w:rPr>
        <w:t xml:space="preserve"> should have read DIC</w:t>
      </w:r>
      <w:r w:rsidRPr="001669EC">
        <w:rPr>
          <w:rFonts w:ascii="Times New Roman" w:hAnsi="Times New Roman" w:cs="Times New Roman"/>
          <w:color w:val="EE0000"/>
          <w:sz w:val="24"/>
          <w:szCs w:val="24"/>
          <w:vertAlign w:val="subscript"/>
          <w:lang w:val="en-GB"/>
        </w:rPr>
        <w:t>soft</w:t>
      </w:r>
      <w:r w:rsidRPr="008919E6">
        <w:rPr>
          <w:rFonts w:ascii="Times New Roman" w:hAnsi="Times New Roman" w:cs="Times New Roman"/>
          <w:color w:val="EE0000"/>
          <w:sz w:val="24"/>
          <w:szCs w:val="24"/>
          <w:lang w:val="en-GB"/>
        </w:rPr>
        <w:t xml:space="preserve">. We also revised the caption to remove the misleading cross-reference to another figure. </w:t>
      </w:r>
    </w:p>
    <w:p w14:paraId="1CC0FDB6" w14:textId="2FFD4DB9" w:rsidR="005839C1" w:rsidRDefault="005839C1" w:rsidP="004E1CA4">
      <w:pPr>
        <w:rPr>
          <w:rFonts w:ascii="Times New Roman" w:hAnsi="Times New Roman" w:cs="Times New Roman"/>
          <w:sz w:val="24"/>
          <w:szCs w:val="24"/>
          <w:lang w:val="en-GB"/>
        </w:rPr>
      </w:pPr>
      <w:r w:rsidRPr="00611AB3">
        <w:rPr>
          <w:rFonts w:ascii="Times New Roman" w:hAnsi="Times New Roman" w:cs="Times New Roman"/>
          <w:sz w:val="24"/>
          <w:szCs w:val="24"/>
          <w:lang w:val="en-GB"/>
        </w:rPr>
        <w:t>(48)</w:t>
      </w:r>
      <w:r w:rsidRPr="00611AB3">
        <w:rPr>
          <w:rFonts w:ascii="Times New Roman" w:hAnsi="Times New Roman" w:cs="Times New Roman"/>
          <w:sz w:val="24"/>
          <w:szCs w:val="24"/>
          <w:lang w:val="en-GB"/>
        </w:rPr>
        <w:tab/>
        <w:t>Fig. 4, l. 260: Which heterogeneity? Please clarify.</w:t>
      </w:r>
    </w:p>
    <w:p w14:paraId="136321EB" w14:textId="106F59D8" w:rsidR="00892B0E" w:rsidRPr="00EB07F6" w:rsidRDefault="00EB07F6" w:rsidP="004E1CA4">
      <w:pPr>
        <w:rPr>
          <w:rFonts w:ascii="Times New Roman" w:hAnsi="Times New Roman" w:cs="Times New Roman"/>
          <w:color w:val="EE0000"/>
          <w:sz w:val="24"/>
          <w:szCs w:val="24"/>
          <w:lang w:val="en-GB"/>
        </w:rPr>
      </w:pPr>
      <w:r w:rsidRPr="00EB07F6">
        <w:rPr>
          <w:rFonts w:ascii="Times New Roman" w:hAnsi="Times New Roman" w:cs="Times New Roman"/>
          <w:color w:val="EE0000"/>
          <w:sz w:val="24"/>
          <w:szCs w:val="24"/>
          <w:lang w:val="en-GB"/>
        </w:rPr>
        <w:t>Caption now reads “Despite variability in the magnitude and clarity of the signal across locations…” instead of “Despite this heterogeneity…”.</w:t>
      </w:r>
    </w:p>
    <w:p w14:paraId="32D1FBC5" w14:textId="77777777" w:rsidR="005839C1" w:rsidRDefault="005839C1" w:rsidP="004E1CA4">
      <w:pPr>
        <w:rPr>
          <w:rFonts w:ascii="Times New Roman" w:hAnsi="Times New Roman" w:cs="Times New Roman"/>
          <w:sz w:val="24"/>
          <w:szCs w:val="24"/>
          <w:lang w:val="en-GB"/>
        </w:rPr>
      </w:pPr>
      <w:r w:rsidRPr="00611AB3">
        <w:rPr>
          <w:rFonts w:ascii="Times New Roman" w:hAnsi="Times New Roman" w:cs="Times New Roman"/>
          <w:sz w:val="24"/>
          <w:szCs w:val="24"/>
          <w:lang w:val="en-GB"/>
        </w:rPr>
        <w:t>(49)</w:t>
      </w:r>
      <w:r w:rsidRPr="00611AB3">
        <w:rPr>
          <w:rFonts w:ascii="Times New Roman" w:hAnsi="Times New Roman" w:cs="Times New Roman"/>
          <w:sz w:val="24"/>
          <w:szCs w:val="24"/>
          <w:lang w:val="en-GB"/>
        </w:rPr>
        <w:tab/>
        <w:t>Fig. 4: panel a) title indicate a deepening of the 50% depth, however it seems the depth does not change. Panel b) indicate a shallowing of the 50% depth however it seems that the depth gets deeper (dotted line below dashed line).</w:t>
      </w:r>
    </w:p>
    <w:p w14:paraId="1F0BFF95" w14:textId="77777777" w:rsidR="00736AA8" w:rsidRDefault="00736AA8" w:rsidP="004E1CA4">
      <w:pPr>
        <w:rPr>
          <w:rFonts w:ascii="Times New Roman" w:hAnsi="Times New Roman" w:cs="Times New Roman"/>
          <w:color w:val="EE0000"/>
          <w:sz w:val="24"/>
          <w:szCs w:val="24"/>
          <w:lang w:val="en-GB"/>
        </w:rPr>
      </w:pPr>
      <w:r w:rsidRPr="00736AA8">
        <w:rPr>
          <w:rFonts w:ascii="Times New Roman" w:hAnsi="Times New Roman" w:cs="Times New Roman"/>
          <w:color w:val="EE0000"/>
          <w:sz w:val="24"/>
          <w:szCs w:val="24"/>
          <w:lang w:val="en-GB"/>
        </w:rPr>
        <w:t xml:space="preserve">We agree. Because we no longer interpret short-term differences between individual years as evidence of monotonic long-term change, we revised the figure to remove the year-specific 50% sequestration depth markers. The figure now uses a study-period mean reference, which avoids over-interpretation while preserving the intended comparison between storage depth and the mixed-layer horizon. </w:t>
      </w:r>
    </w:p>
    <w:p w14:paraId="511ABACF" w14:textId="359E9021" w:rsidR="00B616D7" w:rsidRDefault="005839C1" w:rsidP="004E1CA4">
      <w:pPr>
        <w:rPr>
          <w:rFonts w:ascii="Times New Roman" w:hAnsi="Times New Roman" w:cs="Times New Roman"/>
          <w:sz w:val="24"/>
          <w:szCs w:val="24"/>
          <w:lang w:val="en-GB"/>
        </w:rPr>
      </w:pPr>
      <w:r w:rsidRPr="00611AB3">
        <w:rPr>
          <w:rFonts w:ascii="Times New Roman" w:hAnsi="Times New Roman" w:cs="Times New Roman"/>
          <w:sz w:val="24"/>
          <w:szCs w:val="24"/>
          <w:lang w:val="en-GB"/>
        </w:rPr>
        <w:t>(50)</w:t>
      </w:r>
      <w:r w:rsidRPr="00611AB3">
        <w:rPr>
          <w:rFonts w:ascii="Times New Roman" w:hAnsi="Times New Roman" w:cs="Times New Roman"/>
          <w:sz w:val="24"/>
          <w:szCs w:val="24"/>
          <w:lang w:val="en-GB"/>
        </w:rPr>
        <w:tab/>
        <w:t>In general, I found the captions of all figures, including those in supplements are too long, redundant, and include statements that better suitable in the main text (for example lines 258 to 263 in figure 4).</w:t>
      </w:r>
    </w:p>
    <w:p w14:paraId="68BAFF70" w14:textId="77777777" w:rsidR="000505A9" w:rsidRDefault="000505A9" w:rsidP="004E1CA4">
      <w:pPr>
        <w:rPr>
          <w:rFonts w:ascii="Times New Roman" w:hAnsi="Times New Roman" w:cs="Times New Roman"/>
          <w:color w:val="EE0000"/>
          <w:sz w:val="24"/>
          <w:szCs w:val="24"/>
          <w:lang w:val="en-GB"/>
        </w:rPr>
      </w:pPr>
      <w:r w:rsidRPr="000505A9">
        <w:rPr>
          <w:rFonts w:ascii="Times New Roman" w:hAnsi="Times New Roman" w:cs="Times New Roman"/>
          <w:color w:val="EE0000"/>
          <w:sz w:val="24"/>
          <w:szCs w:val="24"/>
          <w:lang w:val="en-GB"/>
        </w:rPr>
        <w:t>We have substantially shortened and streamlined the figure captions throughout the main text and Supplementary Information, removing interpretive statements better suited to the main text.</w:t>
      </w:r>
    </w:p>
    <w:p w14:paraId="04BEACB4" w14:textId="5891B433" w:rsidR="005839C1" w:rsidRPr="00611AB3" w:rsidRDefault="005839C1" w:rsidP="004E1CA4">
      <w:pPr>
        <w:rPr>
          <w:rFonts w:ascii="Times New Roman" w:hAnsi="Times New Roman" w:cs="Times New Roman"/>
          <w:b/>
          <w:bCs/>
          <w:sz w:val="24"/>
          <w:szCs w:val="24"/>
          <w:lang w:val="en-GB"/>
        </w:rPr>
      </w:pPr>
      <w:r w:rsidRPr="00611AB3">
        <w:rPr>
          <w:rFonts w:ascii="Times New Roman" w:hAnsi="Times New Roman" w:cs="Times New Roman"/>
          <w:b/>
          <w:bCs/>
          <w:sz w:val="24"/>
          <w:szCs w:val="24"/>
          <w:lang w:val="en-GB"/>
        </w:rPr>
        <w:t>Supplement</w:t>
      </w:r>
    </w:p>
    <w:p w14:paraId="2D9A2C4A" w14:textId="1B46743C" w:rsidR="005839C1" w:rsidRDefault="005839C1" w:rsidP="004E1CA4">
      <w:pPr>
        <w:rPr>
          <w:rFonts w:ascii="Times New Roman" w:hAnsi="Times New Roman" w:cs="Times New Roman"/>
          <w:sz w:val="24"/>
          <w:szCs w:val="24"/>
          <w:lang w:val="en-GB"/>
        </w:rPr>
      </w:pPr>
      <w:r w:rsidRPr="00611AB3">
        <w:rPr>
          <w:rFonts w:ascii="Times New Roman" w:hAnsi="Times New Roman" w:cs="Times New Roman"/>
          <w:sz w:val="24"/>
          <w:szCs w:val="24"/>
          <w:lang w:val="en-GB"/>
        </w:rPr>
        <w:t>(51)</w:t>
      </w:r>
      <w:r w:rsidRPr="00611AB3">
        <w:rPr>
          <w:rFonts w:ascii="Times New Roman" w:hAnsi="Times New Roman" w:cs="Times New Roman"/>
          <w:sz w:val="24"/>
          <w:szCs w:val="24"/>
          <w:lang w:val="en-GB"/>
        </w:rPr>
        <w:tab/>
        <w:t>There are two Fig. S3</w:t>
      </w:r>
    </w:p>
    <w:p w14:paraId="1C62E34D" w14:textId="4929BDB7" w:rsidR="00C07CAD" w:rsidRPr="00C07CAD" w:rsidRDefault="00C07CAD" w:rsidP="004E1CA4">
      <w:pPr>
        <w:rPr>
          <w:rFonts w:ascii="Times New Roman" w:hAnsi="Times New Roman" w:cs="Times New Roman"/>
          <w:color w:val="EE0000"/>
          <w:sz w:val="24"/>
          <w:szCs w:val="24"/>
          <w:lang w:val="en-GB"/>
        </w:rPr>
      </w:pPr>
      <w:r w:rsidRPr="00C07CAD">
        <w:rPr>
          <w:rFonts w:ascii="Times New Roman" w:hAnsi="Times New Roman" w:cs="Times New Roman"/>
          <w:color w:val="EE0000"/>
          <w:sz w:val="24"/>
          <w:szCs w:val="24"/>
          <w:lang w:val="en-GB"/>
        </w:rPr>
        <w:t>This has been fixed.</w:t>
      </w:r>
    </w:p>
    <w:p w14:paraId="0EA1DCFD" w14:textId="77777777" w:rsidR="005839C1" w:rsidRDefault="005839C1" w:rsidP="004E1CA4">
      <w:pPr>
        <w:rPr>
          <w:rFonts w:ascii="Times New Roman" w:hAnsi="Times New Roman" w:cs="Times New Roman"/>
          <w:sz w:val="24"/>
          <w:szCs w:val="24"/>
          <w:lang w:val="en-GB"/>
        </w:rPr>
      </w:pPr>
      <w:r w:rsidRPr="00611AB3">
        <w:rPr>
          <w:rFonts w:ascii="Times New Roman" w:hAnsi="Times New Roman" w:cs="Times New Roman"/>
          <w:sz w:val="24"/>
          <w:szCs w:val="24"/>
          <w:lang w:val="en-GB"/>
        </w:rPr>
        <w:t>(52)</w:t>
      </w:r>
      <w:r w:rsidRPr="00611AB3">
        <w:rPr>
          <w:rFonts w:ascii="Times New Roman" w:hAnsi="Times New Roman" w:cs="Times New Roman"/>
          <w:sz w:val="24"/>
          <w:szCs w:val="24"/>
          <w:lang w:val="en-GB"/>
        </w:rPr>
        <w:tab/>
        <w:t>Fig. S3 caption: the term return flux is misleading. I am not so sure what the figure brings to the manuscript. It is only mentioned once in the methods and it is not very clear what information should be extracted from it. The figure is a schematic describing multiple processes (export, remineralization, transport) and it is not fully used in the text. The points at surface should start at the same values, i.e. 1.0.</w:t>
      </w:r>
    </w:p>
    <w:p w14:paraId="33540D90" w14:textId="79C7B884" w:rsidR="00C07CAD" w:rsidRPr="00C07CAD" w:rsidRDefault="00C07CAD" w:rsidP="004E1CA4">
      <w:pPr>
        <w:rPr>
          <w:rFonts w:ascii="Times New Roman" w:hAnsi="Times New Roman" w:cs="Times New Roman"/>
          <w:color w:val="EE0000"/>
          <w:sz w:val="24"/>
          <w:szCs w:val="24"/>
          <w:lang w:val="en-GB"/>
        </w:rPr>
      </w:pPr>
      <w:r w:rsidRPr="00C07CAD">
        <w:rPr>
          <w:rFonts w:ascii="Times New Roman" w:hAnsi="Times New Roman" w:cs="Times New Roman"/>
          <w:color w:val="EE0000"/>
          <w:sz w:val="24"/>
          <w:szCs w:val="24"/>
          <w:lang w:val="en-GB"/>
        </w:rPr>
        <w:t xml:space="preserve">This </w:t>
      </w:r>
      <w:r>
        <w:rPr>
          <w:rFonts w:ascii="Times New Roman" w:hAnsi="Times New Roman" w:cs="Times New Roman"/>
          <w:color w:val="EE0000"/>
          <w:sz w:val="24"/>
          <w:szCs w:val="24"/>
          <w:lang w:val="en-GB"/>
        </w:rPr>
        <w:t>figure has been removed.</w:t>
      </w:r>
    </w:p>
    <w:p w14:paraId="72A7A209" w14:textId="77777777" w:rsidR="005839C1" w:rsidRDefault="005839C1" w:rsidP="004E1CA4">
      <w:pPr>
        <w:rPr>
          <w:rFonts w:ascii="Times New Roman" w:hAnsi="Times New Roman" w:cs="Times New Roman"/>
          <w:sz w:val="24"/>
          <w:szCs w:val="24"/>
          <w:lang w:val="en-GB"/>
        </w:rPr>
      </w:pPr>
      <w:r w:rsidRPr="00611AB3">
        <w:rPr>
          <w:rFonts w:ascii="Times New Roman" w:hAnsi="Times New Roman" w:cs="Times New Roman"/>
          <w:sz w:val="24"/>
          <w:szCs w:val="24"/>
          <w:lang w:val="en-GB"/>
        </w:rPr>
        <w:lastRenderedPageBreak/>
        <w:t>(53)</w:t>
      </w:r>
      <w:r w:rsidRPr="00611AB3">
        <w:rPr>
          <w:rFonts w:ascii="Times New Roman" w:hAnsi="Times New Roman" w:cs="Times New Roman"/>
          <w:sz w:val="24"/>
          <w:szCs w:val="24"/>
          <w:lang w:val="en-GB"/>
        </w:rPr>
        <w:tab/>
        <w:t>Fig. S5: figure not mentioned in the text. It seems if could be mentioned in the neutral density section, line 470 for example if necessary.</w:t>
      </w:r>
    </w:p>
    <w:p w14:paraId="045277EF" w14:textId="77777777" w:rsidR="00017A2E" w:rsidRDefault="002542E9" w:rsidP="004E1CA4">
      <w:pPr>
        <w:rPr>
          <w:rFonts w:ascii="Times New Roman" w:hAnsi="Times New Roman" w:cs="Times New Roman"/>
          <w:color w:val="EE0000"/>
          <w:sz w:val="24"/>
          <w:szCs w:val="24"/>
          <w:lang w:val="en-GB"/>
        </w:rPr>
      </w:pPr>
      <w:r w:rsidRPr="002542E9">
        <w:rPr>
          <w:rFonts w:ascii="Times New Roman" w:hAnsi="Times New Roman" w:cs="Times New Roman"/>
          <w:color w:val="EE0000"/>
          <w:sz w:val="24"/>
          <w:szCs w:val="24"/>
          <w:lang w:val="en-GB"/>
        </w:rPr>
        <w:t xml:space="preserve">Figure S5 is now explicitly cited in Text S2 of the Supplementary Information in the context of the neutral-density comparison. </w:t>
      </w:r>
    </w:p>
    <w:p w14:paraId="342898B5" w14:textId="027CAF01" w:rsidR="005839C1" w:rsidRDefault="005839C1" w:rsidP="004E1CA4">
      <w:pPr>
        <w:rPr>
          <w:rFonts w:ascii="Times New Roman" w:hAnsi="Times New Roman" w:cs="Times New Roman"/>
          <w:sz w:val="24"/>
          <w:szCs w:val="24"/>
          <w:lang w:val="en-GB"/>
        </w:rPr>
      </w:pPr>
      <w:r w:rsidRPr="00611AB3">
        <w:rPr>
          <w:rFonts w:ascii="Times New Roman" w:hAnsi="Times New Roman" w:cs="Times New Roman"/>
          <w:sz w:val="24"/>
          <w:szCs w:val="24"/>
          <w:lang w:val="en-GB"/>
        </w:rPr>
        <w:t>(54)</w:t>
      </w:r>
      <w:r w:rsidRPr="00611AB3">
        <w:rPr>
          <w:rFonts w:ascii="Times New Roman" w:hAnsi="Times New Roman" w:cs="Times New Roman"/>
          <w:sz w:val="24"/>
          <w:szCs w:val="24"/>
          <w:lang w:val="en-GB"/>
        </w:rPr>
        <w:tab/>
        <w:t>Fig. S7: The figure and its purpose are unclear. Please clarify or remove.</w:t>
      </w:r>
    </w:p>
    <w:p w14:paraId="5CBEAB61" w14:textId="77777777" w:rsidR="001109DE" w:rsidRDefault="001109DE" w:rsidP="004E1CA4">
      <w:pPr>
        <w:rPr>
          <w:rFonts w:ascii="Times New Roman" w:hAnsi="Times New Roman" w:cs="Times New Roman"/>
          <w:color w:val="EE0000"/>
          <w:sz w:val="24"/>
          <w:szCs w:val="24"/>
          <w:lang w:val="en-GB"/>
        </w:rPr>
      </w:pPr>
      <w:r w:rsidRPr="001109DE">
        <w:rPr>
          <w:rFonts w:ascii="Times New Roman" w:hAnsi="Times New Roman" w:cs="Times New Roman"/>
          <w:color w:val="EE0000"/>
          <w:sz w:val="24"/>
          <w:szCs w:val="24"/>
          <w:lang w:val="en-GB"/>
        </w:rPr>
        <w:t xml:space="preserve">We thank the reviewer. We have retained this figure because it documents the profile selection used in the time-series trend analysis. The revised caption (now Fig. S8) makes clear that the selected profiles ensure consistent depth coverage and temporal sampling across sites, which directly affects the regression window and the robustness of the inferred trends. </w:t>
      </w:r>
    </w:p>
    <w:p w14:paraId="1477351E" w14:textId="4334D43B" w:rsidR="005839C1" w:rsidRDefault="005839C1" w:rsidP="004E1CA4">
      <w:pPr>
        <w:rPr>
          <w:rFonts w:ascii="Times New Roman" w:hAnsi="Times New Roman" w:cs="Times New Roman"/>
          <w:sz w:val="24"/>
          <w:szCs w:val="24"/>
          <w:lang w:val="en-GB"/>
        </w:rPr>
      </w:pPr>
      <w:r w:rsidRPr="00611AB3">
        <w:rPr>
          <w:rFonts w:ascii="Times New Roman" w:hAnsi="Times New Roman" w:cs="Times New Roman"/>
          <w:sz w:val="24"/>
          <w:szCs w:val="24"/>
          <w:lang w:val="en-GB"/>
        </w:rPr>
        <w:t>(55)</w:t>
      </w:r>
      <w:r w:rsidRPr="00611AB3">
        <w:rPr>
          <w:rFonts w:ascii="Times New Roman" w:hAnsi="Times New Roman" w:cs="Times New Roman"/>
          <w:sz w:val="24"/>
          <w:szCs w:val="24"/>
          <w:lang w:val="en-GB"/>
        </w:rPr>
        <w:tab/>
        <w:t>Fig. S8 caption: "Overall, GCC-DIC aligns with the direction and structure of the observed trends at most sites ..." This doesn’t not seems to be the case. At least visually, there are strong disagreements at BATS, KNOT, IcelandSea, and IrmingerSea. Please rephrase. Suggest also add the vertically-integrated quantities of each component to each panel.</w:t>
      </w:r>
    </w:p>
    <w:p w14:paraId="442ACD35" w14:textId="79F51725" w:rsidR="00B2069F" w:rsidRDefault="00B2069F" w:rsidP="004E1CA4">
      <w:pPr>
        <w:rPr>
          <w:rFonts w:ascii="Times New Roman" w:hAnsi="Times New Roman" w:cs="Times New Roman"/>
          <w:color w:val="EE0000"/>
          <w:sz w:val="24"/>
          <w:szCs w:val="24"/>
          <w:lang w:val="en-GB"/>
        </w:rPr>
      </w:pPr>
      <w:r w:rsidRPr="00B2069F">
        <w:rPr>
          <w:rFonts w:ascii="Times New Roman" w:hAnsi="Times New Roman" w:cs="Times New Roman"/>
          <w:color w:val="EE0000"/>
          <w:sz w:val="24"/>
          <w:szCs w:val="24"/>
          <w:lang w:val="en-GB"/>
        </w:rPr>
        <w:t>The revised caption</w:t>
      </w:r>
      <w:r>
        <w:rPr>
          <w:rFonts w:ascii="Times New Roman" w:hAnsi="Times New Roman" w:cs="Times New Roman"/>
          <w:color w:val="EE0000"/>
          <w:sz w:val="24"/>
          <w:szCs w:val="24"/>
          <w:lang w:val="en-GB"/>
        </w:rPr>
        <w:t xml:space="preserve"> (of now Fig. S9)</w:t>
      </w:r>
      <w:r w:rsidRPr="00B2069F">
        <w:rPr>
          <w:rFonts w:ascii="Times New Roman" w:hAnsi="Times New Roman" w:cs="Times New Roman"/>
          <w:color w:val="EE0000"/>
          <w:sz w:val="24"/>
          <w:szCs w:val="24"/>
          <w:lang w:val="en-GB"/>
        </w:rPr>
        <w:t xml:space="preserve"> uses a more neutral description, noting that some sites show similar sign or vertical structure, whereas others — including BATS, KNOT, Iceland Sea, and Irminger Sea — show clear discrepancies. We also clarify that these differences may reflect regional variability, differences in record length, and the contrast between local in situ observations and basin-scale reconstructed trends. </w:t>
      </w:r>
    </w:p>
    <w:p w14:paraId="1E5D2615" w14:textId="211F2DBF" w:rsidR="005839C1" w:rsidRDefault="005839C1" w:rsidP="004E1CA4">
      <w:pPr>
        <w:rPr>
          <w:rFonts w:ascii="Times New Roman" w:hAnsi="Times New Roman" w:cs="Times New Roman"/>
          <w:sz w:val="24"/>
          <w:szCs w:val="24"/>
          <w:lang w:val="en-GB"/>
        </w:rPr>
      </w:pPr>
      <w:r w:rsidRPr="001324D2">
        <w:rPr>
          <w:rFonts w:ascii="Times New Roman" w:hAnsi="Times New Roman" w:cs="Times New Roman"/>
          <w:sz w:val="24"/>
          <w:szCs w:val="24"/>
          <w:lang w:val="en-GB"/>
        </w:rPr>
        <w:t>(56)</w:t>
      </w:r>
      <w:r w:rsidRPr="001324D2">
        <w:rPr>
          <w:rFonts w:ascii="Times New Roman" w:hAnsi="Times New Roman" w:cs="Times New Roman"/>
          <w:sz w:val="24"/>
          <w:szCs w:val="24"/>
          <w:lang w:val="en-GB"/>
        </w:rPr>
        <w:tab/>
        <w:t>Fig. S8 and S9: add delta in legends</w:t>
      </w:r>
    </w:p>
    <w:p w14:paraId="7E909A38" w14:textId="30EAB0E9" w:rsidR="003A1353" w:rsidRPr="003A1353" w:rsidRDefault="003A1353" w:rsidP="004E1CA4">
      <w:pPr>
        <w:rPr>
          <w:rFonts w:ascii="Times New Roman" w:hAnsi="Times New Roman" w:cs="Times New Roman"/>
          <w:color w:val="EE0000"/>
          <w:sz w:val="24"/>
          <w:szCs w:val="24"/>
          <w:lang w:val="en-GB"/>
        </w:rPr>
      </w:pPr>
      <w:r w:rsidRPr="003A1353">
        <w:rPr>
          <w:rFonts w:ascii="Times New Roman" w:hAnsi="Times New Roman" w:cs="Times New Roman"/>
          <w:color w:val="EE0000"/>
          <w:sz w:val="24"/>
          <w:szCs w:val="24"/>
          <w:lang w:val="en-GB"/>
        </w:rPr>
        <w:t>Thank you for cat</w:t>
      </w:r>
      <w:r>
        <w:rPr>
          <w:rFonts w:ascii="Times New Roman" w:hAnsi="Times New Roman" w:cs="Times New Roman"/>
          <w:color w:val="EE0000"/>
          <w:sz w:val="24"/>
          <w:szCs w:val="24"/>
          <w:lang w:val="en-GB"/>
        </w:rPr>
        <w:t>c</w:t>
      </w:r>
      <w:r w:rsidRPr="003A1353">
        <w:rPr>
          <w:rFonts w:ascii="Times New Roman" w:hAnsi="Times New Roman" w:cs="Times New Roman"/>
          <w:color w:val="EE0000"/>
          <w:sz w:val="24"/>
          <w:szCs w:val="24"/>
          <w:lang w:val="en-GB"/>
        </w:rPr>
        <w:t>hing this, deltas were added.</w:t>
      </w:r>
    </w:p>
    <w:p w14:paraId="411F7E22" w14:textId="0EC2D204" w:rsidR="005839C1" w:rsidRDefault="005839C1" w:rsidP="004E1CA4">
      <w:pPr>
        <w:rPr>
          <w:rFonts w:ascii="Times New Roman" w:hAnsi="Times New Roman" w:cs="Times New Roman"/>
          <w:sz w:val="24"/>
          <w:szCs w:val="24"/>
          <w:lang w:val="en-GB"/>
        </w:rPr>
      </w:pPr>
      <w:r w:rsidRPr="00611AB3">
        <w:rPr>
          <w:rFonts w:ascii="Times New Roman" w:hAnsi="Times New Roman" w:cs="Times New Roman"/>
          <w:sz w:val="24"/>
          <w:szCs w:val="24"/>
          <w:lang w:val="en-GB"/>
        </w:rPr>
        <w:t>(57)</w:t>
      </w:r>
      <w:r w:rsidRPr="00611AB3">
        <w:rPr>
          <w:rFonts w:ascii="Times New Roman" w:hAnsi="Times New Roman" w:cs="Times New Roman"/>
          <w:sz w:val="24"/>
          <w:szCs w:val="24"/>
          <w:lang w:val="en-GB"/>
        </w:rPr>
        <w:tab/>
        <w:t>Fig. S9 caption: Same analysis as Fig. S8. Are these for in situ or GCC-DIC? why not show both?</w:t>
      </w:r>
    </w:p>
    <w:p w14:paraId="6DD598AD" w14:textId="77777777" w:rsidR="00540E14" w:rsidRDefault="00540E14" w:rsidP="004E1CA4">
      <w:pPr>
        <w:rPr>
          <w:rFonts w:ascii="Times New Roman" w:hAnsi="Times New Roman" w:cs="Times New Roman"/>
          <w:color w:val="EE0000"/>
          <w:sz w:val="24"/>
          <w:szCs w:val="24"/>
          <w:lang w:val="en-GB"/>
        </w:rPr>
      </w:pPr>
      <w:r w:rsidRPr="00540E14">
        <w:rPr>
          <w:rFonts w:ascii="Times New Roman" w:hAnsi="Times New Roman" w:cs="Times New Roman"/>
          <w:color w:val="EE0000"/>
          <w:sz w:val="24"/>
          <w:szCs w:val="24"/>
          <w:lang w:val="en-GB"/>
        </w:rPr>
        <w:t xml:space="preserve">This figure shows the in situ SPOTS time-series analysis only in neutral density space. We do not show GCC-DIC in the same framework because the reconstruction is defined on a fixed pressure grid, and remapping it into neutral density space would not allow a consistent like-for-like comparison across sites. The caption has been revised accordingly. </w:t>
      </w:r>
    </w:p>
    <w:p w14:paraId="7036C753" w14:textId="1F82892F" w:rsidR="005839C1" w:rsidRDefault="005839C1" w:rsidP="004E1CA4">
      <w:pPr>
        <w:rPr>
          <w:rFonts w:ascii="Times New Roman" w:hAnsi="Times New Roman" w:cs="Times New Roman"/>
          <w:sz w:val="24"/>
          <w:szCs w:val="24"/>
          <w:lang w:val="en-GB"/>
        </w:rPr>
      </w:pPr>
      <w:r w:rsidRPr="00611AB3">
        <w:rPr>
          <w:rFonts w:ascii="Times New Roman" w:hAnsi="Times New Roman" w:cs="Times New Roman"/>
          <w:sz w:val="24"/>
          <w:szCs w:val="24"/>
          <w:lang w:val="en-GB"/>
        </w:rPr>
        <w:t>(58)</w:t>
      </w:r>
      <w:r w:rsidRPr="00611AB3">
        <w:rPr>
          <w:rFonts w:ascii="Times New Roman" w:hAnsi="Times New Roman" w:cs="Times New Roman"/>
          <w:sz w:val="24"/>
          <w:szCs w:val="24"/>
          <w:lang w:val="en-GB"/>
        </w:rPr>
        <w:tab/>
        <w:t>Table S2: superscript ’-1’ in the header. It is also unclear how this table validates GCC-DIX as claimed line 387-388.</w:t>
      </w:r>
    </w:p>
    <w:p w14:paraId="58B1E8A8" w14:textId="77777777" w:rsidR="00C60A14" w:rsidRDefault="00C60A14" w:rsidP="004E1CA4">
      <w:pPr>
        <w:rPr>
          <w:rFonts w:ascii="Times New Roman" w:hAnsi="Times New Roman" w:cs="Times New Roman"/>
          <w:color w:val="EE0000"/>
          <w:sz w:val="24"/>
          <w:szCs w:val="24"/>
          <w:lang w:val="en-GB"/>
        </w:rPr>
      </w:pPr>
      <w:r w:rsidRPr="00C60A14">
        <w:rPr>
          <w:rFonts w:ascii="Times New Roman" w:hAnsi="Times New Roman" w:cs="Times New Roman"/>
          <w:color w:val="EE0000"/>
          <w:sz w:val="24"/>
          <w:szCs w:val="24"/>
          <w:lang w:val="en-GB"/>
        </w:rPr>
        <w:t xml:space="preserve">We thank the reviewer for this comment. Table S2 is not intended to validate the absolute magnitude of GCC-DIC trends. Rather, it tests whether independent in situ time series also show statistically significant changes in DICsoft sequestration depth over comparable periods. The fact that such changes are detectable at most long-running stations supports the interpretation that decadal-scale vertical reorganization of biologically respired carbon is observable in independent data, and therefore that the redistribution patterns diagnosed in GCC-DIC are physically plausible rather than a reconstruction artefact. We have clarified this purpose in the revised Table S2 caption. </w:t>
      </w:r>
    </w:p>
    <w:p w14:paraId="7D9B30A6" w14:textId="77CB98CD" w:rsidR="005839C1" w:rsidRDefault="005839C1" w:rsidP="004E1CA4">
      <w:pPr>
        <w:rPr>
          <w:rFonts w:ascii="Times New Roman" w:hAnsi="Times New Roman" w:cs="Times New Roman"/>
          <w:sz w:val="24"/>
          <w:szCs w:val="24"/>
          <w:lang w:val="en-GB"/>
        </w:rPr>
      </w:pPr>
      <w:r w:rsidRPr="005E5692">
        <w:rPr>
          <w:rFonts w:ascii="Times New Roman" w:hAnsi="Times New Roman" w:cs="Times New Roman"/>
          <w:sz w:val="24"/>
          <w:szCs w:val="24"/>
          <w:lang w:val="en-GB"/>
        </w:rPr>
        <w:t>(59)</w:t>
      </w:r>
      <w:r w:rsidRPr="005E5692">
        <w:rPr>
          <w:rFonts w:ascii="Times New Roman" w:hAnsi="Times New Roman" w:cs="Times New Roman"/>
          <w:sz w:val="24"/>
          <w:szCs w:val="24"/>
          <w:lang w:val="en-GB"/>
        </w:rPr>
        <w:tab/>
        <w:t>Fig. S10: Very difficult to distinguish the different sites from the chosen colors. Suggest using different marker types.</w:t>
      </w:r>
    </w:p>
    <w:p w14:paraId="1F243618" w14:textId="316E3594" w:rsidR="001A28B8" w:rsidRPr="001A28B8" w:rsidRDefault="001A28B8" w:rsidP="004E1CA4">
      <w:pPr>
        <w:rPr>
          <w:rFonts w:ascii="Times New Roman" w:hAnsi="Times New Roman" w:cs="Times New Roman"/>
          <w:color w:val="EE0000"/>
          <w:sz w:val="24"/>
          <w:szCs w:val="24"/>
          <w:lang w:val="en-GB"/>
        </w:rPr>
      </w:pPr>
      <w:r w:rsidRPr="001A28B8">
        <w:rPr>
          <w:rFonts w:ascii="Times New Roman" w:hAnsi="Times New Roman" w:cs="Times New Roman"/>
          <w:color w:val="EE0000"/>
          <w:sz w:val="24"/>
          <w:szCs w:val="24"/>
          <w:lang w:val="en-GB"/>
        </w:rPr>
        <w:t>Figure was modified and now uses different markers.</w:t>
      </w:r>
    </w:p>
    <w:p w14:paraId="7DBF6584" w14:textId="6B8C3A08" w:rsidR="005839C1" w:rsidRPr="00611AB3" w:rsidRDefault="005839C1" w:rsidP="004E1CA4">
      <w:pPr>
        <w:rPr>
          <w:rFonts w:ascii="Times New Roman" w:hAnsi="Times New Roman" w:cs="Times New Roman"/>
          <w:b/>
          <w:bCs/>
          <w:sz w:val="24"/>
          <w:szCs w:val="24"/>
          <w:lang w:val="en-GB"/>
        </w:rPr>
      </w:pPr>
      <w:r w:rsidRPr="00611AB3">
        <w:rPr>
          <w:rFonts w:ascii="Times New Roman" w:hAnsi="Times New Roman" w:cs="Times New Roman"/>
          <w:b/>
          <w:bCs/>
          <w:sz w:val="24"/>
          <w:szCs w:val="24"/>
          <w:lang w:val="en-GB"/>
        </w:rPr>
        <w:lastRenderedPageBreak/>
        <w:t>References</w:t>
      </w:r>
    </w:p>
    <w:p w14:paraId="32A661B4" w14:textId="77777777" w:rsidR="005839C1" w:rsidRPr="00611AB3" w:rsidRDefault="005839C1" w:rsidP="004E1CA4">
      <w:pPr>
        <w:rPr>
          <w:rFonts w:ascii="Times New Roman" w:hAnsi="Times New Roman" w:cs="Times New Roman"/>
          <w:sz w:val="24"/>
          <w:szCs w:val="24"/>
          <w:lang w:val="en-GB"/>
        </w:rPr>
      </w:pPr>
      <w:r w:rsidRPr="00611AB3">
        <w:rPr>
          <w:rFonts w:ascii="Times New Roman" w:hAnsi="Times New Roman" w:cs="Times New Roman"/>
          <w:sz w:val="24"/>
          <w:szCs w:val="24"/>
          <w:lang w:val="en-GB"/>
        </w:rPr>
        <w:t>Brewer, P. G., and Peltzer, E. T. (2016). Ocean chemistry, ocean warming, and emerging hypoxia: Commentary. Journal of Geophysical Research: Oceans, 121(5), 3659–3667. https://doi.org/10.1002/2016jc011651.</w:t>
      </w:r>
    </w:p>
    <w:p w14:paraId="33FF0DAF" w14:textId="77777777" w:rsidR="005839C1" w:rsidRPr="00611AB3" w:rsidRDefault="005839C1" w:rsidP="004E1CA4">
      <w:pPr>
        <w:rPr>
          <w:rFonts w:ascii="Times New Roman" w:hAnsi="Times New Roman" w:cs="Times New Roman"/>
          <w:sz w:val="24"/>
          <w:szCs w:val="24"/>
          <w:lang w:val="en-GB"/>
        </w:rPr>
      </w:pPr>
      <w:r w:rsidRPr="00611AB3">
        <w:rPr>
          <w:rFonts w:ascii="Times New Roman" w:hAnsi="Times New Roman" w:cs="Times New Roman"/>
          <w:sz w:val="24"/>
          <w:szCs w:val="24"/>
          <w:lang w:val="en-GB"/>
        </w:rPr>
        <w:t>Hansell, D. A.: Recalcitrant dissolved organic carbon fractions, Annu. Rev. Marine. Sci., 5, 421–445, https://doi.org/10.1146/annurev-marine-120710-100757, 2013.</w:t>
      </w:r>
    </w:p>
    <w:p w14:paraId="15BEC9EB" w14:textId="5326BCB6" w:rsidR="005839C1" w:rsidRPr="00611AB3" w:rsidRDefault="005839C1" w:rsidP="004E1CA4">
      <w:pPr>
        <w:rPr>
          <w:rFonts w:ascii="Times New Roman" w:hAnsi="Times New Roman" w:cs="Times New Roman"/>
          <w:sz w:val="24"/>
          <w:szCs w:val="24"/>
          <w:lang w:val="en-GB"/>
        </w:rPr>
      </w:pPr>
      <w:r w:rsidRPr="00611AB3">
        <w:rPr>
          <w:rFonts w:ascii="Times New Roman" w:hAnsi="Times New Roman" w:cs="Times New Roman"/>
          <w:sz w:val="24"/>
          <w:szCs w:val="24"/>
          <w:lang w:val="en-GB"/>
        </w:rPr>
        <w:t>Ito T, Cervania A, Cross K, Ainchwar S, Delawalla S. 2024a. Mapping Dissolved Oxygen Concentrations by Combining Shipboard and Argo Observations Using Machine Learning Algorithms. Journal of Geophysical Research: Machine Learning and Computation 1: e2024JH000272.</w:t>
      </w:r>
    </w:p>
    <w:p w14:paraId="5354FDDC" w14:textId="77777777" w:rsidR="005839C1" w:rsidRPr="00611AB3" w:rsidRDefault="005839C1" w:rsidP="004E1CA4">
      <w:pPr>
        <w:rPr>
          <w:rFonts w:ascii="Times New Roman" w:hAnsi="Times New Roman" w:cs="Times New Roman"/>
          <w:sz w:val="24"/>
          <w:szCs w:val="24"/>
          <w:lang w:val="en-GB"/>
        </w:rPr>
      </w:pPr>
      <w:r w:rsidRPr="00611AB3">
        <w:rPr>
          <w:rFonts w:ascii="Times New Roman" w:hAnsi="Times New Roman" w:cs="Times New Roman"/>
          <w:sz w:val="24"/>
          <w:szCs w:val="24"/>
          <w:lang w:val="en-GB"/>
        </w:rPr>
        <w:t>Kessler, A., Galaasen, E. V., Ninnemann, U. S., and Tjiputra, J.: Ocean carbon inventory under warmer climate conditions – the case of the Last Interglacial, Clim. Past, 14, 1961–1976, https://doi.org/10.5194/cp-14-1961-2018, 2018.</w:t>
      </w:r>
    </w:p>
    <w:p w14:paraId="7E9BB151" w14:textId="77777777" w:rsidR="005839C1" w:rsidRPr="00611AB3" w:rsidRDefault="005839C1" w:rsidP="004E1CA4">
      <w:pPr>
        <w:rPr>
          <w:rFonts w:ascii="Times New Roman" w:hAnsi="Times New Roman" w:cs="Times New Roman"/>
          <w:sz w:val="24"/>
          <w:szCs w:val="24"/>
          <w:lang w:val="en-GB"/>
        </w:rPr>
      </w:pPr>
      <w:r w:rsidRPr="00611AB3">
        <w:rPr>
          <w:rFonts w:ascii="Times New Roman" w:hAnsi="Times New Roman" w:cs="Times New Roman"/>
          <w:sz w:val="24"/>
          <w:szCs w:val="24"/>
          <w:lang w:val="en-GB"/>
        </w:rPr>
        <w:t>Roach CJ, Bindoff NL. 2023. Developing a New Oxygen Atlas of the World’s Oceans Using Data Interpolating Variational Analysis. Journal of Atmospheric and Oceanic Technology 40: 1475-91.</w:t>
      </w:r>
    </w:p>
    <w:p w14:paraId="35EE6CCF" w14:textId="77777777" w:rsidR="005839C1" w:rsidRPr="00611AB3" w:rsidRDefault="005839C1" w:rsidP="004E1CA4">
      <w:pPr>
        <w:rPr>
          <w:rFonts w:ascii="Times New Roman" w:hAnsi="Times New Roman" w:cs="Times New Roman"/>
          <w:sz w:val="24"/>
          <w:szCs w:val="24"/>
          <w:lang w:val="en-GB"/>
        </w:rPr>
      </w:pPr>
      <w:r w:rsidRPr="00611AB3">
        <w:rPr>
          <w:rFonts w:ascii="Times New Roman" w:hAnsi="Times New Roman" w:cs="Times New Roman"/>
          <w:sz w:val="24"/>
          <w:szCs w:val="24"/>
          <w:lang w:val="en-GB"/>
        </w:rPr>
        <w:t>Sigman, D. and Boyle, E.: Glacial interglacial variations in atmospheric carbon dioxide, Nature, 407, 859–869, https://doi.org/10.1038/35038000, 2000.</w:t>
      </w:r>
    </w:p>
    <w:p w14:paraId="16D108C2" w14:textId="77777777" w:rsidR="005839C1" w:rsidRPr="00611AB3" w:rsidRDefault="005839C1" w:rsidP="004E1CA4">
      <w:pPr>
        <w:rPr>
          <w:rFonts w:ascii="Times New Roman" w:hAnsi="Times New Roman" w:cs="Times New Roman"/>
          <w:sz w:val="24"/>
          <w:szCs w:val="24"/>
          <w:lang w:val="en-GB"/>
        </w:rPr>
      </w:pPr>
      <w:r w:rsidRPr="00611AB3">
        <w:rPr>
          <w:rFonts w:ascii="Times New Roman" w:hAnsi="Times New Roman" w:cs="Times New Roman"/>
          <w:sz w:val="24"/>
          <w:szCs w:val="24"/>
          <w:lang w:val="fr-FR"/>
        </w:rPr>
        <w:t xml:space="preserve">Tian, D., Li, X., Song, J., Zhong, G., Ma, J., Wang, Y., et al. </w:t>
      </w:r>
      <w:r w:rsidRPr="00611AB3">
        <w:rPr>
          <w:rFonts w:ascii="Times New Roman" w:hAnsi="Times New Roman" w:cs="Times New Roman"/>
          <w:sz w:val="24"/>
          <w:szCs w:val="24"/>
          <w:lang w:val="en-GB"/>
        </w:rPr>
        <w:t>(2025). A decline in the vertical transport of partic-ulate organic carbon in the global open ocean. Journal of Geophysical Research: Oceans, 130, e2024JC021478. https://doi.org/10.1029/2024JC021478.</w:t>
      </w:r>
    </w:p>
    <w:p w14:paraId="10E0888E" w14:textId="6F2B7809" w:rsidR="0093606D" w:rsidRPr="00611AB3" w:rsidRDefault="005839C1" w:rsidP="004E1CA4">
      <w:pPr>
        <w:rPr>
          <w:rFonts w:ascii="Times New Roman" w:hAnsi="Times New Roman" w:cs="Times New Roman"/>
          <w:sz w:val="24"/>
          <w:szCs w:val="24"/>
          <w:lang w:val="en-GB"/>
        </w:rPr>
      </w:pPr>
      <w:r w:rsidRPr="00611AB3">
        <w:rPr>
          <w:rFonts w:ascii="Times New Roman" w:hAnsi="Times New Roman" w:cs="Times New Roman"/>
          <w:sz w:val="24"/>
          <w:szCs w:val="24"/>
          <w:lang w:val="en-GB"/>
        </w:rPr>
        <w:t xml:space="preserve">Schmidtko, S., Stramma, L., and Visbeck, M. (2017). Decline in global oceanic oxygen content during the past five decades. Nature Publishing Group, 542(7641), 335–339. </w:t>
      </w:r>
      <w:hyperlink r:id="rId22" w:history="1">
        <w:r w:rsidR="003C2878" w:rsidRPr="00611AB3">
          <w:rPr>
            <w:rStyle w:val="Hyperlink"/>
            <w:rFonts w:ascii="Times New Roman" w:hAnsi="Times New Roman" w:cs="Times New Roman"/>
            <w:sz w:val="24"/>
            <w:szCs w:val="24"/>
            <w:lang w:val="en-GB"/>
          </w:rPr>
          <w:t>https://doi.org/10.1038/nature21399</w:t>
        </w:r>
      </w:hyperlink>
    </w:p>
    <w:p w14:paraId="5D67A653" w14:textId="77777777" w:rsidR="003C2878" w:rsidRPr="00611AB3" w:rsidRDefault="003C2878" w:rsidP="004E1CA4">
      <w:pPr>
        <w:rPr>
          <w:rFonts w:ascii="Times New Roman" w:hAnsi="Times New Roman" w:cs="Times New Roman"/>
          <w:sz w:val="24"/>
          <w:szCs w:val="24"/>
          <w:lang w:val="en-GB"/>
        </w:rPr>
      </w:pPr>
    </w:p>
    <w:p w14:paraId="75CB0560" w14:textId="77777777" w:rsidR="003C2878" w:rsidRPr="00611AB3" w:rsidRDefault="003C2878" w:rsidP="004E1CA4">
      <w:pPr>
        <w:rPr>
          <w:rFonts w:ascii="Times New Roman" w:hAnsi="Times New Roman" w:cs="Times New Roman"/>
          <w:sz w:val="24"/>
          <w:szCs w:val="24"/>
          <w:lang w:val="en-GB"/>
        </w:rPr>
      </w:pPr>
    </w:p>
    <w:p w14:paraId="61EF069F" w14:textId="77777777" w:rsidR="00D75DED" w:rsidRDefault="00D75DED" w:rsidP="004E1CA4">
      <w:pPr>
        <w:rPr>
          <w:rFonts w:ascii="Times New Roman" w:hAnsi="Times New Roman" w:cs="Times New Roman"/>
          <w:sz w:val="24"/>
          <w:szCs w:val="24"/>
          <w:lang w:val="en-GB"/>
        </w:rPr>
      </w:pPr>
    </w:p>
    <w:p w14:paraId="2FE04216" w14:textId="77777777" w:rsidR="00B279CB" w:rsidRDefault="00B279CB" w:rsidP="004E1CA4">
      <w:pPr>
        <w:rPr>
          <w:rFonts w:ascii="Times New Roman" w:eastAsiaTheme="majorEastAsia" w:hAnsi="Times New Roman" w:cs="Times New Roman"/>
          <w:b/>
          <w:bCs/>
          <w:color w:val="000000" w:themeColor="text1"/>
          <w:sz w:val="24"/>
          <w:szCs w:val="24"/>
          <w:lang w:val="en-GB"/>
        </w:rPr>
      </w:pPr>
    </w:p>
    <w:p w14:paraId="38B27E71" w14:textId="77777777" w:rsidR="00B279CB" w:rsidRDefault="00B279CB" w:rsidP="004E1CA4">
      <w:pPr>
        <w:rPr>
          <w:rFonts w:ascii="Times New Roman" w:eastAsiaTheme="majorEastAsia" w:hAnsi="Times New Roman" w:cs="Times New Roman"/>
          <w:b/>
          <w:bCs/>
          <w:color w:val="000000" w:themeColor="text1"/>
          <w:sz w:val="24"/>
          <w:szCs w:val="24"/>
          <w:lang w:val="en-GB"/>
        </w:rPr>
      </w:pPr>
    </w:p>
    <w:p w14:paraId="2F31A31D" w14:textId="77777777" w:rsidR="00B279CB" w:rsidRDefault="00B279CB" w:rsidP="004E1CA4">
      <w:pPr>
        <w:rPr>
          <w:rFonts w:ascii="Times New Roman" w:eastAsiaTheme="majorEastAsia" w:hAnsi="Times New Roman" w:cs="Times New Roman"/>
          <w:b/>
          <w:bCs/>
          <w:color w:val="000000" w:themeColor="text1"/>
          <w:sz w:val="24"/>
          <w:szCs w:val="24"/>
          <w:lang w:val="en-GB"/>
        </w:rPr>
      </w:pPr>
    </w:p>
    <w:p w14:paraId="49846E2F" w14:textId="77777777" w:rsidR="00B279CB" w:rsidRDefault="00B279CB" w:rsidP="004E1CA4">
      <w:pPr>
        <w:rPr>
          <w:rFonts w:ascii="Times New Roman" w:eastAsiaTheme="majorEastAsia" w:hAnsi="Times New Roman" w:cs="Times New Roman"/>
          <w:b/>
          <w:bCs/>
          <w:color w:val="000000" w:themeColor="text1"/>
          <w:sz w:val="24"/>
          <w:szCs w:val="24"/>
          <w:lang w:val="en-GB"/>
        </w:rPr>
      </w:pPr>
    </w:p>
    <w:p w14:paraId="73C5C7F2" w14:textId="77777777" w:rsidR="00B279CB" w:rsidRDefault="00B279CB" w:rsidP="004E1CA4">
      <w:pPr>
        <w:rPr>
          <w:rFonts w:ascii="Times New Roman" w:eastAsiaTheme="majorEastAsia" w:hAnsi="Times New Roman" w:cs="Times New Roman"/>
          <w:b/>
          <w:bCs/>
          <w:color w:val="000000" w:themeColor="text1"/>
          <w:sz w:val="24"/>
          <w:szCs w:val="24"/>
          <w:lang w:val="en-GB"/>
        </w:rPr>
      </w:pPr>
    </w:p>
    <w:p w14:paraId="2F3D83E8" w14:textId="77777777" w:rsidR="00B279CB" w:rsidRDefault="00B279CB" w:rsidP="004E1CA4">
      <w:pPr>
        <w:rPr>
          <w:rFonts w:ascii="Times New Roman" w:eastAsiaTheme="majorEastAsia" w:hAnsi="Times New Roman" w:cs="Times New Roman"/>
          <w:b/>
          <w:bCs/>
          <w:color w:val="000000" w:themeColor="text1"/>
          <w:sz w:val="24"/>
          <w:szCs w:val="24"/>
          <w:lang w:val="en-GB"/>
        </w:rPr>
      </w:pPr>
    </w:p>
    <w:p w14:paraId="474B40AC" w14:textId="77777777" w:rsidR="00B279CB" w:rsidRDefault="00B279CB" w:rsidP="004E1CA4">
      <w:pPr>
        <w:rPr>
          <w:rFonts w:ascii="Times New Roman" w:eastAsiaTheme="majorEastAsia" w:hAnsi="Times New Roman" w:cs="Times New Roman"/>
          <w:b/>
          <w:bCs/>
          <w:color w:val="000000" w:themeColor="text1"/>
          <w:sz w:val="24"/>
          <w:szCs w:val="24"/>
          <w:lang w:val="en-GB"/>
        </w:rPr>
      </w:pPr>
    </w:p>
    <w:p w14:paraId="7B36CD55" w14:textId="77777777" w:rsidR="00B279CB" w:rsidRDefault="00B279CB" w:rsidP="004E1CA4">
      <w:pPr>
        <w:rPr>
          <w:rFonts w:ascii="Times New Roman" w:eastAsiaTheme="majorEastAsia" w:hAnsi="Times New Roman" w:cs="Times New Roman"/>
          <w:b/>
          <w:bCs/>
          <w:color w:val="000000" w:themeColor="text1"/>
          <w:sz w:val="24"/>
          <w:szCs w:val="24"/>
          <w:lang w:val="en-GB"/>
        </w:rPr>
      </w:pPr>
    </w:p>
    <w:p w14:paraId="693F932C" w14:textId="77777777" w:rsidR="00B279CB" w:rsidRDefault="00B279CB" w:rsidP="004E1CA4">
      <w:pPr>
        <w:rPr>
          <w:rFonts w:ascii="Times New Roman" w:eastAsiaTheme="majorEastAsia" w:hAnsi="Times New Roman" w:cs="Times New Roman"/>
          <w:b/>
          <w:bCs/>
          <w:color w:val="000000" w:themeColor="text1"/>
          <w:sz w:val="24"/>
          <w:szCs w:val="24"/>
          <w:lang w:val="en-GB"/>
        </w:rPr>
      </w:pPr>
    </w:p>
    <w:p w14:paraId="2E7D3BF5" w14:textId="007024C7" w:rsidR="003C2878" w:rsidRPr="00D75DED" w:rsidRDefault="003C2878" w:rsidP="004E1CA4">
      <w:pPr>
        <w:rPr>
          <w:rFonts w:ascii="Times New Roman" w:eastAsiaTheme="majorEastAsia" w:hAnsi="Times New Roman" w:cs="Times New Roman"/>
          <w:b/>
          <w:bCs/>
          <w:color w:val="000000" w:themeColor="text1"/>
          <w:sz w:val="24"/>
          <w:szCs w:val="24"/>
          <w:lang w:val="en-GB"/>
        </w:rPr>
      </w:pPr>
      <w:r w:rsidRPr="00611AB3">
        <w:rPr>
          <w:rFonts w:ascii="Times New Roman" w:eastAsiaTheme="majorEastAsia" w:hAnsi="Times New Roman" w:cs="Times New Roman"/>
          <w:b/>
          <w:bCs/>
          <w:color w:val="000000" w:themeColor="text1"/>
          <w:sz w:val="24"/>
          <w:szCs w:val="24"/>
          <w:lang w:val="en-GB"/>
        </w:rPr>
        <w:lastRenderedPageBreak/>
        <w:t>Reviewers #3</w:t>
      </w:r>
    </w:p>
    <w:p w14:paraId="4A4259E7" w14:textId="2FCA33B4" w:rsidR="00EB0447" w:rsidRDefault="009A62CB" w:rsidP="004E1CA4">
      <w:pPr>
        <w:rPr>
          <w:rFonts w:ascii="Times New Roman" w:hAnsi="Times New Roman" w:cs="Times New Roman"/>
          <w:sz w:val="24"/>
          <w:szCs w:val="24"/>
        </w:rPr>
      </w:pPr>
      <w:r w:rsidRPr="00611AB3">
        <w:rPr>
          <w:rFonts w:ascii="Times New Roman" w:hAnsi="Times New Roman" w:cs="Times New Roman"/>
          <w:sz w:val="24"/>
          <w:szCs w:val="24"/>
          <w:shd w:val="clear" w:color="auto" w:fill="FFFFFF"/>
        </w:rPr>
        <w:t>Delaigue et al., present a new dataset of the trend in DICsoft observed over 18 years from 2004 to 2022. Overall, the DICsoft trends are an interesting and novel data product. I’m not sure I have the best expertise to assess the robustness of the data product but the methodology is straightforward and consistent with climatological-based estimates of DICsoft. I think the interpretation of the trends, which is a central part of the manuscript, is completely unsupported as there is no additional evidence to support the interpretation of what is driving the trends over other equally plausible explanations.</w:t>
      </w:r>
    </w:p>
    <w:p w14:paraId="2669660B" w14:textId="4F0F4B80" w:rsidR="002111B7" w:rsidRPr="002111B7" w:rsidRDefault="002111B7" w:rsidP="002111B7">
      <w:pPr>
        <w:jc w:val="left"/>
        <w:rPr>
          <w:rFonts w:ascii="Times New Roman" w:hAnsi="Times New Roman" w:cs="Times New Roman"/>
          <w:color w:val="EE0000"/>
          <w:sz w:val="24"/>
          <w:szCs w:val="24"/>
          <w:shd w:val="clear" w:color="auto" w:fill="FFFFFF"/>
        </w:rPr>
      </w:pPr>
      <w:r>
        <w:rPr>
          <w:rFonts w:ascii="Times New Roman" w:hAnsi="Times New Roman" w:cs="Times New Roman"/>
          <w:color w:val="EE0000"/>
          <w:sz w:val="24"/>
          <w:szCs w:val="24"/>
          <w:shd w:val="clear" w:color="auto" w:fill="FFFFFF"/>
        </w:rPr>
        <w:t>The</w:t>
      </w:r>
      <w:r w:rsidRPr="002111B7">
        <w:rPr>
          <w:rFonts w:ascii="Times New Roman" w:hAnsi="Times New Roman" w:cs="Times New Roman"/>
          <w:color w:val="EE0000"/>
          <w:sz w:val="24"/>
          <w:szCs w:val="24"/>
          <w:shd w:val="clear" w:color="auto" w:fill="FFFFFF"/>
        </w:rPr>
        <w:t xml:space="preserve"> original interpretation of the trends was too strong. In the revised manuscript, we have therefore removed unsupported mechanistic claims and reframed the results more cautiously.</w:t>
      </w:r>
    </w:p>
    <w:p w14:paraId="2C682009" w14:textId="705E5FE3" w:rsidR="002111B7" w:rsidRDefault="002111B7" w:rsidP="002111B7">
      <w:pPr>
        <w:jc w:val="left"/>
        <w:rPr>
          <w:rFonts w:ascii="Times New Roman" w:hAnsi="Times New Roman" w:cs="Times New Roman"/>
          <w:color w:val="EE0000"/>
          <w:sz w:val="24"/>
          <w:szCs w:val="24"/>
          <w:shd w:val="clear" w:color="auto" w:fill="FFFFFF"/>
        </w:rPr>
      </w:pPr>
      <w:r w:rsidRPr="002111B7">
        <w:rPr>
          <w:rFonts w:ascii="Times New Roman" w:hAnsi="Times New Roman" w:cs="Times New Roman"/>
          <w:color w:val="EE0000"/>
          <w:sz w:val="24"/>
          <w:szCs w:val="24"/>
          <w:shd w:val="clear" w:color="auto" w:fill="FFFFFF"/>
        </w:rPr>
        <w:t xml:space="preserve">The revised analysis now places the diagnosed </w:t>
      </w:r>
      <w:r w:rsidR="000A5434" w:rsidRPr="008919E6">
        <w:rPr>
          <w:rFonts w:ascii="Times New Roman" w:hAnsi="Times New Roman" w:cs="Times New Roman"/>
          <w:color w:val="EE0000"/>
          <w:sz w:val="24"/>
          <w:szCs w:val="24"/>
          <w:lang w:val="en-GB"/>
        </w:rPr>
        <w:t>DIC</w:t>
      </w:r>
      <w:r w:rsidR="000A5434" w:rsidRPr="001669EC">
        <w:rPr>
          <w:rFonts w:ascii="Times New Roman" w:hAnsi="Times New Roman" w:cs="Times New Roman"/>
          <w:color w:val="EE0000"/>
          <w:sz w:val="24"/>
          <w:szCs w:val="24"/>
          <w:vertAlign w:val="subscript"/>
          <w:lang w:val="en-GB"/>
        </w:rPr>
        <w:t>soft</w:t>
      </w:r>
      <w:r w:rsidR="000A5434" w:rsidRPr="002111B7">
        <w:rPr>
          <w:rFonts w:ascii="Times New Roman" w:hAnsi="Times New Roman" w:cs="Times New Roman"/>
          <w:color w:val="EE0000"/>
          <w:sz w:val="24"/>
          <w:szCs w:val="24"/>
          <w:shd w:val="clear" w:color="auto" w:fill="FFFFFF"/>
        </w:rPr>
        <w:t xml:space="preserve"> </w:t>
      </w:r>
      <w:r w:rsidRPr="002111B7">
        <w:rPr>
          <w:rFonts w:ascii="Times New Roman" w:hAnsi="Times New Roman" w:cs="Times New Roman"/>
          <w:color w:val="EE0000"/>
          <w:sz w:val="24"/>
          <w:szCs w:val="24"/>
          <w:shd w:val="clear" w:color="auto" w:fill="FFFFFF"/>
        </w:rPr>
        <w:t>redistribution in the context of independent physical diagnostics of upper-ocean stratification and interior ventilation, while avoiding attribution to a single driver. The manuscript now presents these patterns as an observation-based diagnosis of regional and vertical redistribution of biologically respired carbon, consistent with multiple co-occurring physical and biological processes.</w:t>
      </w:r>
    </w:p>
    <w:p w14:paraId="75C12A3C" w14:textId="230FB38E" w:rsidR="00F908F7" w:rsidRDefault="009A62CB" w:rsidP="002111B7">
      <w:pPr>
        <w:jc w:val="left"/>
        <w:rPr>
          <w:rFonts w:ascii="Times New Roman" w:hAnsi="Times New Roman" w:cs="Times New Roman"/>
          <w:sz w:val="24"/>
          <w:szCs w:val="24"/>
          <w:shd w:val="clear" w:color="auto" w:fill="FFFFFF"/>
        </w:rPr>
      </w:pPr>
      <w:r w:rsidRPr="00611AB3">
        <w:rPr>
          <w:rFonts w:ascii="Times New Roman" w:eastAsiaTheme="majorEastAsia" w:hAnsi="Times New Roman" w:cs="Times New Roman"/>
          <w:b/>
          <w:bCs/>
          <w:color w:val="000000" w:themeColor="text1"/>
          <w:sz w:val="24"/>
          <w:szCs w:val="24"/>
          <w:lang w:val="en-GB"/>
        </w:rPr>
        <w:t>Interpretation of results</w:t>
      </w:r>
      <w:r w:rsidRPr="00611AB3">
        <w:rPr>
          <w:rFonts w:ascii="Times New Roman" w:hAnsi="Times New Roman" w:cs="Times New Roman"/>
          <w:sz w:val="24"/>
          <w:szCs w:val="24"/>
          <w:shd w:val="clear" w:color="auto" w:fill="FFFFFF"/>
        </w:rPr>
        <w:br/>
        <w:t>A key finding of the manuscript is that the inventory of DICsoft is unchanged but that DICsoft is spatially reorganised. 18 years is a short timescale given the turnover time of DICsoft and the ocean generally, so you could interpret Figure 1 as a small change that is not yet statistically distinguishable from zero. This is not necessarily the same as no change in DICsoft. To me, Figure 2 also visually looks to confirm a small increase in DICsoft overall rather than a balance of gains and losses.</w:t>
      </w:r>
    </w:p>
    <w:p w14:paraId="5CC5C3D4" w14:textId="66E1D9B5" w:rsidR="00BB0252" w:rsidRPr="00BB0252" w:rsidRDefault="00BB0252" w:rsidP="00BB0252">
      <w:pPr>
        <w:rPr>
          <w:rFonts w:ascii="Times New Roman" w:hAnsi="Times New Roman" w:cs="Times New Roman"/>
          <w:color w:val="EE0000"/>
          <w:sz w:val="24"/>
          <w:szCs w:val="24"/>
          <w:shd w:val="clear" w:color="auto" w:fill="FFFFFF"/>
        </w:rPr>
      </w:pPr>
      <w:r w:rsidRPr="00BB0252">
        <w:rPr>
          <w:rFonts w:ascii="Times New Roman" w:hAnsi="Times New Roman" w:cs="Times New Roman"/>
          <w:color w:val="EE0000"/>
          <w:sz w:val="24"/>
          <w:szCs w:val="24"/>
          <w:shd w:val="clear" w:color="auto" w:fill="FFFFFF"/>
        </w:rPr>
        <w:t xml:space="preserve">The observational period is short relative to the turnover time of interior </w:t>
      </w:r>
      <w:r w:rsidRPr="008919E6">
        <w:rPr>
          <w:rFonts w:ascii="Times New Roman" w:hAnsi="Times New Roman" w:cs="Times New Roman"/>
          <w:color w:val="EE0000"/>
          <w:sz w:val="24"/>
          <w:szCs w:val="24"/>
          <w:lang w:val="en-GB"/>
        </w:rPr>
        <w:t>DIC</w:t>
      </w:r>
      <w:r w:rsidRPr="001669EC">
        <w:rPr>
          <w:rFonts w:ascii="Times New Roman" w:hAnsi="Times New Roman" w:cs="Times New Roman"/>
          <w:color w:val="EE0000"/>
          <w:sz w:val="24"/>
          <w:szCs w:val="24"/>
          <w:vertAlign w:val="subscript"/>
          <w:lang w:val="en-GB"/>
        </w:rPr>
        <w:t>soft</w:t>
      </w:r>
      <w:r w:rsidRPr="00BB0252">
        <w:rPr>
          <w:rFonts w:ascii="Times New Roman" w:hAnsi="Times New Roman" w:cs="Times New Roman"/>
          <w:color w:val="EE0000"/>
          <w:sz w:val="24"/>
          <w:szCs w:val="24"/>
          <w:shd w:val="clear" w:color="auto" w:fill="FFFFFF"/>
        </w:rPr>
        <w:t xml:space="preserve">, so the appropriate conclusion is not that </w:t>
      </w:r>
      <w:r w:rsidRPr="008919E6">
        <w:rPr>
          <w:rFonts w:ascii="Times New Roman" w:hAnsi="Times New Roman" w:cs="Times New Roman"/>
          <w:color w:val="EE0000"/>
          <w:sz w:val="24"/>
          <w:szCs w:val="24"/>
          <w:lang w:val="en-GB"/>
        </w:rPr>
        <w:t>DIC</w:t>
      </w:r>
      <w:r w:rsidRPr="001669EC">
        <w:rPr>
          <w:rFonts w:ascii="Times New Roman" w:hAnsi="Times New Roman" w:cs="Times New Roman"/>
          <w:color w:val="EE0000"/>
          <w:sz w:val="24"/>
          <w:szCs w:val="24"/>
          <w:vertAlign w:val="subscript"/>
          <w:lang w:val="en-GB"/>
        </w:rPr>
        <w:t>soft</w:t>
      </w:r>
      <w:r w:rsidRPr="002111B7">
        <w:rPr>
          <w:rFonts w:ascii="Times New Roman" w:hAnsi="Times New Roman" w:cs="Times New Roman"/>
          <w:color w:val="EE0000"/>
          <w:sz w:val="24"/>
          <w:szCs w:val="24"/>
          <w:shd w:val="clear" w:color="auto" w:fill="FFFFFF"/>
        </w:rPr>
        <w:t xml:space="preserve"> </w:t>
      </w:r>
      <w:r w:rsidRPr="00BB0252">
        <w:rPr>
          <w:rFonts w:ascii="Times New Roman" w:hAnsi="Times New Roman" w:cs="Times New Roman"/>
          <w:color w:val="EE0000"/>
          <w:sz w:val="24"/>
          <w:szCs w:val="24"/>
          <w:shd w:val="clear" w:color="auto" w:fill="FFFFFF"/>
        </w:rPr>
        <w:t>is unchanged, but that any global change is not statistically distinguishable from zero over 2004–2024.</w:t>
      </w:r>
      <w:r>
        <w:rPr>
          <w:rFonts w:ascii="Times New Roman" w:hAnsi="Times New Roman" w:cs="Times New Roman"/>
          <w:color w:val="EE0000"/>
          <w:sz w:val="24"/>
          <w:szCs w:val="24"/>
          <w:shd w:val="clear" w:color="auto" w:fill="FFFFFF"/>
        </w:rPr>
        <w:t xml:space="preserve"> </w:t>
      </w:r>
      <w:r w:rsidRPr="00BB0252">
        <w:rPr>
          <w:rFonts w:ascii="Times New Roman" w:hAnsi="Times New Roman" w:cs="Times New Roman"/>
          <w:color w:val="EE0000"/>
          <w:sz w:val="24"/>
          <w:szCs w:val="24"/>
          <w:shd w:val="clear" w:color="auto" w:fill="FFFFFF"/>
        </w:rPr>
        <w:t>We have revised the manuscript accordingly. The text now explicitly distinguishes no detectable change from no change, and notes that a small underlying global trend cannot be excluded.</w:t>
      </w:r>
    </w:p>
    <w:p w14:paraId="27B5EF57" w14:textId="29F672EF" w:rsidR="00A361A4" w:rsidRDefault="00BB0252" w:rsidP="00BB0252">
      <w:pPr>
        <w:rPr>
          <w:rFonts w:ascii="Times New Roman" w:hAnsi="Times New Roman" w:cs="Times New Roman"/>
          <w:sz w:val="24"/>
          <w:szCs w:val="24"/>
          <w:shd w:val="clear" w:color="auto" w:fill="FFFFFF"/>
        </w:rPr>
      </w:pPr>
      <w:r w:rsidRPr="00BB0252">
        <w:rPr>
          <w:rFonts w:ascii="Times New Roman" w:hAnsi="Times New Roman" w:cs="Times New Roman"/>
          <w:color w:val="EE0000"/>
          <w:sz w:val="24"/>
          <w:szCs w:val="24"/>
          <w:shd w:val="clear" w:color="auto" w:fill="FFFFFF"/>
        </w:rPr>
        <w:t>We also clarify that Fig. 2 should not be interpreted as evidence for a net global increase: positive regional signals are offset by negative trends elsewhere, and the area-weighted depth-integrated global signal remains within uncertainty of zero. The revised manuscript therefore emphasizes regional and vertical redistribution as the clearest result on this timescale.</w:t>
      </w:r>
      <w:r w:rsidR="009A62CB" w:rsidRPr="00611AB3">
        <w:rPr>
          <w:rFonts w:ascii="Times New Roman" w:hAnsi="Times New Roman" w:cs="Times New Roman"/>
          <w:sz w:val="24"/>
          <w:szCs w:val="24"/>
          <w:shd w:val="clear" w:color="auto" w:fill="FFFFFF"/>
        </w:rPr>
        <w:br/>
      </w:r>
      <w:r w:rsidR="009A62CB" w:rsidRPr="00611AB3">
        <w:rPr>
          <w:rFonts w:ascii="Times New Roman" w:hAnsi="Times New Roman" w:cs="Times New Roman"/>
          <w:sz w:val="24"/>
          <w:szCs w:val="24"/>
          <w:shd w:val="clear" w:color="auto" w:fill="FFFFFF"/>
        </w:rPr>
        <w:br/>
        <w:t>The authors cannot support their suggested interpretations of what mechanisms are driving spatial patterns in DICsoft (export, remineralisation or circulation). At a bare minimum the authors need to provide additional evidence, such as changes in POC export, to show that the magnitude and direction of change is consistent with their interpretation. An alternative approach could be model simulations to demonstrate the potential tracer change in response to different mechanisms. Without supporting evidence, the interpretations are conjecture. There are also some additional challenges: </w:t>
      </w:r>
      <w:r w:rsidR="009A62CB" w:rsidRPr="00611AB3">
        <w:rPr>
          <w:rFonts w:ascii="Times New Roman" w:hAnsi="Times New Roman" w:cs="Times New Roman"/>
          <w:sz w:val="24"/>
          <w:szCs w:val="24"/>
          <w:shd w:val="clear" w:color="auto" w:fill="FFFFFF"/>
        </w:rPr>
        <w:br/>
        <w:t>- POC remineralisation rates are generally a lot smaller than the exchange of tracer in a grid-box via circulation. Is it possible to reliably detect any POC-based changes over the short timescale?</w:t>
      </w:r>
      <w:r w:rsidR="009A62CB" w:rsidRPr="00611AB3">
        <w:rPr>
          <w:rFonts w:ascii="Times New Roman" w:hAnsi="Times New Roman" w:cs="Times New Roman"/>
          <w:sz w:val="24"/>
          <w:szCs w:val="24"/>
          <w:shd w:val="clear" w:color="auto" w:fill="FFFFFF"/>
        </w:rPr>
        <w:br/>
      </w:r>
      <w:r w:rsidR="009A62CB" w:rsidRPr="00611AB3">
        <w:rPr>
          <w:rFonts w:ascii="Times New Roman" w:hAnsi="Times New Roman" w:cs="Times New Roman"/>
          <w:sz w:val="24"/>
          <w:szCs w:val="24"/>
          <w:shd w:val="clear" w:color="auto" w:fill="FFFFFF"/>
        </w:rPr>
        <w:lastRenderedPageBreak/>
        <w:t>- How do you disentangle a change in POC export vs. a changing vertical distribution of remineralisation in a depth-integrated rate?</w:t>
      </w:r>
    </w:p>
    <w:p w14:paraId="1A37AB60" w14:textId="1BF17C43" w:rsidR="00540795" w:rsidRPr="00540795" w:rsidRDefault="00540795" w:rsidP="00540795">
      <w:pPr>
        <w:rPr>
          <w:rFonts w:ascii="Times New Roman" w:hAnsi="Times New Roman" w:cs="Times New Roman"/>
          <w:color w:val="EE0000"/>
          <w:sz w:val="24"/>
          <w:szCs w:val="24"/>
          <w:shd w:val="clear" w:color="auto" w:fill="FFFFFF"/>
        </w:rPr>
      </w:pPr>
      <w:r w:rsidRPr="00540795">
        <w:rPr>
          <w:rFonts w:ascii="Times New Roman" w:hAnsi="Times New Roman" w:cs="Times New Roman"/>
          <w:color w:val="EE0000"/>
          <w:sz w:val="24"/>
          <w:szCs w:val="24"/>
          <w:shd w:val="clear" w:color="auto" w:fill="FFFFFF"/>
        </w:rPr>
        <w:t xml:space="preserve">In the revised manuscript, we no longer attribute the observed </w:t>
      </w:r>
      <w:r w:rsidRPr="008919E6">
        <w:rPr>
          <w:rFonts w:ascii="Times New Roman" w:hAnsi="Times New Roman" w:cs="Times New Roman"/>
          <w:color w:val="EE0000"/>
          <w:sz w:val="24"/>
          <w:szCs w:val="24"/>
          <w:lang w:val="en-GB"/>
        </w:rPr>
        <w:t>DIC</w:t>
      </w:r>
      <w:r w:rsidRPr="001669EC">
        <w:rPr>
          <w:rFonts w:ascii="Times New Roman" w:hAnsi="Times New Roman" w:cs="Times New Roman"/>
          <w:color w:val="EE0000"/>
          <w:sz w:val="24"/>
          <w:szCs w:val="24"/>
          <w:vertAlign w:val="subscript"/>
          <w:lang w:val="en-GB"/>
        </w:rPr>
        <w:t>soft</w:t>
      </w:r>
      <w:r w:rsidRPr="00540795">
        <w:rPr>
          <w:rFonts w:ascii="Times New Roman" w:hAnsi="Times New Roman" w:cs="Times New Roman"/>
          <w:color w:val="EE0000"/>
          <w:sz w:val="24"/>
          <w:szCs w:val="24"/>
          <w:shd w:val="clear" w:color="auto" w:fill="FFFFFF"/>
        </w:rPr>
        <w:t xml:space="preserve"> patterns to specific changes in export, remineralization, or circulation. Instead, we frame the results more cautiously as an observation-based diagnosis of redistribution of biologically respired carbon.</w:t>
      </w:r>
    </w:p>
    <w:p w14:paraId="64B64815" w14:textId="0213428B" w:rsidR="00540795" w:rsidRPr="00540795" w:rsidRDefault="00540795" w:rsidP="00540795">
      <w:pPr>
        <w:rPr>
          <w:rFonts w:ascii="Times New Roman" w:hAnsi="Times New Roman" w:cs="Times New Roman"/>
          <w:color w:val="EE0000"/>
          <w:sz w:val="24"/>
          <w:szCs w:val="24"/>
          <w:shd w:val="clear" w:color="auto" w:fill="FFFFFF"/>
        </w:rPr>
      </w:pPr>
      <w:r w:rsidRPr="00540795">
        <w:rPr>
          <w:rFonts w:ascii="Times New Roman" w:hAnsi="Times New Roman" w:cs="Times New Roman"/>
          <w:color w:val="EE0000"/>
          <w:sz w:val="24"/>
          <w:szCs w:val="24"/>
          <w:shd w:val="clear" w:color="auto" w:fill="FFFFFF"/>
        </w:rPr>
        <w:t xml:space="preserve">We now state explicitly that, on these timescales, remineralization-driven tracer changes are small relative to circulation-driven redistribution, and that depth-integrated </w:t>
      </w:r>
      <w:r w:rsidRPr="008919E6">
        <w:rPr>
          <w:rFonts w:ascii="Times New Roman" w:hAnsi="Times New Roman" w:cs="Times New Roman"/>
          <w:color w:val="EE0000"/>
          <w:sz w:val="24"/>
          <w:szCs w:val="24"/>
          <w:lang w:val="en-GB"/>
        </w:rPr>
        <w:t>DIC</w:t>
      </w:r>
      <w:r w:rsidRPr="001669EC">
        <w:rPr>
          <w:rFonts w:ascii="Times New Roman" w:hAnsi="Times New Roman" w:cs="Times New Roman"/>
          <w:color w:val="EE0000"/>
          <w:sz w:val="24"/>
          <w:szCs w:val="24"/>
          <w:vertAlign w:val="subscript"/>
          <w:lang w:val="en-GB"/>
        </w:rPr>
        <w:t>soft</w:t>
      </w:r>
      <w:r w:rsidRPr="00540795">
        <w:rPr>
          <w:rFonts w:ascii="Times New Roman" w:hAnsi="Times New Roman" w:cs="Times New Roman"/>
          <w:color w:val="EE0000"/>
          <w:sz w:val="24"/>
          <w:szCs w:val="24"/>
          <w:shd w:val="clear" w:color="auto" w:fill="FFFFFF"/>
        </w:rPr>
        <w:t xml:space="preserve"> trends cannot by themselves separate changes in export magnitude from changes in remineralization depth.</w:t>
      </w:r>
    </w:p>
    <w:p w14:paraId="7E3B8EB8" w14:textId="77777777" w:rsidR="00540795" w:rsidRDefault="00540795" w:rsidP="00540795">
      <w:pPr>
        <w:rPr>
          <w:rFonts w:ascii="Times New Roman" w:hAnsi="Times New Roman" w:cs="Times New Roman"/>
          <w:color w:val="EE0000"/>
          <w:sz w:val="24"/>
          <w:szCs w:val="24"/>
          <w:shd w:val="clear" w:color="auto" w:fill="FFFFFF"/>
        </w:rPr>
      </w:pPr>
      <w:r w:rsidRPr="00540795">
        <w:rPr>
          <w:rFonts w:ascii="Times New Roman" w:hAnsi="Times New Roman" w:cs="Times New Roman"/>
          <w:color w:val="EE0000"/>
          <w:sz w:val="24"/>
          <w:szCs w:val="24"/>
          <w:shd w:val="clear" w:color="auto" w:fill="FFFFFF"/>
        </w:rPr>
        <w:t>Accordingly, the revised analysis focuses on stratification, ventilation context, vertical structure, and sequestration depth, which allow us to describe how carbon storage is reorganized without making unsupported mechanistic claims.</w:t>
      </w:r>
    </w:p>
    <w:p w14:paraId="19658D87" w14:textId="44B8BD1B" w:rsidR="00E92D15" w:rsidRDefault="009A62CB" w:rsidP="00540795">
      <w:pPr>
        <w:rPr>
          <w:rFonts w:ascii="Times New Roman" w:hAnsi="Times New Roman" w:cs="Times New Roman"/>
          <w:sz w:val="24"/>
          <w:szCs w:val="24"/>
          <w:shd w:val="clear" w:color="auto" w:fill="FFFFFF"/>
        </w:rPr>
      </w:pPr>
      <w:r w:rsidRPr="00611AB3">
        <w:rPr>
          <w:rFonts w:ascii="Times New Roman" w:hAnsi="Times New Roman" w:cs="Times New Roman"/>
          <w:sz w:val="24"/>
          <w:szCs w:val="24"/>
          <w:shd w:val="clear" w:color="auto" w:fill="FFFFFF"/>
        </w:rPr>
        <w:br/>
        <w:t>An alternative potential application of the DICsoft trends would be as an emerging constraint on earth system model predictions rather than explaining the underlying drivers. The equivalent DICsoft trends can be derived over the same time period in historical CMIP simulations via AOU – are they all consistent with these new observations? Do the ones that best represent the observed trends have bigger/smaller, earlier/later responses in DICsoft?</w:t>
      </w:r>
    </w:p>
    <w:p w14:paraId="3B6EE03B" w14:textId="719A81E6" w:rsidR="003F16E9" w:rsidRPr="003F16E9" w:rsidRDefault="003F16E9" w:rsidP="003F16E9">
      <w:pPr>
        <w:jc w:val="left"/>
        <w:rPr>
          <w:rFonts w:ascii="Times New Roman" w:hAnsi="Times New Roman" w:cs="Times New Roman"/>
          <w:color w:val="EE0000"/>
          <w:sz w:val="24"/>
          <w:szCs w:val="24"/>
          <w:shd w:val="clear" w:color="auto" w:fill="FFFFFF"/>
        </w:rPr>
      </w:pPr>
      <w:r w:rsidRPr="003F16E9">
        <w:rPr>
          <w:rFonts w:ascii="Times New Roman" w:hAnsi="Times New Roman" w:cs="Times New Roman"/>
          <w:color w:val="EE0000"/>
          <w:sz w:val="24"/>
          <w:szCs w:val="24"/>
          <w:shd w:val="clear" w:color="auto" w:fill="FFFFFF"/>
        </w:rPr>
        <w:t xml:space="preserve">We agree. The </w:t>
      </w:r>
      <w:r w:rsidRPr="008919E6">
        <w:rPr>
          <w:rFonts w:ascii="Times New Roman" w:hAnsi="Times New Roman" w:cs="Times New Roman"/>
          <w:color w:val="EE0000"/>
          <w:sz w:val="24"/>
          <w:szCs w:val="24"/>
          <w:lang w:val="en-GB"/>
        </w:rPr>
        <w:t>DIC</w:t>
      </w:r>
      <w:r w:rsidRPr="001669EC">
        <w:rPr>
          <w:rFonts w:ascii="Times New Roman" w:hAnsi="Times New Roman" w:cs="Times New Roman"/>
          <w:color w:val="EE0000"/>
          <w:sz w:val="24"/>
          <w:szCs w:val="24"/>
          <w:vertAlign w:val="subscript"/>
          <w:lang w:val="en-GB"/>
        </w:rPr>
        <w:t>soft</w:t>
      </w:r>
      <w:r w:rsidRPr="00540795">
        <w:rPr>
          <w:rFonts w:ascii="Times New Roman" w:hAnsi="Times New Roman" w:cs="Times New Roman"/>
          <w:color w:val="EE0000"/>
          <w:sz w:val="24"/>
          <w:szCs w:val="24"/>
          <w:shd w:val="clear" w:color="auto" w:fill="FFFFFF"/>
        </w:rPr>
        <w:t xml:space="preserve"> </w:t>
      </w:r>
      <w:r w:rsidRPr="003F16E9">
        <w:rPr>
          <w:rFonts w:ascii="Times New Roman" w:hAnsi="Times New Roman" w:cs="Times New Roman"/>
          <w:color w:val="EE0000"/>
          <w:sz w:val="24"/>
          <w:szCs w:val="24"/>
          <w:shd w:val="clear" w:color="auto" w:fill="FFFFFF"/>
        </w:rPr>
        <w:t>trends diagnosed here provide a useful emerging benchmark for Earth system models, because the same AOU-based framework can be applied to model output for direct comparison with observations.</w:t>
      </w:r>
    </w:p>
    <w:p w14:paraId="279D01FD" w14:textId="77777777" w:rsidR="003F16E9" w:rsidRPr="003F16E9" w:rsidRDefault="003F16E9" w:rsidP="003F16E9">
      <w:pPr>
        <w:jc w:val="left"/>
        <w:rPr>
          <w:rFonts w:ascii="Times New Roman" w:hAnsi="Times New Roman" w:cs="Times New Roman"/>
          <w:color w:val="EE0000"/>
          <w:sz w:val="24"/>
          <w:szCs w:val="24"/>
          <w:shd w:val="clear" w:color="auto" w:fill="FFFFFF"/>
        </w:rPr>
      </w:pPr>
      <w:r w:rsidRPr="003F16E9">
        <w:rPr>
          <w:rFonts w:ascii="Times New Roman" w:hAnsi="Times New Roman" w:cs="Times New Roman"/>
          <w:color w:val="EE0000"/>
          <w:sz w:val="24"/>
          <w:szCs w:val="24"/>
          <w:shd w:val="clear" w:color="auto" w:fill="FFFFFF"/>
        </w:rPr>
        <w:t>A full CMIP analysis would require careful treatment of ensemble selection, model drift, and observational sampling, and is therefore beyond the scope of this study.</w:t>
      </w:r>
    </w:p>
    <w:p w14:paraId="1AEBDD5B" w14:textId="4D62167C" w:rsidR="003A5237" w:rsidRDefault="003F16E9" w:rsidP="003F16E9">
      <w:pPr>
        <w:jc w:val="left"/>
        <w:rPr>
          <w:rFonts w:ascii="Times New Roman" w:hAnsi="Times New Roman" w:cs="Times New Roman"/>
          <w:sz w:val="24"/>
          <w:szCs w:val="24"/>
          <w:shd w:val="clear" w:color="auto" w:fill="FFFFFF"/>
        </w:rPr>
      </w:pPr>
      <w:r w:rsidRPr="003F16E9">
        <w:rPr>
          <w:rFonts w:ascii="Times New Roman" w:hAnsi="Times New Roman" w:cs="Times New Roman"/>
          <w:color w:val="EE0000"/>
          <w:sz w:val="24"/>
          <w:szCs w:val="24"/>
          <w:shd w:val="clear" w:color="auto" w:fill="FFFFFF"/>
        </w:rPr>
        <w:t>We have revised the manuscript to make this point explicit and to frame the present results as an observation-based constraint on model representations of regional redistribution, vertical storage structure, and sequestration depth of biologically respired carbon.</w:t>
      </w:r>
      <w:r w:rsidR="009A62CB" w:rsidRPr="00611AB3">
        <w:rPr>
          <w:rFonts w:ascii="Times New Roman" w:hAnsi="Times New Roman" w:cs="Times New Roman"/>
          <w:sz w:val="24"/>
          <w:szCs w:val="24"/>
          <w:shd w:val="clear" w:color="auto" w:fill="FFFFFF"/>
        </w:rPr>
        <w:br/>
      </w:r>
      <w:r w:rsidR="009A62CB" w:rsidRPr="00611AB3">
        <w:rPr>
          <w:rFonts w:ascii="Times New Roman" w:hAnsi="Times New Roman" w:cs="Times New Roman"/>
          <w:sz w:val="24"/>
          <w:szCs w:val="24"/>
          <w:shd w:val="clear" w:color="auto" w:fill="FFFFFF"/>
        </w:rPr>
        <w:br/>
      </w:r>
      <w:r w:rsidR="009A62CB" w:rsidRPr="00611AB3">
        <w:rPr>
          <w:rFonts w:ascii="Times New Roman" w:eastAsiaTheme="majorEastAsia" w:hAnsi="Times New Roman" w:cs="Times New Roman"/>
          <w:b/>
          <w:bCs/>
          <w:color w:val="000000" w:themeColor="text1"/>
          <w:sz w:val="24"/>
          <w:szCs w:val="24"/>
          <w:lang w:val="en-GB"/>
        </w:rPr>
        <w:t>Sequestration Horizon</w:t>
      </w:r>
      <w:r w:rsidR="009A62CB" w:rsidRPr="00611AB3">
        <w:rPr>
          <w:rFonts w:ascii="Times New Roman" w:hAnsi="Times New Roman" w:cs="Times New Roman"/>
          <w:sz w:val="24"/>
          <w:szCs w:val="24"/>
          <w:shd w:val="clear" w:color="auto" w:fill="FFFFFF"/>
        </w:rPr>
        <w:br/>
      </w:r>
      <w:r w:rsidR="009A62CB" w:rsidRPr="00611AB3">
        <w:rPr>
          <w:rFonts w:ascii="Times New Roman" w:hAnsi="Times New Roman" w:cs="Times New Roman"/>
          <w:sz w:val="24"/>
          <w:szCs w:val="24"/>
          <w:shd w:val="clear" w:color="auto" w:fill="FFFFFF"/>
        </w:rPr>
        <w:br/>
        <w:t>I think this is an interesting concept! Effectively the authors are relating the vertical gradient of DICsoft in a water column to the carbon sequestration. I’m not aware of this being explored much before other than perhaps Oka et al., (2020</w:t>
      </w:r>
      <w:r w:rsidR="009A62CB" w:rsidRPr="00611AB3">
        <w:rPr>
          <w:rFonts w:ascii="Times New Roman" w:hAnsi="Times New Roman" w:cs="Times New Roman"/>
          <w:sz w:val="24"/>
          <w:szCs w:val="24"/>
        </w:rPr>
        <w:t> </w:t>
      </w:r>
      <w:hyperlink r:id="rId23" w:history="1">
        <w:r w:rsidR="009A62CB" w:rsidRPr="00611AB3">
          <w:rPr>
            <w:rFonts w:ascii="Times New Roman" w:hAnsi="Times New Roman" w:cs="Times New Roman"/>
            <w:sz w:val="24"/>
            <w:szCs w:val="24"/>
          </w:rPr>
          <w:t>https://doi.org/10.1186/s40645-020-00338-y</w:t>
        </w:r>
      </w:hyperlink>
      <w:r w:rsidR="009A62CB" w:rsidRPr="00611AB3">
        <w:rPr>
          <w:rFonts w:ascii="Times New Roman" w:hAnsi="Times New Roman" w:cs="Times New Roman"/>
          <w:sz w:val="24"/>
          <w:szCs w:val="24"/>
          <w:shd w:val="clear" w:color="auto" w:fill="FFFFFF"/>
        </w:rPr>
        <w:t>) (which arguably doesn’t provide proof of concept). I have some questions about interpreting the horizon:</w:t>
      </w:r>
      <w:r w:rsidR="009A62CB" w:rsidRPr="00611AB3">
        <w:rPr>
          <w:rFonts w:ascii="Times New Roman" w:hAnsi="Times New Roman" w:cs="Times New Roman"/>
          <w:sz w:val="24"/>
          <w:szCs w:val="24"/>
        </w:rPr>
        <w:t> </w:t>
      </w:r>
      <w:r w:rsidR="009A62CB" w:rsidRPr="00611AB3">
        <w:rPr>
          <w:rFonts w:ascii="Times New Roman" w:hAnsi="Times New Roman" w:cs="Times New Roman"/>
          <w:sz w:val="24"/>
          <w:szCs w:val="24"/>
          <w:shd w:val="clear" w:color="auto" w:fill="FFFFFF"/>
        </w:rPr>
        <w:br/>
      </w:r>
      <w:r w:rsidR="009A62CB" w:rsidRPr="00611AB3">
        <w:rPr>
          <w:rFonts w:ascii="Times New Roman" w:hAnsi="Times New Roman" w:cs="Times New Roman"/>
          <w:sz w:val="24"/>
          <w:szCs w:val="24"/>
          <w:shd w:val="clear" w:color="auto" w:fill="FFFFFF"/>
        </w:rPr>
        <w:br/>
        <w:t>1) How do you relate a change in source to a change in DICsoft? DICsoft is a tracer so integrates sources and sinks across some given pathway. Therefore, it is not straightforward to relate a change in concentration to a change in source in the same location, e.g., the change may reflect changes in POC export occurring upstream somewhere else. This might be less significant at larger spatial scales?</w:t>
      </w:r>
    </w:p>
    <w:p w14:paraId="717BA816" w14:textId="29FEB5E5" w:rsidR="004D67DD" w:rsidRPr="004D67DD" w:rsidRDefault="004D67DD" w:rsidP="004D67DD">
      <w:pPr>
        <w:rPr>
          <w:rFonts w:ascii="Times New Roman" w:hAnsi="Times New Roman" w:cs="Times New Roman"/>
          <w:color w:val="EE0000"/>
          <w:sz w:val="24"/>
          <w:szCs w:val="24"/>
          <w:shd w:val="clear" w:color="auto" w:fill="FFFFFF"/>
        </w:rPr>
      </w:pPr>
      <w:r w:rsidRPr="004D67DD">
        <w:rPr>
          <w:rFonts w:ascii="Times New Roman" w:hAnsi="Times New Roman" w:cs="Times New Roman"/>
          <w:color w:val="EE0000"/>
          <w:sz w:val="24"/>
          <w:szCs w:val="24"/>
          <w:shd w:val="clear" w:color="auto" w:fill="FFFFFF"/>
        </w:rPr>
        <w:t xml:space="preserve">We agree. </w:t>
      </w:r>
      <w:r w:rsidRPr="008919E6">
        <w:rPr>
          <w:rFonts w:ascii="Times New Roman" w:hAnsi="Times New Roman" w:cs="Times New Roman"/>
          <w:color w:val="EE0000"/>
          <w:sz w:val="24"/>
          <w:szCs w:val="24"/>
          <w:lang w:val="en-GB"/>
        </w:rPr>
        <w:t>DIC</w:t>
      </w:r>
      <w:r w:rsidRPr="001669EC">
        <w:rPr>
          <w:rFonts w:ascii="Times New Roman" w:hAnsi="Times New Roman" w:cs="Times New Roman"/>
          <w:color w:val="EE0000"/>
          <w:sz w:val="24"/>
          <w:szCs w:val="24"/>
          <w:vertAlign w:val="subscript"/>
          <w:lang w:val="en-GB"/>
        </w:rPr>
        <w:t>soft</w:t>
      </w:r>
      <w:r w:rsidRPr="00540795">
        <w:rPr>
          <w:rFonts w:ascii="Times New Roman" w:hAnsi="Times New Roman" w:cs="Times New Roman"/>
          <w:color w:val="EE0000"/>
          <w:sz w:val="24"/>
          <w:szCs w:val="24"/>
          <w:shd w:val="clear" w:color="auto" w:fill="FFFFFF"/>
        </w:rPr>
        <w:t xml:space="preserve"> </w:t>
      </w:r>
      <w:r w:rsidRPr="004D67DD">
        <w:rPr>
          <w:rFonts w:ascii="Times New Roman" w:hAnsi="Times New Roman" w:cs="Times New Roman"/>
          <w:color w:val="EE0000"/>
          <w:sz w:val="24"/>
          <w:szCs w:val="24"/>
          <w:shd w:val="clear" w:color="auto" w:fill="FFFFFF"/>
        </w:rPr>
        <w:t>is a transported tracer, so local concentration changes cannot be interpreted as local source changes alone.</w:t>
      </w:r>
    </w:p>
    <w:p w14:paraId="2FEC4EF3" w14:textId="77777777" w:rsidR="004D67DD" w:rsidRPr="004D67DD" w:rsidRDefault="004D67DD" w:rsidP="004D67DD">
      <w:pPr>
        <w:rPr>
          <w:rFonts w:ascii="Times New Roman" w:hAnsi="Times New Roman" w:cs="Times New Roman"/>
          <w:color w:val="EE0000"/>
          <w:sz w:val="24"/>
          <w:szCs w:val="24"/>
          <w:shd w:val="clear" w:color="auto" w:fill="FFFFFF"/>
        </w:rPr>
      </w:pPr>
      <w:r w:rsidRPr="004D67DD">
        <w:rPr>
          <w:rFonts w:ascii="Times New Roman" w:hAnsi="Times New Roman" w:cs="Times New Roman"/>
          <w:color w:val="EE0000"/>
          <w:sz w:val="24"/>
          <w:szCs w:val="24"/>
          <w:shd w:val="clear" w:color="auto" w:fill="FFFFFF"/>
        </w:rPr>
        <w:lastRenderedPageBreak/>
        <w:t>We have therefore clarified that the 50% sequestration depth is not a proxy for local export, but a diagnostic of where biologically respired carbon is stored in the water column after the combined effects of export, remineralization, and circulation. It thus reflects the vertical distribution and isolation of respired carbon, irrespective of where the original export occurred.</w:t>
      </w:r>
    </w:p>
    <w:p w14:paraId="3D8AEB7C" w14:textId="77777777" w:rsidR="004D67DD" w:rsidRDefault="004D67DD" w:rsidP="004D67DD">
      <w:pPr>
        <w:rPr>
          <w:rFonts w:ascii="Times New Roman" w:hAnsi="Times New Roman" w:cs="Times New Roman"/>
          <w:color w:val="EE0000"/>
          <w:sz w:val="24"/>
          <w:szCs w:val="24"/>
          <w:shd w:val="clear" w:color="auto" w:fill="FFFFFF"/>
        </w:rPr>
      </w:pPr>
      <w:r w:rsidRPr="004D67DD">
        <w:rPr>
          <w:rFonts w:ascii="Times New Roman" w:hAnsi="Times New Roman" w:cs="Times New Roman"/>
          <w:color w:val="EE0000"/>
          <w:sz w:val="24"/>
          <w:szCs w:val="24"/>
          <w:shd w:val="clear" w:color="auto" w:fill="FFFFFF"/>
        </w:rPr>
        <w:t>We now make clear that this interpretation is most robust at regional to basin scales and that the sequestration horizon should be read as a measure of carbon storage geometry and isolation timescale, not export strength.</w:t>
      </w:r>
    </w:p>
    <w:p w14:paraId="66DC349F" w14:textId="4C10DA13" w:rsidR="008B5317" w:rsidRDefault="009A62CB" w:rsidP="004D67DD">
      <w:pPr>
        <w:rPr>
          <w:rFonts w:ascii="Times New Roman" w:hAnsi="Times New Roman" w:cs="Times New Roman"/>
          <w:sz w:val="24"/>
          <w:szCs w:val="24"/>
          <w:shd w:val="clear" w:color="auto" w:fill="FFFFFF"/>
        </w:rPr>
      </w:pPr>
      <w:r w:rsidRPr="00611AB3">
        <w:rPr>
          <w:rFonts w:ascii="Times New Roman" w:hAnsi="Times New Roman" w:cs="Times New Roman"/>
          <w:sz w:val="24"/>
          <w:szCs w:val="24"/>
          <w:shd w:val="clear" w:color="auto" w:fill="FFFFFF"/>
        </w:rPr>
        <w:br/>
        <w:t>2) How does the horizon respond to changes in different processes? I think there is an implicit assumption that every process should alter the vertical gradient, which I can accept for changes in remineralisation (because you are moving the regeneration of DICsoft across depths relatively) but I’m not sure this is the case for circulation or export. This may look different over the 18 year timescale vs. longer-term timescale as well. A model exploration of how the metric responds to different processes would be very helpful here to clarify this.</w:t>
      </w:r>
    </w:p>
    <w:p w14:paraId="18D3984D" w14:textId="6596BB77" w:rsidR="008B5317" w:rsidRPr="008B5317" w:rsidRDefault="008B5317" w:rsidP="004E1CA4">
      <w:pPr>
        <w:rPr>
          <w:rFonts w:ascii="Times New Roman" w:hAnsi="Times New Roman" w:cs="Times New Roman"/>
          <w:color w:val="EE0000"/>
          <w:sz w:val="24"/>
          <w:szCs w:val="24"/>
          <w:shd w:val="clear" w:color="auto" w:fill="FFFFFF"/>
        </w:rPr>
      </w:pPr>
      <w:r w:rsidRPr="008B5317">
        <w:rPr>
          <w:rFonts w:ascii="Times New Roman" w:hAnsi="Times New Roman" w:cs="Times New Roman"/>
          <w:color w:val="EE0000"/>
          <w:sz w:val="24"/>
          <w:szCs w:val="24"/>
          <w:shd w:val="clear" w:color="auto" w:fill="FFFFFF"/>
        </w:rPr>
        <w:t xml:space="preserve">In the revised text, we now describe the expected responses as follows. (i) Remineralisation depth changes shift where </w:t>
      </w:r>
      <w:r w:rsidRPr="00F908F7">
        <w:rPr>
          <w:rFonts w:ascii="Times New Roman" w:hAnsi="Times New Roman" w:cs="Times New Roman"/>
          <w:color w:val="EE0000"/>
          <w:sz w:val="24"/>
          <w:szCs w:val="24"/>
          <w:shd w:val="clear" w:color="auto" w:fill="FFFFFF"/>
        </w:rPr>
        <w:t>DIC</w:t>
      </w:r>
      <w:r w:rsidRPr="00F908F7">
        <w:rPr>
          <w:rFonts w:ascii="Times New Roman" w:hAnsi="Times New Roman" w:cs="Times New Roman"/>
          <w:color w:val="EE0000"/>
          <w:sz w:val="24"/>
          <w:szCs w:val="24"/>
          <w:shd w:val="clear" w:color="auto" w:fill="FFFFFF"/>
          <w:vertAlign w:val="subscript"/>
        </w:rPr>
        <w:t>soft</w:t>
      </w:r>
      <w:r w:rsidRPr="00F908F7">
        <w:rPr>
          <w:rFonts w:ascii="Times New Roman" w:hAnsi="Times New Roman" w:cs="Times New Roman"/>
          <w:color w:val="EE0000"/>
          <w:sz w:val="24"/>
          <w:szCs w:val="24"/>
          <w:shd w:val="clear" w:color="auto" w:fill="FFFFFF"/>
        </w:rPr>
        <w:t xml:space="preserve"> </w:t>
      </w:r>
      <w:r w:rsidRPr="008B5317">
        <w:rPr>
          <w:rFonts w:ascii="Times New Roman" w:hAnsi="Times New Roman" w:cs="Times New Roman"/>
          <w:color w:val="EE0000"/>
          <w:sz w:val="24"/>
          <w:szCs w:val="24"/>
          <w:shd w:val="clear" w:color="auto" w:fill="FFFFFF"/>
        </w:rPr>
        <w:t xml:space="preserve">is regenerated and therefore directly alter the vertical distribution, producing clear shoaling/deepening signals. (ii) Circulation/ventilation can also shift the horizon by changing the depth range and efficiency of renewal and residence times: if ventilation shoals and deeper layers become more isolated, respired </w:t>
      </w:r>
      <w:r w:rsidRPr="00F908F7">
        <w:rPr>
          <w:rFonts w:ascii="Times New Roman" w:hAnsi="Times New Roman" w:cs="Times New Roman"/>
          <w:color w:val="EE0000"/>
          <w:sz w:val="24"/>
          <w:szCs w:val="24"/>
          <w:shd w:val="clear" w:color="auto" w:fill="FFFFFF"/>
        </w:rPr>
        <w:t>DIC</w:t>
      </w:r>
      <w:r w:rsidRPr="00F908F7">
        <w:rPr>
          <w:rFonts w:ascii="Times New Roman" w:hAnsi="Times New Roman" w:cs="Times New Roman"/>
          <w:color w:val="EE0000"/>
          <w:sz w:val="24"/>
          <w:szCs w:val="24"/>
          <w:shd w:val="clear" w:color="auto" w:fill="FFFFFF"/>
          <w:vertAlign w:val="subscript"/>
        </w:rPr>
        <w:t>soft</w:t>
      </w:r>
      <w:r w:rsidRPr="00F908F7">
        <w:rPr>
          <w:rFonts w:ascii="Times New Roman" w:hAnsi="Times New Roman" w:cs="Times New Roman"/>
          <w:color w:val="EE0000"/>
          <w:sz w:val="24"/>
          <w:szCs w:val="24"/>
          <w:shd w:val="clear" w:color="auto" w:fill="FFFFFF"/>
        </w:rPr>
        <w:t xml:space="preserve"> </w:t>
      </w:r>
      <w:r w:rsidRPr="008B5317">
        <w:rPr>
          <w:rFonts w:ascii="Times New Roman" w:hAnsi="Times New Roman" w:cs="Times New Roman"/>
          <w:color w:val="EE0000"/>
          <w:sz w:val="24"/>
          <w:szCs w:val="24"/>
          <w:shd w:val="clear" w:color="auto" w:fill="FFFFFF"/>
        </w:rPr>
        <w:t xml:space="preserve">can accumulate preferentially below the ventilated layer, deepening the horizon even without changes in export. Conversely, enhanced ventilation of intermediate layers can shoal the horizon by relocating respired carbon into more rapidly renewed waters. (iii) Export magnitude changes can increase or decrease </w:t>
      </w:r>
      <w:r w:rsidRPr="00F908F7">
        <w:rPr>
          <w:rFonts w:ascii="Times New Roman" w:hAnsi="Times New Roman" w:cs="Times New Roman"/>
          <w:color w:val="EE0000"/>
          <w:sz w:val="24"/>
          <w:szCs w:val="24"/>
          <w:shd w:val="clear" w:color="auto" w:fill="FFFFFF"/>
        </w:rPr>
        <w:t>DIC</w:t>
      </w:r>
      <w:r w:rsidRPr="00F908F7">
        <w:rPr>
          <w:rFonts w:ascii="Times New Roman" w:hAnsi="Times New Roman" w:cs="Times New Roman"/>
          <w:color w:val="EE0000"/>
          <w:sz w:val="24"/>
          <w:szCs w:val="24"/>
          <w:shd w:val="clear" w:color="auto" w:fill="FFFFFF"/>
          <w:vertAlign w:val="subscript"/>
        </w:rPr>
        <w:t>soft</w:t>
      </w:r>
      <w:r w:rsidRPr="00F908F7">
        <w:rPr>
          <w:rFonts w:ascii="Times New Roman" w:hAnsi="Times New Roman" w:cs="Times New Roman"/>
          <w:color w:val="EE0000"/>
          <w:sz w:val="24"/>
          <w:szCs w:val="24"/>
          <w:shd w:val="clear" w:color="auto" w:fill="FFFFFF"/>
        </w:rPr>
        <w:t xml:space="preserve"> </w:t>
      </w:r>
      <w:r w:rsidRPr="008B5317">
        <w:rPr>
          <w:rFonts w:ascii="Times New Roman" w:hAnsi="Times New Roman" w:cs="Times New Roman"/>
          <w:color w:val="EE0000"/>
          <w:sz w:val="24"/>
          <w:szCs w:val="24"/>
          <w:shd w:val="clear" w:color="auto" w:fill="FFFFFF"/>
        </w:rPr>
        <w:t>broadly, but whether the horizon shifts depends on where the additional respired carbon is retained; increased export with unchanged circulation/remineralisation can change the inventory with limited change in the median depth, whereas changes that preferentially alter transfer efficiency to depth are more likely to shift the horizon.</w:t>
      </w:r>
    </w:p>
    <w:p w14:paraId="0F4FFA5D" w14:textId="4F77DB6C" w:rsidR="008B5317" w:rsidRDefault="008B5317" w:rsidP="004E1CA4">
      <w:pPr>
        <w:rPr>
          <w:rFonts w:ascii="Times New Roman" w:hAnsi="Times New Roman" w:cs="Times New Roman"/>
          <w:color w:val="EE0000"/>
          <w:sz w:val="24"/>
          <w:szCs w:val="24"/>
          <w:shd w:val="clear" w:color="auto" w:fill="FFFFFF"/>
        </w:rPr>
      </w:pPr>
      <w:r w:rsidRPr="008B5317">
        <w:rPr>
          <w:rFonts w:ascii="Times New Roman" w:hAnsi="Times New Roman" w:cs="Times New Roman"/>
          <w:color w:val="EE0000"/>
          <w:sz w:val="24"/>
          <w:szCs w:val="24"/>
          <w:shd w:val="clear" w:color="auto" w:fill="FFFFFF"/>
        </w:rPr>
        <w:t xml:space="preserve">We also agree that process separability is limited over a short (18-year) window and that multiple mechanisms can produce similar horizon changes. We therefore avoid attributing horizon trends uniquely to any single process, and explicitly state that robust mechanistic separation would require dedicated model perturbation experiments. We have added this point to the </w:t>
      </w:r>
      <w:r w:rsidR="00C02A5E">
        <w:rPr>
          <w:rFonts w:ascii="Times New Roman" w:hAnsi="Times New Roman" w:cs="Times New Roman"/>
          <w:color w:val="EE0000"/>
          <w:sz w:val="24"/>
          <w:szCs w:val="24"/>
          <w:shd w:val="clear" w:color="auto" w:fill="FFFFFF"/>
        </w:rPr>
        <w:t>d</w:t>
      </w:r>
      <w:r w:rsidRPr="008B5317">
        <w:rPr>
          <w:rFonts w:ascii="Times New Roman" w:hAnsi="Times New Roman" w:cs="Times New Roman"/>
          <w:color w:val="EE0000"/>
          <w:sz w:val="24"/>
          <w:szCs w:val="24"/>
          <w:shd w:val="clear" w:color="auto" w:fill="FFFFFF"/>
        </w:rPr>
        <w:t>iscussion as a clear limitation and as motivation for future work.</w:t>
      </w:r>
    </w:p>
    <w:p w14:paraId="1DF21263" w14:textId="4F43717F" w:rsidR="000C4CAA" w:rsidRDefault="000C4CAA" w:rsidP="004E1CA4">
      <w:pPr>
        <w:rPr>
          <w:rFonts w:ascii="Times New Roman" w:hAnsi="Times New Roman" w:cs="Times New Roman"/>
          <w:color w:val="EE0000"/>
          <w:sz w:val="24"/>
          <w:szCs w:val="24"/>
          <w:shd w:val="clear" w:color="auto" w:fill="FFFFFF"/>
        </w:rPr>
      </w:pPr>
      <w:r w:rsidRPr="000C4CAA">
        <w:rPr>
          <w:rFonts w:ascii="Times New Roman" w:hAnsi="Times New Roman" w:cs="Times New Roman"/>
          <w:color w:val="EE0000"/>
          <w:sz w:val="24"/>
          <w:szCs w:val="24"/>
          <w:shd w:val="clear" w:color="auto" w:fill="FFFFFF"/>
        </w:rPr>
        <w:t>Finally, we clarify that the emergence of detectable changes in this diagnostic over an 18-year period is not inconsistent with longer-term biogeochemical evolution. Multi-decadal observational syntheses show that even fundamental properties such as marine elemental stoichiometry have undergone basin-scale shifts over the past half-century, indicating that structural reorganization of biological carbon cycling can occur on decadal to multi-decadal timescales</w:t>
      </w:r>
      <w:r w:rsidR="00C66590">
        <w:rPr>
          <w:rFonts w:ascii="Times New Roman" w:hAnsi="Times New Roman" w:cs="Times New Roman"/>
          <w:color w:val="EE0000"/>
          <w:sz w:val="24"/>
          <w:szCs w:val="24"/>
          <w:shd w:val="clear" w:color="auto" w:fill="FFFFFF"/>
        </w:rPr>
        <w:t xml:space="preserve"> (Liu et al., 2025)</w:t>
      </w:r>
      <w:r w:rsidRPr="000C4CAA">
        <w:rPr>
          <w:rFonts w:ascii="Times New Roman" w:hAnsi="Times New Roman" w:cs="Times New Roman"/>
          <w:color w:val="EE0000"/>
          <w:sz w:val="24"/>
          <w:szCs w:val="24"/>
          <w:shd w:val="clear" w:color="auto" w:fill="FFFFFF"/>
        </w:rPr>
        <w:t>. In this context, the horizon changes identified here should be interpreted as early, spatially coherent redistribution signals rather than as evidence of fully equilibrated or irreversible change.</w:t>
      </w:r>
    </w:p>
    <w:p w14:paraId="3F1FD1E6" w14:textId="71C60DF3" w:rsidR="00D566D0" w:rsidRDefault="00D566D0" w:rsidP="004E1CA4">
      <w:pPr>
        <w:rPr>
          <w:rFonts w:ascii="Times New Roman" w:hAnsi="Times New Roman" w:cs="Times New Roman"/>
          <w:color w:val="EE0000"/>
          <w:sz w:val="24"/>
          <w:szCs w:val="24"/>
          <w:shd w:val="clear" w:color="auto" w:fill="FFFFFF"/>
        </w:rPr>
      </w:pPr>
      <w:r w:rsidRPr="00D566D0">
        <w:rPr>
          <w:rFonts w:ascii="Times New Roman" w:hAnsi="Times New Roman" w:cs="Times New Roman"/>
          <w:color w:val="EE0000"/>
          <w:sz w:val="24"/>
          <w:szCs w:val="24"/>
          <w:shd w:val="clear" w:color="auto" w:fill="FFFFFF"/>
          <w:lang w:val="fr-FR"/>
        </w:rPr>
        <w:t xml:space="preserve">Liu, J., Wang, H., Mou, J. et al. </w:t>
      </w:r>
      <w:r w:rsidRPr="00D566D0">
        <w:rPr>
          <w:rFonts w:ascii="Times New Roman" w:hAnsi="Times New Roman" w:cs="Times New Roman"/>
          <w:color w:val="EE0000"/>
          <w:sz w:val="24"/>
          <w:szCs w:val="24"/>
          <w:shd w:val="clear" w:color="auto" w:fill="FFFFFF"/>
        </w:rPr>
        <w:t>Global-scale shifts in marine ecological stoichiometry over the past 50 years. Nat. Geosci. 18, 769–778 (2025). https://doi.org/10.1038/s41561-025-01735-y</w:t>
      </w:r>
    </w:p>
    <w:p w14:paraId="3406CE8A" w14:textId="56120D99" w:rsidR="00F27B76" w:rsidRDefault="009A62CB" w:rsidP="004E1CA4">
      <w:pPr>
        <w:rPr>
          <w:rFonts w:ascii="Times New Roman" w:hAnsi="Times New Roman" w:cs="Times New Roman"/>
          <w:sz w:val="24"/>
          <w:szCs w:val="24"/>
          <w:shd w:val="clear" w:color="auto" w:fill="FFFFFF"/>
        </w:rPr>
      </w:pPr>
      <w:r w:rsidRPr="00611AB3">
        <w:rPr>
          <w:rFonts w:ascii="Times New Roman" w:hAnsi="Times New Roman" w:cs="Times New Roman"/>
          <w:sz w:val="24"/>
          <w:szCs w:val="24"/>
          <w:shd w:val="clear" w:color="auto" w:fill="FFFFFF"/>
        </w:rPr>
        <w:lastRenderedPageBreak/>
        <w:t>3) What does the decoupling of accumulation and sequestration horizon specifically mean in the context of the above points? I found this an interesting perspective but again please prove it means something!</w:t>
      </w:r>
    </w:p>
    <w:p w14:paraId="70428947" w14:textId="6CF5A185" w:rsidR="00F27B76" w:rsidRPr="00F27B76" w:rsidRDefault="00F27B76" w:rsidP="004E1CA4">
      <w:pPr>
        <w:rPr>
          <w:rFonts w:ascii="Times New Roman" w:hAnsi="Times New Roman" w:cs="Times New Roman"/>
          <w:color w:val="EE0000"/>
          <w:sz w:val="24"/>
          <w:szCs w:val="24"/>
          <w:shd w:val="clear" w:color="auto" w:fill="FFFFFF"/>
        </w:rPr>
      </w:pPr>
      <w:r w:rsidRPr="00F27B76">
        <w:rPr>
          <w:rFonts w:ascii="Times New Roman" w:hAnsi="Times New Roman" w:cs="Times New Roman"/>
          <w:color w:val="EE0000"/>
          <w:sz w:val="24"/>
          <w:szCs w:val="24"/>
          <w:shd w:val="clear" w:color="auto" w:fill="FFFFFF"/>
        </w:rPr>
        <w:t xml:space="preserve">We agree that the interpretation of the decoupling between </w:t>
      </w:r>
      <w:r w:rsidRPr="00F908F7">
        <w:rPr>
          <w:rFonts w:ascii="Times New Roman" w:hAnsi="Times New Roman" w:cs="Times New Roman"/>
          <w:color w:val="EE0000"/>
          <w:sz w:val="24"/>
          <w:szCs w:val="24"/>
          <w:shd w:val="clear" w:color="auto" w:fill="FFFFFF"/>
        </w:rPr>
        <w:t>DIC</w:t>
      </w:r>
      <w:r w:rsidRPr="00F908F7">
        <w:rPr>
          <w:rFonts w:ascii="Times New Roman" w:hAnsi="Times New Roman" w:cs="Times New Roman"/>
          <w:color w:val="EE0000"/>
          <w:sz w:val="24"/>
          <w:szCs w:val="24"/>
          <w:shd w:val="clear" w:color="auto" w:fill="FFFFFF"/>
          <w:vertAlign w:val="subscript"/>
        </w:rPr>
        <w:t>soft</w:t>
      </w:r>
      <w:r w:rsidRPr="00F908F7">
        <w:rPr>
          <w:rFonts w:ascii="Times New Roman" w:hAnsi="Times New Roman" w:cs="Times New Roman"/>
          <w:color w:val="EE0000"/>
          <w:sz w:val="24"/>
          <w:szCs w:val="24"/>
          <w:shd w:val="clear" w:color="auto" w:fill="FFFFFF"/>
        </w:rPr>
        <w:t xml:space="preserve"> </w:t>
      </w:r>
      <w:r w:rsidRPr="00F27B76">
        <w:rPr>
          <w:rFonts w:ascii="Times New Roman" w:hAnsi="Times New Roman" w:cs="Times New Roman"/>
          <w:color w:val="EE0000"/>
          <w:sz w:val="24"/>
          <w:szCs w:val="24"/>
          <w:shd w:val="clear" w:color="auto" w:fill="FFFFFF"/>
        </w:rPr>
        <w:t>accumulation and sequestration horizon requires careful clarification. We do not interpret this decoupling as evidence of a specific underlying mechanism, but as a diagnostic outcome of how different processes project onto carbon storage magnitude versus storage geometry.</w:t>
      </w:r>
    </w:p>
    <w:p w14:paraId="43994AF3" w14:textId="77777777" w:rsidR="00F27B76" w:rsidRPr="00F27B76" w:rsidRDefault="00F27B76" w:rsidP="004E1CA4">
      <w:pPr>
        <w:rPr>
          <w:rFonts w:ascii="Times New Roman" w:hAnsi="Times New Roman" w:cs="Times New Roman"/>
          <w:color w:val="EE0000"/>
          <w:sz w:val="24"/>
          <w:szCs w:val="24"/>
          <w:shd w:val="clear" w:color="auto" w:fill="FFFFFF"/>
        </w:rPr>
      </w:pPr>
      <w:r w:rsidRPr="00F27B76">
        <w:rPr>
          <w:rFonts w:ascii="Times New Roman" w:hAnsi="Times New Roman" w:cs="Times New Roman"/>
          <w:color w:val="EE0000"/>
          <w:sz w:val="24"/>
          <w:szCs w:val="24"/>
          <w:shd w:val="clear" w:color="auto" w:fill="FFFFFF"/>
        </w:rPr>
        <w:t>In the revised manuscript, we now explicitly state that accumulation and sequestration depth respond to partially independent controls. Depth-integrated accumulation reflects the net balance between sources and losses of respired carbon within the interior, whereas the sequestration horizon reflects where along the vertical pathway that carbon resides, and therefore its isolation timescale. These two quantities need not covary.</w:t>
      </w:r>
    </w:p>
    <w:p w14:paraId="6ADD242A" w14:textId="5855566A" w:rsidR="00F27B76" w:rsidRPr="00F27B76" w:rsidRDefault="00F27B76" w:rsidP="004E1CA4">
      <w:pPr>
        <w:rPr>
          <w:rFonts w:ascii="Times New Roman" w:hAnsi="Times New Roman" w:cs="Times New Roman"/>
          <w:color w:val="EE0000"/>
          <w:sz w:val="24"/>
          <w:szCs w:val="24"/>
          <w:shd w:val="clear" w:color="auto" w:fill="FFFFFF"/>
        </w:rPr>
      </w:pPr>
      <w:r w:rsidRPr="00F27B76">
        <w:rPr>
          <w:rFonts w:ascii="Times New Roman" w:hAnsi="Times New Roman" w:cs="Times New Roman"/>
          <w:color w:val="EE0000"/>
          <w:sz w:val="24"/>
          <w:szCs w:val="24"/>
          <w:shd w:val="clear" w:color="auto" w:fill="FFFFFF"/>
        </w:rPr>
        <w:t xml:space="preserve">Decoupling arises when processes redistribute respired carbon vertically without proportionally changing the total stored amount, or vice versa. For example, changes in ventilation depth or residence time can shift respired </w:t>
      </w:r>
      <w:r w:rsidRPr="00F908F7">
        <w:rPr>
          <w:rFonts w:ascii="Times New Roman" w:hAnsi="Times New Roman" w:cs="Times New Roman"/>
          <w:color w:val="EE0000"/>
          <w:sz w:val="24"/>
          <w:szCs w:val="24"/>
          <w:shd w:val="clear" w:color="auto" w:fill="FFFFFF"/>
        </w:rPr>
        <w:t>DIC</w:t>
      </w:r>
      <w:r w:rsidRPr="00F908F7">
        <w:rPr>
          <w:rFonts w:ascii="Times New Roman" w:hAnsi="Times New Roman" w:cs="Times New Roman"/>
          <w:color w:val="EE0000"/>
          <w:sz w:val="24"/>
          <w:szCs w:val="24"/>
          <w:shd w:val="clear" w:color="auto" w:fill="FFFFFF"/>
          <w:vertAlign w:val="subscript"/>
        </w:rPr>
        <w:t>soft</w:t>
      </w:r>
      <w:r w:rsidRPr="00F908F7">
        <w:rPr>
          <w:rFonts w:ascii="Times New Roman" w:hAnsi="Times New Roman" w:cs="Times New Roman"/>
          <w:color w:val="EE0000"/>
          <w:sz w:val="24"/>
          <w:szCs w:val="24"/>
          <w:shd w:val="clear" w:color="auto" w:fill="FFFFFF"/>
        </w:rPr>
        <w:t xml:space="preserve"> </w:t>
      </w:r>
      <w:r w:rsidRPr="00F27B76">
        <w:rPr>
          <w:rFonts w:ascii="Times New Roman" w:hAnsi="Times New Roman" w:cs="Times New Roman"/>
          <w:color w:val="EE0000"/>
          <w:sz w:val="24"/>
          <w:szCs w:val="24"/>
          <w:shd w:val="clear" w:color="auto" w:fill="FFFFFF"/>
        </w:rPr>
        <w:t>into deeper, more weakly ventilated layers (deepening the horizon) without increasing the total inventory. Conversely, changes in export or remineralisation efficiency can increase interior accumulation while leaving the median storage depth largely unchanged if the added carbon occupies similar layers.</w:t>
      </w:r>
    </w:p>
    <w:p w14:paraId="40C161EF" w14:textId="77777777" w:rsidR="00F27B76" w:rsidRPr="00F27B76" w:rsidRDefault="00F27B76" w:rsidP="004E1CA4">
      <w:pPr>
        <w:rPr>
          <w:rFonts w:ascii="Times New Roman" w:hAnsi="Times New Roman" w:cs="Times New Roman"/>
          <w:color w:val="EE0000"/>
          <w:sz w:val="24"/>
          <w:szCs w:val="24"/>
          <w:shd w:val="clear" w:color="auto" w:fill="FFFFFF"/>
        </w:rPr>
      </w:pPr>
      <w:r w:rsidRPr="00F27B76">
        <w:rPr>
          <w:rFonts w:ascii="Times New Roman" w:hAnsi="Times New Roman" w:cs="Times New Roman"/>
          <w:color w:val="EE0000"/>
          <w:sz w:val="24"/>
          <w:szCs w:val="24"/>
          <w:shd w:val="clear" w:color="auto" w:fill="FFFFFF"/>
        </w:rPr>
        <w:t>We therefore interpret the decoupling as evidence that changes in carbon isolation timescales can occur without detectable changes in total storage, and that depth-integrated metrics alone are insufficient to diagnose sequestration efficiency. We have revised the text to emphasize that this interpretation is diagnostic rather than mechanistic, and that it reflects the combined effects of export, remineralisation, and circulation acting together over the observed timescale.</w:t>
      </w:r>
    </w:p>
    <w:p w14:paraId="58754A8C" w14:textId="77777777" w:rsidR="007572BC" w:rsidRDefault="00F27B76" w:rsidP="004E1CA4">
      <w:pPr>
        <w:rPr>
          <w:rFonts w:ascii="Times New Roman" w:hAnsi="Times New Roman" w:cs="Times New Roman"/>
          <w:sz w:val="24"/>
          <w:szCs w:val="24"/>
        </w:rPr>
      </w:pPr>
      <w:r w:rsidRPr="00F27B76">
        <w:rPr>
          <w:rFonts w:ascii="Times New Roman" w:hAnsi="Times New Roman" w:cs="Times New Roman"/>
          <w:color w:val="EE0000"/>
          <w:sz w:val="24"/>
          <w:szCs w:val="24"/>
          <w:shd w:val="clear" w:color="auto" w:fill="FFFFFF"/>
        </w:rPr>
        <w:t>This clarification is now made explicit and the decoupling is framed as a physically meaningful indicator of changing sequestration geometry, not as proof of a specific driver.</w:t>
      </w:r>
      <w:r w:rsidR="009A62CB" w:rsidRPr="00611AB3">
        <w:rPr>
          <w:rFonts w:ascii="Times New Roman" w:hAnsi="Times New Roman" w:cs="Times New Roman"/>
          <w:sz w:val="24"/>
          <w:szCs w:val="24"/>
          <w:shd w:val="clear" w:color="auto" w:fill="FFFFFF"/>
        </w:rPr>
        <w:br/>
      </w:r>
      <w:r w:rsidR="009A62CB" w:rsidRPr="00611AB3">
        <w:rPr>
          <w:rFonts w:ascii="Times New Roman" w:hAnsi="Times New Roman" w:cs="Times New Roman"/>
          <w:sz w:val="24"/>
          <w:szCs w:val="24"/>
          <w:shd w:val="clear" w:color="auto" w:fill="FFFFFF"/>
        </w:rPr>
        <w:br/>
      </w:r>
      <w:r w:rsidR="009A62CB" w:rsidRPr="00611AB3">
        <w:rPr>
          <w:rFonts w:ascii="Times New Roman" w:eastAsiaTheme="majorEastAsia" w:hAnsi="Times New Roman" w:cs="Times New Roman"/>
          <w:b/>
          <w:bCs/>
          <w:color w:val="000000" w:themeColor="text1"/>
          <w:sz w:val="24"/>
          <w:szCs w:val="24"/>
          <w:lang w:val="en-GB"/>
        </w:rPr>
        <w:t>Clarification of terminology and concepts</w:t>
      </w:r>
      <w:r w:rsidR="009A62CB" w:rsidRPr="00611AB3">
        <w:rPr>
          <w:rFonts w:ascii="Times New Roman" w:eastAsiaTheme="majorEastAsia" w:hAnsi="Times New Roman" w:cs="Times New Roman"/>
          <w:b/>
          <w:bCs/>
          <w:color w:val="000000" w:themeColor="text1"/>
          <w:sz w:val="24"/>
          <w:szCs w:val="24"/>
          <w:lang w:val="en-GB"/>
        </w:rPr>
        <w:br/>
      </w:r>
      <w:r w:rsidR="009A62CB" w:rsidRPr="00611AB3">
        <w:rPr>
          <w:rFonts w:ascii="Times New Roman" w:hAnsi="Times New Roman" w:cs="Times New Roman"/>
          <w:sz w:val="24"/>
          <w:szCs w:val="24"/>
          <w:shd w:val="clear" w:color="auto" w:fill="FFFFFF"/>
        </w:rPr>
        <w:br/>
        <w:t>Some of this is noted in the specific comments below. There are mixed uses of terms like “efficiency” and undefined terms like “return flux” that would benefit from being clarified. “Efficiency” in particular has multiple uses already in the BCP community so this needs to be clarified. I think the uses here are mostly used in reference to remineralisation changes but this is not particularly clear. It might be clearer and more accurate to refer to this as remineralisation or POC efficiency rather than BCP efficiency if this is the case (the BCP is often referred to as organic carbon fluxes or the net storage so undefined use is ambiguous).</w:t>
      </w:r>
      <w:r w:rsidR="009A62CB" w:rsidRPr="00611AB3">
        <w:rPr>
          <w:rFonts w:ascii="Times New Roman" w:hAnsi="Times New Roman" w:cs="Times New Roman"/>
          <w:sz w:val="24"/>
          <w:szCs w:val="24"/>
        </w:rPr>
        <w:t> </w:t>
      </w:r>
    </w:p>
    <w:p w14:paraId="12549FE5" w14:textId="4DF91552" w:rsidR="007572BC" w:rsidRPr="007572BC" w:rsidRDefault="007572BC" w:rsidP="004E1CA4">
      <w:pPr>
        <w:rPr>
          <w:rFonts w:ascii="Times New Roman" w:hAnsi="Times New Roman" w:cs="Times New Roman"/>
          <w:color w:val="EE0000"/>
          <w:sz w:val="24"/>
          <w:szCs w:val="24"/>
          <w:shd w:val="clear" w:color="auto" w:fill="FFFFFF"/>
        </w:rPr>
      </w:pPr>
      <w:r w:rsidRPr="007572BC">
        <w:rPr>
          <w:rFonts w:ascii="Times New Roman" w:hAnsi="Times New Roman" w:cs="Times New Roman"/>
          <w:color w:val="EE0000"/>
          <w:sz w:val="24"/>
          <w:szCs w:val="24"/>
          <w:shd w:val="clear" w:color="auto" w:fill="FFFFFF"/>
        </w:rPr>
        <w:t>We agree that terms such as “efficiency” and “return flux” were used too broadly in the original version and could lead to ambiguity, given their established and multiple meanings within the BCP literature.</w:t>
      </w:r>
    </w:p>
    <w:p w14:paraId="5386DB73" w14:textId="77777777" w:rsidR="007572BC" w:rsidRPr="007572BC" w:rsidRDefault="007572BC" w:rsidP="004E1CA4">
      <w:pPr>
        <w:rPr>
          <w:rFonts w:ascii="Times New Roman" w:hAnsi="Times New Roman" w:cs="Times New Roman"/>
          <w:color w:val="EE0000"/>
          <w:sz w:val="24"/>
          <w:szCs w:val="24"/>
          <w:shd w:val="clear" w:color="auto" w:fill="FFFFFF"/>
        </w:rPr>
      </w:pPr>
      <w:r w:rsidRPr="007572BC">
        <w:rPr>
          <w:rFonts w:ascii="Times New Roman" w:hAnsi="Times New Roman" w:cs="Times New Roman"/>
          <w:color w:val="EE0000"/>
          <w:sz w:val="24"/>
          <w:szCs w:val="24"/>
          <w:shd w:val="clear" w:color="auto" w:fill="FFFFFF"/>
        </w:rPr>
        <w:t>In the revised manuscript, we have clarified terminology throughout. We now explicitly define the return flux as the transformation and redistribution of exported organic carbon into respired DIC</w:t>
      </w:r>
      <w:r w:rsidRPr="00D9455B">
        <w:rPr>
          <w:rFonts w:ascii="Times New Roman" w:hAnsi="Times New Roman" w:cs="Times New Roman"/>
          <w:color w:val="EE0000"/>
          <w:sz w:val="24"/>
          <w:szCs w:val="24"/>
          <w:shd w:val="clear" w:color="auto" w:fill="FFFFFF"/>
          <w:vertAlign w:val="subscript"/>
        </w:rPr>
        <w:t>soft</w:t>
      </w:r>
      <w:r w:rsidRPr="007572BC">
        <w:rPr>
          <w:rFonts w:ascii="Times New Roman" w:hAnsi="Times New Roman" w:cs="Times New Roman"/>
          <w:color w:val="EE0000"/>
          <w:sz w:val="24"/>
          <w:szCs w:val="24"/>
          <w:shd w:val="clear" w:color="auto" w:fill="FFFFFF"/>
        </w:rPr>
        <w:t xml:space="preserve"> within the ocean interior, rather than as a flux that is directly comparable to export. We also distinguish clearly between surface export, remineralisation depth, and interior retention.</w:t>
      </w:r>
    </w:p>
    <w:p w14:paraId="779D9AA6" w14:textId="77777777" w:rsidR="007572BC" w:rsidRPr="007572BC" w:rsidRDefault="007572BC" w:rsidP="004E1CA4">
      <w:pPr>
        <w:rPr>
          <w:rFonts w:ascii="Times New Roman" w:hAnsi="Times New Roman" w:cs="Times New Roman"/>
          <w:color w:val="EE0000"/>
          <w:sz w:val="24"/>
          <w:szCs w:val="24"/>
          <w:shd w:val="clear" w:color="auto" w:fill="FFFFFF"/>
        </w:rPr>
      </w:pPr>
      <w:r w:rsidRPr="007572BC">
        <w:rPr>
          <w:rFonts w:ascii="Times New Roman" w:hAnsi="Times New Roman" w:cs="Times New Roman"/>
          <w:color w:val="EE0000"/>
          <w:sz w:val="24"/>
          <w:szCs w:val="24"/>
          <w:shd w:val="clear" w:color="auto" w:fill="FFFFFF"/>
        </w:rPr>
        <w:lastRenderedPageBreak/>
        <w:t>Regarding efficiency, we now avoid using this term in a generic sense. Where retained, it is explicitly qualified (e.g. efficiency of DICsoft sequestration or efficiency of interior retention), and refers to the depth and residence time of respired carbon, not to export magnitude or net BCP strength. In places where the discussion concerns remineralisation depth or transfer to weakly ventilated layers, we now refer directly to remineralisation efficiency or transfer efficiency, rather than BCP efficiency.</w:t>
      </w:r>
    </w:p>
    <w:p w14:paraId="7E6A5246" w14:textId="7442C445" w:rsidR="00624221" w:rsidRDefault="007572BC" w:rsidP="004E1CA4">
      <w:pPr>
        <w:rPr>
          <w:rFonts w:ascii="Times New Roman" w:hAnsi="Times New Roman" w:cs="Times New Roman"/>
          <w:sz w:val="24"/>
          <w:szCs w:val="24"/>
          <w:shd w:val="clear" w:color="auto" w:fill="FFFFFF"/>
        </w:rPr>
      </w:pPr>
      <w:r w:rsidRPr="007572BC">
        <w:rPr>
          <w:rFonts w:ascii="Times New Roman" w:hAnsi="Times New Roman" w:cs="Times New Roman"/>
          <w:color w:val="EE0000"/>
          <w:sz w:val="24"/>
          <w:szCs w:val="24"/>
          <w:shd w:val="clear" w:color="auto" w:fill="FFFFFF"/>
        </w:rPr>
        <w:t>We retain the term biological carbon pump to describe the coupled biological–physical system, but the revised text makes clear that this study focuses on the soft-tissue pump and the interior fate of respired carbon, rather than on particulate export fluxes per se. We believe these clarifications remove ambiguity while preserving consistency with established BCP terminology.</w:t>
      </w:r>
      <w:r w:rsidR="009A62CB" w:rsidRPr="00611AB3">
        <w:rPr>
          <w:rFonts w:ascii="Times New Roman" w:hAnsi="Times New Roman" w:cs="Times New Roman"/>
          <w:sz w:val="24"/>
          <w:szCs w:val="24"/>
          <w:shd w:val="clear" w:color="auto" w:fill="FFFFFF"/>
        </w:rPr>
        <w:br/>
      </w:r>
      <w:r w:rsidR="009A62CB" w:rsidRPr="00611AB3">
        <w:rPr>
          <w:rFonts w:ascii="Times New Roman" w:hAnsi="Times New Roman" w:cs="Times New Roman"/>
          <w:sz w:val="24"/>
          <w:szCs w:val="24"/>
          <w:shd w:val="clear" w:color="auto" w:fill="FFFFFF"/>
        </w:rPr>
        <w:br/>
        <w:t>Ricour et al., (2023) is referenced a lot in the manuscript. The authors should be careful relating their results back to this paper because it is based on a 100 year timescale; relates to a single pulse flux of organic carbon in the first year creating a DICsoft inventory that decays over time; and is related to Cseq not DICsoft (see Siegel et al., 2023 – Cseq is essentially the inventory of DICsoft arising from a source location where DICsoft tells you how that carbon has been distributed in space away from its source location)</w:t>
      </w:r>
    </w:p>
    <w:p w14:paraId="3DB81F0B" w14:textId="77777777" w:rsidR="00624221" w:rsidRPr="00624221" w:rsidRDefault="00624221" w:rsidP="004E1CA4">
      <w:pPr>
        <w:rPr>
          <w:rFonts w:ascii="Times New Roman" w:hAnsi="Times New Roman" w:cs="Times New Roman"/>
          <w:color w:val="EE0000"/>
          <w:sz w:val="24"/>
          <w:szCs w:val="24"/>
          <w:shd w:val="clear" w:color="auto" w:fill="FFFFFF"/>
        </w:rPr>
      </w:pPr>
      <w:r w:rsidRPr="00624221">
        <w:rPr>
          <w:rFonts w:ascii="Times New Roman" w:hAnsi="Times New Roman" w:cs="Times New Roman"/>
          <w:color w:val="EE0000"/>
          <w:sz w:val="24"/>
          <w:szCs w:val="24"/>
          <w:shd w:val="clear" w:color="auto" w:fill="FFFFFF"/>
        </w:rPr>
        <w:t>We have revised the manuscript to more carefully distinguish between Cseq, as defined by Ricour et al. (2023) and Siegel et al. (2023), and DICsoft as diagnosed here. Ricour et al. examine the fate of a single pulse of exported organic carbon over centennial timescales to quantify sequestration efficiency (Cseq), whereas our study diagnoses the contemporary spatial and vertical redistribution of the standing DICsoft inventory over an 18-year observational window. As such, our results do not represent a direct estimate of Cseq, nor do they track the decay of a source-specific perturbation.</w:t>
      </w:r>
    </w:p>
    <w:p w14:paraId="5B8BBDAA" w14:textId="77777777" w:rsidR="00624221" w:rsidRPr="00624221" w:rsidRDefault="00624221" w:rsidP="004E1CA4">
      <w:pPr>
        <w:rPr>
          <w:rFonts w:ascii="Times New Roman" w:hAnsi="Times New Roman" w:cs="Times New Roman"/>
          <w:color w:val="EE0000"/>
          <w:sz w:val="24"/>
          <w:szCs w:val="24"/>
          <w:shd w:val="clear" w:color="auto" w:fill="FFFFFF"/>
        </w:rPr>
      </w:pPr>
      <w:r w:rsidRPr="00624221">
        <w:rPr>
          <w:rFonts w:ascii="Times New Roman" w:hAnsi="Times New Roman" w:cs="Times New Roman"/>
          <w:color w:val="EE0000"/>
          <w:sz w:val="24"/>
          <w:szCs w:val="24"/>
          <w:shd w:val="clear" w:color="auto" w:fill="FFFFFF"/>
        </w:rPr>
        <w:t>In the revised text, we now reference Ricour et al. primarily for the conceptual importance of sequestration depth and isolation timescale, rather than for quantitative comparison. We explicitly state that DICsoft reflects the integrated distribution of respired carbon from multiple, spatially distributed sources, and therefore cannot be mapped uniquely to a source-based sequestration efficiency metric.</w:t>
      </w:r>
    </w:p>
    <w:p w14:paraId="5DEF3BA2" w14:textId="1AF80657" w:rsidR="00624221" w:rsidRPr="00624221" w:rsidRDefault="00624221" w:rsidP="004E1CA4">
      <w:pPr>
        <w:rPr>
          <w:rFonts w:ascii="Times New Roman" w:hAnsi="Times New Roman" w:cs="Times New Roman"/>
          <w:color w:val="EE0000"/>
          <w:sz w:val="24"/>
          <w:szCs w:val="24"/>
          <w:shd w:val="clear" w:color="auto" w:fill="FFFFFF"/>
        </w:rPr>
      </w:pPr>
      <w:r w:rsidRPr="00624221">
        <w:rPr>
          <w:rFonts w:ascii="Times New Roman" w:hAnsi="Times New Roman" w:cs="Times New Roman"/>
          <w:color w:val="EE0000"/>
          <w:sz w:val="24"/>
          <w:szCs w:val="24"/>
          <w:shd w:val="clear" w:color="auto" w:fill="FFFFFF"/>
        </w:rPr>
        <w:t>These revisions clarify that Ricour et al. provides conceptual motivation for why vertical storage geometry matters for climate relevance, while our analysis offers an observational diagnosis of how that geometry is evolving in the modern ocean, without implying equivalence between DICsoft and Cseq.</w:t>
      </w:r>
    </w:p>
    <w:p w14:paraId="5B7E5356" w14:textId="77777777" w:rsidR="00792C2E" w:rsidRDefault="009A62CB" w:rsidP="004E1CA4">
      <w:pPr>
        <w:rPr>
          <w:rFonts w:ascii="Times New Roman" w:hAnsi="Times New Roman" w:cs="Times New Roman"/>
          <w:sz w:val="24"/>
          <w:szCs w:val="24"/>
          <w:shd w:val="clear" w:color="auto" w:fill="FFFFFF"/>
        </w:rPr>
      </w:pPr>
      <w:r w:rsidRPr="00611AB3">
        <w:rPr>
          <w:rFonts w:ascii="Times New Roman" w:hAnsi="Times New Roman" w:cs="Times New Roman"/>
          <w:sz w:val="24"/>
          <w:szCs w:val="24"/>
          <w:shd w:val="clear" w:color="auto" w:fill="FFFFFF"/>
        </w:rPr>
        <w:br/>
      </w:r>
      <w:r w:rsidRPr="00611AB3">
        <w:rPr>
          <w:rFonts w:ascii="Times New Roman" w:eastAsiaTheme="majorEastAsia" w:hAnsi="Times New Roman" w:cs="Times New Roman"/>
          <w:b/>
          <w:bCs/>
          <w:color w:val="000000" w:themeColor="text1"/>
          <w:sz w:val="24"/>
          <w:szCs w:val="24"/>
          <w:lang w:val="en-GB"/>
        </w:rPr>
        <w:t>Specific Comments:</w:t>
      </w:r>
      <w:r w:rsidRPr="00611AB3">
        <w:rPr>
          <w:rFonts w:ascii="Times New Roman" w:hAnsi="Times New Roman" w:cs="Times New Roman"/>
          <w:sz w:val="24"/>
          <w:szCs w:val="24"/>
          <w:shd w:val="clear" w:color="auto" w:fill="FFFFFF"/>
        </w:rPr>
        <w:br/>
      </w:r>
      <w:r w:rsidRPr="00611AB3">
        <w:rPr>
          <w:rFonts w:ascii="Times New Roman" w:hAnsi="Times New Roman" w:cs="Times New Roman"/>
          <w:sz w:val="24"/>
          <w:szCs w:val="24"/>
          <w:shd w:val="clear" w:color="auto" w:fill="FFFFFF"/>
        </w:rPr>
        <w:br/>
        <w:t>Line 39: “A major pathway for ocean carbon sequestration” – Some rewording or clarification here is needed because the BCP at ~1700 Pg C is significantly smaller than the anthropogenic sequestration and background DIC (~solubility pump).</w:t>
      </w:r>
      <w:r w:rsidRPr="00611AB3">
        <w:rPr>
          <w:rFonts w:ascii="Times New Roman" w:hAnsi="Times New Roman" w:cs="Times New Roman"/>
          <w:sz w:val="24"/>
          <w:szCs w:val="24"/>
          <w:shd w:val="clear" w:color="auto" w:fill="FFFFFF"/>
        </w:rPr>
        <w:br/>
      </w:r>
    </w:p>
    <w:p w14:paraId="4DB3F6DE" w14:textId="7BD0C0F6" w:rsidR="00792C2E" w:rsidRPr="00E437EC" w:rsidRDefault="00792C2E" w:rsidP="004E1CA4">
      <w:pPr>
        <w:rPr>
          <w:rFonts w:ascii="Times New Roman" w:hAnsi="Times New Roman" w:cs="Times New Roman"/>
          <w:color w:val="EE0000"/>
          <w:sz w:val="24"/>
          <w:szCs w:val="24"/>
          <w:shd w:val="clear" w:color="auto" w:fill="FFFFFF"/>
        </w:rPr>
      </w:pPr>
      <w:r w:rsidRPr="00E437EC">
        <w:rPr>
          <w:rFonts w:ascii="Times New Roman" w:hAnsi="Times New Roman" w:cs="Times New Roman"/>
          <w:color w:val="EE0000"/>
          <w:sz w:val="24"/>
          <w:szCs w:val="24"/>
          <w:shd w:val="clear" w:color="auto" w:fill="FFFFFF"/>
        </w:rPr>
        <w:lastRenderedPageBreak/>
        <w:t>This sentence has been revised and now reads “</w:t>
      </w:r>
      <w:r w:rsidR="00E437EC" w:rsidRPr="00E437EC">
        <w:rPr>
          <w:rFonts w:ascii="Times New Roman" w:hAnsi="Times New Roman" w:cs="Times New Roman"/>
          <w:color w:val="EE0000"/>
          <w:sz w:val="24"/>
          <w:szCs w:val="24"/>
          <w:shd w:val="clear" w:color="auto" w:fill="FFFFFF"/>
        </w:rPr>
        <w:t>A major pathway for the long-term isolation of biologically fixed carbon in the ocean is the biological carbon pump (BCP), which transfers…”</w:t>
      </w:r>
      <w:r w:rsidR="00D624C8">
        <w:rPr>
          <w:rFonts w:ascii="Times New Roman" w:hAnsi="Times New Roman" w:cs="Times New Roman"/>
          <w:color w:val="EE0000"/>
          <w:sz w:val="24"/>
          <w:szCs w:val="24"/>
          <w:shd w:val="clear" w:color="auto" w:fill="FFFFFF"/>
        </w:rPr>
        <w:t xml:space="preserve"> (</w:t>
      </w:r>
      <w:r w:rsidR="00BD7D8D">
        <w:rPr>
          <w:rFonts w:ascii="Times New Roman" w:hAnsi="Times New Roman" w:cs="Times New Roman"/>
          <w:color w:val="EE0000"/>
          <w:sz w:val="24"/>
          <w:szCs w:val="24"/>
          <w:shd w:val="clear" w:color="auto" w:fill="FFFFFF"/>
        </w:rPr>
        <w:t>L</w:t>
      </w:r>
      <w:r w:rsidR="00D624C8">
        <w:rPr>
          <w:rFonts w:ascii="Times New Roman" w:hAnsi="Times New Roman" w:cs="Times New Roman"/>
          <w:color w:val="EE0000"/>
          <w:sz w:val="24"/>
          <w:szCs w:val="24"/>
          <w:shd w:val="clear" w:color="auto" w:fill="FFFFFF"/>
        </w:rPr>
        <w:t>40-41).</w:t>
      </w:r>
    </w:p>
    <w:p w14:paraId="7AE4A825" w14:textId="77777777" w:rsidR="00684806" w:rsidRDefault="009A62CB" w:rsidP="004E1CA4">
      <w:pPr>
        <w:rPr>
          <w:rFonts w:ascii="Times New Roman" w:hAnsi="Times New Roman" w:cs="Times New Roman"/>
          <w:sz w:val="24"/>
          <w:szCs w:val="24"/>
        </w:rPr>
      </w:pPr>
      <w:r w:rsidRPr="00611AB3">
        <w:rPr>
          <w:rFonts w:ascii="Times New Roman" w:hAnsi="Times New Roman" w:cs="Times New Roman"/>
          <w:sz w:val="24"/>
          <w:szCs w:val="24"/>
          <w:shd w:val="clear" w:color="auto" w:fill="FFFFFF"/>
        </w:rPr>
        <w:br/>
        <w:t>Lines 59 - 60: “The efficiency of the BCP depends mainly on the fraction of exported carbon that is sequestered in the return flux of the BCP as DIC</w:t>
      </w:r>
      <w:r w:rsidRPr="00945F23">
        <w:rPr>
          <w:rFonts w:ascii="Times New Roman" w:hAnsi="Times New Roman" w:cs="Times New Roman"/>
          <w:sz w:val="24"/>
          <w:szCs w:val="24"/>
          <w:shd w:val="clear" w:color="auto" w:fill="FFFFFF"/>
          <w:vertAlign w:val="subscript"/>
        </w:rPr>
        <w:t>soft</w:t>
      </w:r>
      <w:r w:rsidRPr="00611AB3">
        <w:rPr>
          <w:rFonts w:ascii="Times New Roman" w:hAnsi="Times New Roman" w:cs="Times New Roman"/>
          <w:sz w:val="24"/>
          <w:szCs w:val="24"/>
          <w:shd w:val="clear" w:color="auto" w:fill="FFFFFF"/>
        </w:rPr>
        <w:t>.” – is this referring to remineralisation of organic carbon? The term efficiency has multiple uses in the BCP literature but probably most notably as the fraction of flux across an export horizon (export efficiency) and a deeper horizon (transfer efficiency) so this might be reworded or clarified to avoid confusion.</w:t>
      </w:r>
      <w:r w:rsidRPr="00611AB3">
        <w:rPr>
          <w:rFonts w:ascii="Times New Roman" w:hAnsi="Times New Roman" w:cs="Times New Roman"/>
          <w:sz w:val="24"/>
          <w:szCs w:val="24"/>
        </w:rPr>
        <w:t> </w:t>
      </w:r>
    </w:p>
    <w:p w14:paraId="52E04D8A" w14:textId="4CF80A6F" w:rsidR="0024227A" w:rsidRDefault="00945F23" w:rsidP="004E1CA4">
      <w:pPr>
        <w:rPr>
          <w:rFonts w:ascii="Times New Roman" w:hAnsi="Times New Roman" w:cs="Times New Roman"/>
          <w:sz w:val="24"/>
          <w:szCs w:val="24"/>
          <w:shd w:val="clear" w:color="auto" w:fill="FFFFFF"/>
        </w:rPr>
      </w:pPr>
      <w:r w:rsidRPr="00945F23">
        <w:rPr>
          <w:rFonts w:ascii="Times New Roman" w:hAnsi="Times New Roman" w:cs="Times New Roman"/>
          <w:color w:val="EE0000"/>
          <w:sz w:val="24"/>
          <w:szCs w:val="24"/>
          <w:shd w:val="clear" w:color="auto" w:fill="FFFFFF"/>
        </w:rPr>
        <w:t>The sentence has been revised and now reads “The efficiency of long-term carbon sequestration by the BCP depends mainly on the fraction of exported carbon that is remineralized at depth and retained as DIC</w:t>
      </w:r>
      <w:r w:rsidRPr="00945F23">
        <w:rPr>
          <w:rFonts w:ascii="Times New Roman" w:hAnsi="Times New Roman" w:cs="Times New Roman"/>
          <w:color w:val="EE0000"/>
          <w:sz w:val="24"/>
          <w:szCs w:val="24"/>
          <w:shd w:val="clear" w:color="auto" w:fill="FFFFFF"/>
          <w:vertAlign w:val="subscript"/>
        </w:rPr>
        <w:t>soft</w:t>
      </w:r>
      <w:r w:rsidRPr="00945F23">
        <w:rPr>
          <w:rFonts w:ascii="Times New Roman" w:hAnsi="Times New Roman" w:cs="Times New Roman"/>
          <w:color w:val="EE0000"/>
          <w:sz w:val="24"/>
          <w:szCs w:val="24"/>
          <w:shd w:val="clear" w:color="auto" w:fill="FFFFFF"/>
        </w:rPr>
        <w:t>.”</w:t>
      </w:r>
      <w:r w:rsidR="00D84D79">
        <w:rPr>
          <w:rFonts w:ascii="Times New Roman" w:hAnsi="Times New Roman" w:cs="Times New Roman"/>
          <w:color w:val="EE0000"/>
          <w:sz w:val="24"/>
          <w:szCs w:val="24"/>
          <w:shd w:val="clear" w:color="auto" w:fill="FFFFFF"/>
        </w:rPr>
        <w:t xml:space="preserve"> (L63-65)</w:t>
      </w:r>
      <w:r w:rsidR="009A62CB" w:rsidRPr="00945F23">
        <w:rPr>
          <w:rFonts w:ascii="Times New Roman" w:hAnsi="Times New Roman" w:cs="Times New Roman"/>
          <w:color w:val="EE0000"/>
          <w:sz w:val="24"/>
          <w:szCs w:val="24"/>
          <w:shd w:val="clear" w:color="auto" w:fill="FFFFFF"/>
        </w:rPr>
        <w:br/>
      </w:r>
      <w:r w:rsidR="009A62CB" w:rsidRPr="00611AB3">
        <w:rPr>
          <w:rFonts w:ascii="Times New Roman" w:hAnsi="Times New Roman" w:cs="Times New Roman"/>
          <w:sz w:val="24"/>
          <w:szCs w:val="24"/>
          <w:shd w:val="clear" w:color="auto" w:fill="FFFFFF"/>
        </w:rPr>
        <w:br/>
        <w:t>Line 63: Ricour et al., (2023) is specific to 100 years</w:t>
      </w:r>
    </w:p>
    <w:p w14:paraId="651F2E1E" w14:textId="77E82D4D" w:rsidR="00441D47" w:rsidRPr="00441D47" w:rsidRDefault="00441D47" w:rsidP="004E1CA4">
      <w:pPr>
        <w:rPr>
          <w:rFonts w:ascii="Times New Roman" w:hAnsi="Times New Roman" w:cs="Times New Roman"/>
          <w:color w:val="EE0000"/>
          <w:sz w:val="24"/>
          <w:szCs w:val="24"/>
          <w:shd w:val="clear" w:color="auto" w:fill="FFFFFF"/>
        </w:rPr>
      </w:pPr>
      <w:r w:rsidRPr="00441D47">
        <w:rPr>
          <w:rFonts w:ascii="Times New Roman" w:hAnsi="Times New Roman" w:cs="Times New Roman"/>
          <w:color w:val="EE0000"/>
          <w:sz w:val="24"/>
          <w:szCs w:val="24"/>
          <w:shd w:val="clear" w:color="auto" w:fill="FFFFFF"/>
        </w:rPr>
        <w:t>We agree and have revised the sentence to clarify that Ricour et al. (2023) is cited for its conceptual framework linking remineralization depth and residence time to carbon isolation timescales, rather than for direct applicability to the 2004–2022 period analyzed here.</w:t>
      </w:r>
    </w:p>
    <w:p w14:paraId="4398F393" w14:textId="3B29FCFC" w:rsidR="007419AA" w:rsidRDefault="0024227A" w:rsidP="004E1CA4">
      <w:pPr>
        <w:rPr>
          <w:rFonts w:ascii="Times New Roman" w:hAnsi="Times New Roman" w:cs="Times New Roman"/>
          <w:sz w:val="24"/>
          <w:szCs w:val="24"/>
        </w:rPr>
      </w:pPr>
      <w:r w:rsidRPr="00441D47">
        <w:rPr>
          <w:rFonts w:ascii="Times New Roman" w:hAnsi="Times New Roman" w:cs="Times New Roman"/>
          <w:color w:val="EE0000"/>
          <w:sz w:val="24"/>
          <w:szCs w:val="24"/>
          <w:shd w:val="clear" w:color="auto" w:fill="FFFFFF"/>
        </w:rPr>
        <w:t>The sentence has been revised and now reads “…as well as by remineralization depth and water residence time in the ocean interior, which together control carbon isolation timescales (Ricour et al., 2023).”</w:t>
      </w:r>
      <w:r w:rsidR="002C01BE">
        <w:rPr>
          <w:rFonts w:ascii="Times New Roman" w:hAnsi="Times New Roman" w:cs="Times New Roman"/>
          <w:color w:val="EE0000"/>
          <w:sz w:val="24"/>
          <w:szCs w:val="24"/>
          <w:shd w:val="clear" w:color="auto" w:fill="FFFFFF"/>
        </w:rPr>
        <w:t xml:space="preserve"> (L67-68)</w:t>
      </w:r>
      <w:r w:rsidR="009A62CB" w:rsidRPr="00611AB3">
        <w:rPr>
          <w:rFonts w:ascii="Times New Roman" w:hAnsi="Times New Roman" w:cs="Times New Roman"/>
          <w:sz w:val="24"/>
          <w:szCs w:val="24"/>
          <w:shd w:val="clear" w:color="auto" w:fill="FFFFFF"/>
        </w:rPr>
        <w:br/>
      </w:r>
      <w:r w:rsidR="009A62CB" w:rsidRPr="00611AB3">
        <w:rPr>
          <w:rFonts w:ascii="Times New Roman" w:hAnsi="Times New Roman" w:cs="Times New Roman"/>
          <w:sz w:val="24"/>
          <w:szCs w:val="24"/>
          <w:shd w:val="clear" w:color="auto" w:fill="FFFFFF"/>
        </w:rPr>
        <w:br/>
        <w:t>Line 71: Henson et al., (2022) discusses export production not DICsoft.</w:t>
      </w:r>
      <w:r w:rsidR="009A62CB" w:rsidRPr="00611AB3">
        <w:rPr>
          <w:rFonts w:ascii="Times New Roman" w:hAnsi="Times New Roman" w:cs="Times New Roman"/>
          <w:sz w:val="24"/>
          <w:szCs w:val="24"/>
        </w:rPr>
        <w:t> </w:t>
      </w:r>
    </w:p>
    <w:p w14:paraId="4C32A49D" w14:textId="2E8E9DB5" w:rsidR="005F1762" w:rsidRDefault="007419AA" w:rsidP="004E1CA4">
      <w:pPr>
        <w:rPr>
          <w:rFonts w:ascii="Times New Roman" w:hAnsi="Times New Roman" w:cs="Times New Roman"/>
          <w:sz w:val="24"/>
          <w:szCs w:val="24"/>
          <w:shd w:val="clear" w:color="auto" w:fill="FFFFFF"/>
        </w:rPr>
      </w:pPr>
      <w:r w:rsidRPr="007419AA">
        <w:rPr>
          <w:rFonts w:ascii="Times New Roman" w:hAnsi="Times New Roman" w:cs="Times New Roman"/>
          <w:color w:val="EE0000"/>
          <w:sz w:val="24"/>
          <w:szCs w:val="24"/>
          <w:shd w:val="clear" w:color="auto" w:fill="FFFFFF"/>
        </w:rPr>
        <w:t>We agree and have revised the sentence to clarify that Henson et al. (2022) is cited in relation to climate-driven changes in</w:t>
      </w:r>
      <w:r w:rsidRPr="00E541DD">
        <w:rPr>
          <w:rFonts w:ascii="Times New Roman" w:hAnsi="Times New Roman" w:cs="Times New Roman"/>
          <w:color w:val="EE0000"/>
          <w:sz w:val="24"/>
          <w:szCs w:val="24"/>
          <w:shd w:val="clear" w:color="auto" w:fill="FFFFFF"/>
        </w:rPr>
        <w:t xml:space="preserve"> biological export and transfer efficiency, and that the link to DICsoft sequestration is indirect. The sentence now reads: “</w:t>
      </w:r>
      <w:r w:rsidR="00E541DD" w:rsidRPr="00E541DD">
        <w:rPr>
          <w:rFonts w:ascii="Times New Roman" w:hAnsi="Times New Roman" w:cs="Times New Roman"/>
          <w:color w:val="EE0000"/>
          <w:sz w:val="24"/>
          <w:szCs w:val="24"/>
          <w:shd w:val="clear" w:color="auto" w:fill="FFFFFF"/>
        </w:rPr>
        <w:t>Climate-driven changes in stratification, remineralization, particle dynamics, and ecosystem structure can either amplify or dampen biological carbon export and its transfer to depth, with regionally divergent outcomes (</w:t>
      </w:r>
      <w:hyperlink w:anchor="_ENREF_46" w:tooltip="Henson, 2022 #879" w:history="1">
        <w:r w:rsidR="00E541DD" w:rsidRPr="00E541DD">
          <w:rPr>
            <w:rFonts w:ascii="Times New Roman" w:hAnsi="Times New Roman" w:cs="Times New Roman"/>
            <w:color w:val="EE0000"/>
            <w:sz w:val="24"/>
            <w:szCs w:val="24"/>
            <w:shd w:val="clear" w:color="auto" w:fill="FFFFFF"/>
          </w:rPr>
          <w:t>Henson et al., 2022</w:t>
        </w:r>
        <w:r w:rsidR="00E541DD" w:rsidRPr="00E541DD">
          <w:rPr>
            <w:rFonts w:ascii="Times New Roman" w:hAnsi="Times New Roman" w:cs="Times New Roman"/>
            <w:color w:val="EE0000"/>
            <w:sz w:val="24"/>
            <w:szCs w:val="24"/>
            <w:shd w:val="clear" w:color="auto" w:fill="FFFFFF"/>
          </w:rPr>
          <w:fldChar w:fldCharType="begin"/>
        </w:r>
        <w:r w:rsidR="00E541DD" w:rsidRPr="00E541DD">
          <w:rPr>
            <w:rFonts w:ascii="Times New Roman" w:hAnsi="Times New Roman" w:cs="Times New Roman"/>
            <w:color w:val="EE0000"/>
            <w:sz w:val="24"/>
            <w:szCs w:val="24"/>
            <w:shd w:val="clear" w:color="auto" w:fill="FFFFFF"/>
          </w:rPr>
          <w:instrText xml:space="preserve"> ADDIN EN.CITE &lt;EndNote&gt;&lt;Cite&gt;&lt;Author&gt;Henson&lt;/Author&gt;&lt;Year&gt;2022&lt;/Year&gt;&lt;RecNum&gt;879&lt;/RecNum&gt;&lt;DisplayText&gt;Henson et al., 2022&lt;/DisplayText&gt;&lt;record&gt;&lt;rec-number&gt;879&lt;/rec-number&gt;&lt;foreign-keys&gt;&lt;key app="EN" db-id="wwdtspzxq5zztnepw2epptazz9v29d9tpfww" timestamp="1649933645"&gt;879&lt;/key&gt;&lt;/foreign-keys&gt;&lt;ref-type name="Journal Article"&gt;17&lt;/ref-type&gt;&lt;contributors&gt;&lt;authors&gt;&lt;author&gt;Henson, Stephanie A.&lt;/author&gt;&lt;author&gt;Laufkötter, Charlotte&lt;/author&gt;&lt;author&gt;Leung, Shirley&lt;/author&gt;&lt;author&gt;Giering, Sarah L. C.&lt;/author&gt;&lt;author&gt;Palevsky, Hilary I.&lt;/author&gt;&lt;author&gt;Cavan, Emma L.&lt;/author&gt;&lt;/authors&gt;&lt;/contributors&gt;&lt;titles&gt;&lt;title&gt;Uncertain response of ocean biological carbon export in a changing world&lt;/title&gt;&lt;secondary-title&gt;Nature Geoscience&lt;/secondary-title&gt;&lt;/titles&gt;&lt;periodical&gt;&lt;full-title&gt;Nature Geoscience&lt;/full-title&gt;&lt;/periodical&gt;&lt;pages&gt;248-254&lt;/pages&gt;&lt;volume&gt;15&lt;/volume&gt;&lt;number&gt;4&lt;/number&gt;&lt;dates&gt;&lt;year&gt;2022&lt;/year&gt;&lt;pub-dates&gt;&lt;date&gt;2022/04/01&lt;/date&gt;&lt;/pub-dates&gt;&lt;/dates&gt;&lt;isbn&gt;1752-0908&lt;/isbn&gt;&lt;urls&gt;&lt;related-urls&gt;&lt;url&gt;https://doi.org/10.1038/s41561-022-00927-0&lt;/url&gt;&lt;/related-urls&gt;&lt;/urls&gt;&lt;electronic-resource-num&gt;10.1038/s41561-022-00927-0&lt;/electronic-resource-num&gt;&lt;/record&gt;&lt;/Cite&gt;&lt;/EndNote&gt;</w:instrText>
        </w:r>
        <w:r w:rsidR="00E541DD" w:rsidRPr="00E541DD">
          <w:rPr>
            <w:rFonts w:ascii="Times New Roman" w:hAnsi="Times New Roman" w:cs="Times New Roman"/>
            <w:color w:val="EE0000"/>
            <w:sz w:val="24"/>
            <w:szCs w:val="24"/>
            <w:shd w:val="clear" w:color="auto" w:fill="FFFFFF"/>
          </w:rPr>
          <w:fldChar w:fldCharType="separate"/>
        </w:r>
        <w:r w:rsidR="00E541DD" w:rsidRPr="00E541DD">
          <w:rPr>
            <w:rFonts w:ascii="Times New Roman" w:hAnsi="Times New Roman" w:cs="Times New Roman"/>
            <w:color w:val="EE0000"/>
            <w:sz w:val="24"/>
            <w:szCs w:val="24"/>
            <w:shd w:val="clear" w:color="auto" w:fill="FFFFFF"/>
          </w:rPr>
          <w:fldChar w:fldCharType="end"/>
        </w:r>
      </w:hyperlink>
      <w:r w:rsidR="00E541DD" w:rsidRPr="00E541DD">
        <w:rPr>
          <w:rFonts w:ascii="Times New Roman" w:hAnsi="Times New Roman" w:cs="Times New Roman"/>
          <w:color w:val="EE0000"/>
          <w:sz w:val="24"/>
          <w:szCs w:val="24"/>
          <w:shd w:val="clear" w:color="auto" w:fill="FFFFFF"/>
        </w:rPr>
        <w:t>), with implications for the sequestration of respired DIC</w:t>
      </w:r>
      <w:r w:rsidR="00E541DD" w:rsidRPr="00E541DD">
        <w:rPr>
          <w:rFonts w:ascii="Times New Roman" w:hAnsi="Times New Roman" w:cs="Times New Roman"/>
          <w:color w:val="EE0000"/>
          <w:sz w:val="24"/>
          <w:szCs w:val="24"/>
          <w:shd w:val="clear" w:color="auto" w:fill="FFFFFF"/>
          <w:vertAlign w:val="subscript"/>
        </w:rPr>
        <w:t>soft</w:t>
      </w:r>
      <w:r w:rsidR="00E541DD" w:rsidRPr="00E541DD">
        <w:rPr>
          <w:rFonts w:ascii="Times New Roman" w:hAnsi="Times New Roman" w:cs="Times New Roman"/>
          <w:color w:val="EE0000"/>
          <w:sz w:val="24"/>
          <w:szCs w:val="24"/>
          <w:shd w:val="clear" w:color="auto" w:fill="FFFFFF"/>
        </w:rPr>
        <w:t>.”</w:t>
      </w:r>
      <w:r w:rsidR="00CA3A12">
        <w:rPr>
          <w:rFonts w:ascii="Times New Roman" w:hAnsi="Times New Roman" w:cs="Times New Roman"/>
          <w:color w:val="EE0000"/>
          <w:sz w:val="24"/>
          <w:szCs w:val="24"/>
          <w:shd w:val="clear" w:color="auto" w:fill="FFFFFF"/>
        </w:rPr>
        <w:t>(L75-78)</w:t>
      </w:r>
      <w:r w:rsidR="009A62CB" w:rsidRPr="00611AB3">
        <w:rPr>
          <w:rFonts w:ascii="Times New Roman" w:hAnsi="Times New Roman" w:cs="Times New Roman"/>
          <w:sz w:val="24"/>
          <w:szCs w:val="24"/>
          <w:shd w:val="clear" w:color="auto" w:fill="FFFFFF"/>
        </w:rPr>
        <w:br/>
      </w:r>
      <w:r w:rsidR="009A62CB" w:rsidRPr="00611AB3">
        <w:rPr>
          <w:rFonts w:ascii="Times New Roman" w:hAnsi="Times New Roman" w:cs="Times New Roman"/>
          <w:sz w:val="24"/>
          <w:szCs w:val="24"/>
          <w:shd w:val="clear" w:color="auto" w:fill="FFFFFF"/>
        </w:rPr>
        <w:br/>
        <w:t>Line 77: Wilson et al., (2022) provides the assessment of future changes in DICsoft alongside export, POC and circulation. The cited papers focus on export only.</w:t>
      </w:r>
    </w:p>
    <w:p w14:paraId="68659B7D" w14:textId="064A692D" w:rsidR="005353C9" w:rsidRDefault="009A62CB" w:rsidP="004E1CA4">
      <w:pPr>
        <w:rPr>
          <w:rFonts w:ascii="Times New Roman" w:hAnsi="Times New Roman" w:cs="Times New Roman"/>
          <w:sz w:val="24"/>
          <w:szCs w:val="24"/>
          <w:shd w:val="clear" w:color="auto" w:fill="FFFFFF"/>
        </w:rPr>
      </w:pPr>
      <w:r w:rsidRPr="00611AB3">
        <w:rPr>
          <w:rFonts w:ascii="Times New Roman" w:hAnsi="Times New Roman" w:cs="Times New Roman"/>
          <w:sz w:val="24"/>
          <w:szCs w:val="24"/>
          <w:shd w:val="clear" w:color="auto" w:fill="FFFFFF"/>
        </w:rPr>
        <w:br/>
      </w:r>
      <w:r w:rsidR="005353C9" w:rsidRPr="005353C9">
        <w:rPr>
          <w:rFonts w:ascii="Times New Roman" w:hAnsi="Times New Roman" w:cs="Times New Roman"/>
          <w:color w:val="EE0000"/>
          <w:sz w:val="24"/>
          <w:szCs w:val="24"/>
          <w:shd w:val="clear" w:color="auto" w:fill="FFFFFF"/>
        </w:rPr>
        <w:t>We thank the reviewer for catching this. The citation has been revised to replace the export-focused references with Wilson et al. (2022)</w:t>
      </w:r>
      <w:r w:rsidR="00CE40C8">
        <w:rPr>
          <w:rFonts w:ascii="Times New Roman" w:hAnsi="Times New Roman" w:cs="Times New Roman"/>
          <w:color w:val="EE0000"/>
          <w:sz w:val="24"/>
          <w:szCs w:val="24"/>
          <w:shd w:val="clear" w:color="auto" w:fill="FFFFFF"/>
        </w:rPr>
        <w:t>.</w:t>
      </w:r>
    </w:p>
    <w:p w14:paraId="16DD3C76" w14:textId="77777777" w:rsidR="00CE40C8" w:rsidRDefault="009A62CB" w:rsidP="004E1CA4">
      <w:pPr>
        <w:rPr>
          <w:rFonts w:ascii="Times New Roman" w:hAnsi="Times New Roman" w:cs="Times New Roman"/>
          <w:sz w:val="24"/>
          <w:szCs w:val="24"/>
          <w:shd w:val="clear" w:color="auto" w:fill="FFFFFF"/>
        </w:rPr>
      </w:pPr>
      <w:r w:rsidRPr="00611AB3">
        <w:rPr>
          <w:rFonts w:ascii="Times New Roman" w:hAnsi="Times New Roman" w:cs="Times New Roman"/>
          <w:sz w:val="24"/>
          <w:szCs w:val="24"/>
          <w:shd w:val="clear" w:color="auto" w:fill="FFFFFF"/>
        </w:rPr>
        <w:br/>
        <w:t>Line 91: or equally that magnitude of change is very small? What is meant by “sequestration efficiency”?</w:t>
      </w:r>
    </w:p>
    <w:p w14:paraId="40C985DA" w14:textId="726CA214" w:rsidR="001063C1" w:rsidRPr="001063C1" w:rsidRDefault="0091404B" w:rsidP="004E1CA4">
      <w:pPr>
        <w:rPr>
          <w:rFonts w:ascii="Times New Roman" w:hAnsi="Times New Roman" w:cs="Times New Roman"/>
          <w:color w:val="EE0000"/>
          <w:sz w:val="24"/>
          <w:szCs w:val="24"/>
          <w:shd w:val="clear" w:color="auto" w:fill="FFFFFF"/>
        </w:rPr>
      </w:pPr>
      <w:r w:rsidRPr="001063C1">
        <w:rPr>
          <w:rFonts w:ascii="Times New Roman" w:hAnsi="Times New Roman" w:cs="Times New Roman"/>
          <w:color w:val="EE0000"/>
          <w:sz w:val="24"/>
          <w:szCs w:val="24"/>
          <w:shd w:val="clear" w:color="auto" w:fill="FFFFFF"/>
        </w:rPr>
        <w:t>We agree and have revised this sentence to clarify that the apparent stability reflects the absence of a statistically detectable global trend over the study period, rather than proof of no change</w:t>
      </w:r>
      <w:r w:rsidR="001063C1" w:rsidRPr="001063C1">
        <w:rPr>
          <w:rFonts w:ascii="Times New Roman" w:hAnsi="Times New Roman" w:cs="Times New Roman"/>
          <w:color w:val="EE0000"/>
          <w:sz w:val="24"/>
          <w:szCs w:val="24"/>
          <w:shd w:val="clear" w:color="auto" w:fill="FFFFFF"/>
        </w:rPr>
        <w:t>:</w:t>
      </w:r>
    </w:p>
    <w:p w14:paraId="36439E12" w14:textId="072FACB4" w:rsidR="001063C1" w:rsidRPr="001063C1" w:rsidRDefault="001063C1" w:rsidP="004E1CA4">
      <w:pPr>
        <w:rPr>
          <w:rFonts w:ascii="Times New Roman" w:hAnsi="Times New Roman" w:cs="Times New Roman"/>
          <w:color w:val="EE0000"/>
          <w:sz w:val="24"/>
          <w:szCs w:val="24"/>
          <w:shd w:val="clear" w:color="auto" w:fill="FFFFFF"/>
        </w:rPr>
      </w:pPr>
      <w:r>
        <w:rPr>
          <w:rFonts w:ascii="Times New Roman" w:hAnsi="Times New Roman" w:cs="Times New Roman"/>
          <w:color w:val="EE0000"/>
          <w:sz w:val="24"/>
          <w:szCs w:val="24"/>
          <w:shd w:val="clear" w:color="auto" w:fill="FFFFFF"/>
        </w:rPr>
        <w:t>“</w:t>
      </w:r>
      <w:r w:rsidRPr="001063C1">
        <w:rPr>
          <w:rFonts w:ascii="Times New Roman" w:hAnsi="Times New Roman" w:cs="Times New Roman"/>
          <w:color w:val="EE0000"/>
          <w:sz w:val="24"/>
          <w:szCs w:val="24"/>
          <w:shd w:val="clear" w:color="auto" w:fill="FFFFFF"/>
        </w:rPr>
        <w:t xml:space="preserve">This suggests that while no statistically detectable change in long-term global BCP-driven carbon sequestration emerges over the study period, compensating changes in productivity, </w:t>
      </w:r>
      <w:r w:rsidRPr="001063C1">
        <w:rPr>
          <w:rFonts w:ascii="Times New Roman" w:hAnsi="Times New Roman" w:cs="Times New Roman"/>
          <w:color w:val="EE0000"/>
          <w:sz w:val="24"/>
          <w:szCs w:val="24"/>
          <w:shd w:val="clear" w:color="auto" w:fill="FFFFFF"/>
        </w:rPr>
        <w:lastRenderedPageBreak/>
        <w:t>remineralization, and circulation are reshaping its regional expression and the depth and residence time of respired carbon storage.</w:t>
      </w:r>
      <w:r>
        <w:rPr>
          <w:rFonts w:ascii="Times New Roman" w:hAnsi="Times New Roman" w:cs="Times New Roman"/>
          <w:color w:val="EE0000"/>
          <w:sz w:val="24"/>
          <w:szCs w:val="24"/>
          <w:shd w:val="clear" w:color="auto" w:fill="FFFFFF"/>
        </w:rPr>
        <w:t>”</w:t>
      </w:r>
      <w:r w:rsidR="00254C9D">
        <w:rPr>
          <w:rFonts w:ascii="Times New Roman" w:hAnsi="Times New Roman" w:cs="Times New Roman"/>
          <w:color w:val="EE0000"/>
          <w:sz w:val="24"/>
          <w:szCs w:val="24"/>
          <w:shd w:val="clear" w:color="auto" w:fill="FFFFFF"/>
        </w:rPr>
        <w:t xml:space="preserve"> (L96-99)</w:t>
      </w:r>
    </w:p>
    <w:p w14:paraId="1A58C49F" w14:textId="77777777" w:rsidR="001063C1" w:rsidRDefault="0091404B" w:rsidP="004E1CA4">
      <w:pPr>
        <w:rPr>
          <w:rFonts w:ascii="Times New Roman" w:hAnsi="Times New Roman" w:cs="Times New Roman"/>
          <w:sz w:val="24"/>
          <w:szCs w:val="24"/>
          <w:shd w:val="clear" w:color="auto" w:fill="FFFFFF"/>
        </w:rPr>
      </w:pPr>
      <w:r w:rsidRPr="001063C1">
        <w:rPr>
          <w:rFonts w:ascii="Times New Roman" w:hAnsi="Times New Roman" w:cs="Times New Roman"/>
          <w:color w:val="EE0000"/>
          <w:sz w:val="24"/>
          <w:szCs w:val="24"/>
          <w:shd w:val="clear" w:color="auto" w:fill="FFFFFF"/>
        </w:rPr>
        <w:t>We also removed the term “sequestration efficiency” and now explicitly refer to changes in the depth and residence time of respired carbon storage.</w:t>
      </w:r>
      <w:r w:rsidR="009A62CB" w:rsidRPr="00611AB3">
        <w:rPr>
          <w:rFonts w:ascii="Times New Roman" w:hAnsi="Times New Roman" w:cs="Times New Roman"/>
          <w:sz w:val="24"/>
          <w:szCs w:val="24"/>
          <w:shd w:val="clear" w:color="auto" w:fill="FFFFFF"/>
        </w:rPr>
        <w:br/>
      </w:r>
    </w:p>
    <w:p w14:paraId="0C7EF3FF" w14:textId="77777777" w:rsidR="005E6C34" w:rsidRDefault="009A62CB" w:rsidP="004E1CA4">
      <w:pPr>
        <w:rPr>
          <w:rFonts w:ascii="Times New Roman" w:hAnsi="Times New Roman" w:cs="Times New Roman"/>
          <w:sz w:val="24"/>
          <w:szCs w:val="24"/>
          <w:shd w:val="clear" w:color="auto" w:fill="FFFFFF"/>
        </w:rPr>
      </w:pPr>
      <w:r w:rsidRPr="00611AB3">
        <w:rPr>
          <w:rFonts w:ascii="Times New Roman" w:hAnsi="Times New Roman" w:cs="Times New Roman"/>
          <w:sz w:val="24"/>
          <w:szCs w:val="24"/>
          <w:shd w:val="clear" w:color="auto" w:fill="FFFFFF"/>
        </w:rPr>
        <w:t>Line 96: Does BCP efficiency here refer to changes in vertical organic carbon fluxes?</w:t>
      </w:r>
    </w:p>
    <w:p w14:paraId="2C1F2A63" w14:textId="77777777" w:rsidR="005E6C34" w:rsidRDefault="005E6C34" w:rsidP="004E1CA4">
      <w:pPr>
        <w:rPr>
          <w:rFonts w:ascii="Times New Roman" w:hAnsi="Times New Roman" w:cs="Times New Roman"/>
          <w:sz w:val="24"/>
          <w:szCs w:val="24"/>
          <w:shd w:val="clear" w:color="auto" w:fill="FFFFFF"/>
        </w:rPr>
      </w:pPr>
      <w:r w:rsidRPr="005E6C34">
        <w:rPr>
          <w:rFonts w:ascii="Times New Roman" w:hAnsi="Times New Roman" w:cs="Times New Roman"/>
          <w:color w:val="EE0000"/>
          <w:sz w:val="24"/>
          <w:szCs w:val="24"/>
          <w:shd w:val="clear" w:color="auto" w:fill="FFFFFF"/>
        </w:rPr>
        <w:t>We agree that the term “BCP efficiency” was ambiguous in this context. The sentence has been revised to explicitly refer to changes in the depth and retention of respired DIC</w:t>
      </w:r>
      <w:r w:rsidRPr="007B4783">
        <w:rPr>
          <w:rFonts w:ascii="Times New Roman" w:hAnsi="Times New Roman" w:cs="Times New Roman"/>
          <w:color w:val="EE0000"/>
          <w:sz w:val="24"/>
          <w:szCs w:val="24"/>
          <w:shd w:val="clear" w:color="auto" w:fill="FFFFFF"/>
          <w:vertAlign w:val="subscript"/>
        </w:rPr>
        <w:t>soft</w:t>
      </w:r>
      <w:r w:rsidRPr="005E6C34">
        <w:rPr>
          <w:rFonts w:ascii="Times New Roman" w:hAnsi="Times New Roman" w:cs="Times New Roman"/>
          <w:color w:val="EE0000"/>
          <w:sz w:val="24"/>
          <w:szCs w:val="24"/>
          <w:shd w:val="clear" w:color="auto" w:fill="FFFFFF"/>
        </w:rPr>
        <w:t>, rather than to changes in vertical organic carbon fluxes:</w:t>
      </w:r>
    </w:p>
    <w:p w14:paraId="788BD4BE" w14:textId="76859DD2" w:rsidR="00E20955" w:rsidRDefault="005E6C34" w:rsidP="004E1CA4">
      <w:pPr>
        <w:rPr>
          <w:rFonts w:ascii="Times New Roman" w:hAnsi="Times New Roman" w:cs="Times New Roman"/>
          <w:sz w:val="24"/>
          <w:szCs w:val="24"/>
          <w:shd w:val="clear" w:color="auto" w:fill="FFFFFF"/>
        </w:rPr>
      </w:pPr>
      <w:r w:rsidRPr="00D52553">
        <w:rPr>
          <w:rFonts w:ascii="Times New Roman" w:hAnsi="Times New Roman" w:cs="Times New Roman"/>
          <w:color w:val="EE0000"/>
          <w:sz w:val="24"/>
          <w:szCs w:val="24"/>
          <w:shd w:val="clear" w:color="auto" w:fill="FFFFFF"/>
        </w:rPr>
        <w:t>“</w:t>
      </w:r>
      <w:r w:rsidR="0080439C" w:rsidRPr="00D52553">
        <w:rPr>
          <w:rFonts w:ascii="Times New Roman" w:hAnsi="Times New Roman" w:cs="Times New Roman"/>
          <w:color w:val="EE0000"/>
          <w:sz w:val="24"/>
          <w:szCs w:val="24"/>
          <w:shd w:val="clear" w:color="auto" w:fill="FFFFFF"/>
        </w:rPr>
        <w:t xml:space="preserve">Until now, it has been unclear whether this spatial reorganization of sequestered </w:t>
      </w:r>
      <w:r w:rsidR="007B4783" w:rsidRPr="005E6C34">
        <w:rPr>
          <w:rFonts w:ascii="Times New Roman" w:hAnsi="Times New Roman" w:cs="Times New Roman"/>
          <w:color w:val="EE0000"/>
          <w:sz w:val="24"/>
          <w:szCs w:val="24"/>
          <w:shd w:val="clear" w:color="auto" w:fill="FFFFFF"/>
        </w:rPr>
        <w:t>DIC</w:t>
      </w:r>
      <w:r w:rsidR="007B4783" w:rsidRPr="007B4783">
        <w:rPr>
          <w:rFonts w:ascii="Times New Roman" w:hAnsi="Times New Roman" w:cs="Times New Roman"/>
          <w:color w:val="EE0000"/>
          <w:sz w:val="24"/>
          <w:szCs w:val="24"/>
          <w:shd w:val="clear" w:color="auto" w:fill="FFFFFF"/>
          <w:vertAlign w:val="subscript"/>
        </w:rPr>
        <w:t>soft</w:t>
      </w:r>
      <w:r w:rsidR="007B4783" w:rsidRPr="00D52553">
        <w:rPr>
          <w:rFonts w:ascii="Times New Roman" w:hAnsi="Times New Roman" w:cs="Times New Roman"/>
          <w:color w:val="EE0000"/>
          <w:sz w:val="24"/>
          <w:szCs w:val="24"/>
          <w:shd w:val="clear" w:color="auto" w:fill="FFFFFF"/>
        </w:rPr>
        <w:t xml:space="preserve"> </w:t>
      </w:r>
      <w:r w:rsidR="0080439C" w:rsidRPr="00D52553">
        <w:rPr>
          <w:rFonts w:ascii="Times New Roman" w:hAnsi="Times New Roman" w:cs="Times New Roman"/>
          <w:color w:val="EE0000"/>
          <w:sz w:val="24"/>
          <w:szCs w:val="24"/>
          <w:shd w:val="clear" w:color="auto" w:fill="FFFFFF"/>
        </w:rPr>
        <w:t>reflects changes in carbon retention at depth, or redistribution driven by circulation.”</w:t>
      </w:r>
      <w:r w:rsidR="00D52553" w:rsidRPr="00D52553">
        <w:rPr>
          <w:rFonts w:ascii="Times New Roman" w:hAnsi="Times New Roman" w:cs="Times New Roman"/>
          <w:color w:val="EE0000"/>
          <w:sz w:val="24"/>
          <w:szCs w:val="24"/>
          <w:shd w:val="clear" w:color="auto" w:fill="FFFFFF"/>
        </w:rPr>
        <w:t xml:space="preserve"> (L101-102)</w:t>
      </w:r>
      <w:r w:rsidR="009A62CB" w:rsidRPr="00611AB3">
        <w:rPr>
          <w:rFonts w:ascii="Times New Roman" w:hAnsi="Times New Roman" w:cs="Times New Roman"/>
          <w:sz w:val="24"/>
          <w:szCs w:val="24"/>
          <w:shd w:val="clear" w:color="auto" w:fill="FFFFFF"/>
        </w:rPr>
        <w:br/>
      </w:r>
      <w:r w:rsidR="009A62CB" w:rsidRPr="00611AB3">
        <w:rPr>
          <w:rFonts w:ascii="Times New Roman" w:hAnsi="Times New Roman" w:cs="Times New Roman"/>
          <w:sz w:val="24"/>
          <w:szCs w:val="24"/>
          <w:shd w:val="clear" w:color="auto" w:fill="FFFFFF"/>
        </w:rPr>
        <w:br/>
        <w:t>Line 100: “respired and sequestered component” – it’s not clear whether these are two separate terms or is a turn of phrase for one term.</w:t>
      </w:r>
    </w:p>
    <w:p w14:paraId="532CC23E" w14:textId="77777777" w:rsidR="00E60868" w:rsidRDefault="00E20955" w:rsidP="004E1CA4">
      <w:pPr>
        <w:rPr>
          <w:rFonts w:ascii="Times New Roman" w:hAnsi="Times New Roman" w:cs="Times New Roman"/>
          <w:sz w:val="24"/>
          <w:szCs w:val="24"/>
          <w:shd w:val="clear" w:color="auto" w:fill="FFFFFF"/>
        </w:rPr>
      </w:pPr>
      <w:r w:rsidRPr="00E20955">
        <w:rPr>
          <w:rFonts w:ascii="Times New Roman" w:hAnsi="Times New Roman" w:cs="Times New Roman"/>
          <w:color w:val="EE0000"/>
          <w:sz w:val="24"/>
          <w:szCs w:val="24"/>
          <w:shd w:val="clear" w:color="auto" w:fill="FFFFFF"/>
        </w:rPr>
        <w:t>We agree and have revised the wording to clarify that “respired and sequestered” refers to a single quantity: respired DIC retained below the winter mixed layer, rather than to two separate terms</w:t>
      </w:r>
      <w:r w:rsidRPr="00206439">
        <w:rPr>
          <w:rFonts w:ascii="Times New Roman" w:hAnsi="Times New Roman" w:cs="Times New Roman"/>
          <w:color w:val="EE0000"/>
          <w:sz w:val="24"/>
          <w:szCs w:val="24"/>
          <w:shd w:val="clear" w:color="auto" w:fill="FFFFFF"/>
        </w:rPr>
        <w:t xml:space="preserve">. The sentence now reads “…(i.e., </w:t>
      </w:r>
      <w:r w:rsidR="007940E5" w:rsidRPr="00206439">
        <w:rPr>
          <w:rFonts w:ascii="Times New Roman" w:hAnsi="Times New Roman" w:cs="Times New Roman"/>
          <w:color w:val="EE0000"/>
          <w:sz w:val="24"/>
          <w:szCs w:val="24"/>
          <w:shd w:val="clear" w:color="auto" w:fill="FFFFFF"/>
        </w:rPr>
        <w:t>the respired component of the soft-tissue pump that is retained below the winter mixed layer)…” (L</w:t>
      </w:r>
      <w:r w:rsidR="00206439" w:rsidRPr="00206439">
        <w:rPr>
          <w:rFonts w:ascii="Times New Roman" w:hAnsi="Times New Roman" w:cs="Times New Roman"/>
          <w:color w:val="EE0000"/>
          <w:sz w:val="24"/>
          <w:szCs w:val="24"/>
          <w:shd w:val="clear" w:color="auto" w:fill="FFFFFF"/>
        </w:rPr>
        <w:t>105-106)</w:t>
      </w:r>
      <w:r w:rsidR="00206439">
        <w:rPr>
          <w:rFonts w:ascii="Times New Roman" w:hAnsi="Times New Roman" w:cs="Times New Roman"/>
          <w:color w:val="EE0000"/>
          <w:sz w:val="24"/>
          <w:szCs w:val="24"/>
          <w:shd w:val="clear" w:color="auto" w:fill="FFFFFF"/>
        </w:rPr>
        <w:t>.</w:t>
      </w:r>
      <w:r w:rsidR="009A62CB" w:rsidRPr="00611AB3">
        <w:rPr>
          <w:rFonts w:ascii="Times New Roman" w:hAnsi="Times New Roman" w:cs="Times New Roman"/>
          <w:sz w:val="24"/>
          <w:szCs w:val="24"/>
          <w:shd w:val="clear" w:color="auto" w:fill="FFFFFF"/>
        </w:rPr>
        <w:br/>
      </w:r>
      <w:r w:rsidR="009A62CB" w:rsidRPr="00611AB3">
        <w:rPr>
          <w:rFonts w:ascii="Times New Roman" w:hAnsi="Times New Roman" w:cs="Times New Roman"/>
          <w:sz w:val="24"/>
          <w:szCs w:val="24"/>
          <w:shd w:val="clear" w:color="auto" w:fill="FFFFFF"/>
        </w:rPr>
        <w:br/>
        <w:t>Line 118-119: What is meant by “DICsoft sequestration efficiency”? Specify what the long-term feedbacks and what long-term is (multi-millennial, millennial, centennial, decadal?)</w:t>
      </w:r>
      <w:r w:rsidR="009A62CB" w:rsidRPr="00611AB3">
        <w:rPr>
          <w:rFonts w:ascii="Times New Roman" w:hAnsi="Times New Roman" w:cs="Times New Roman"/>
          <w:sz w:val="24"/>
          <w:szCs w:val="24"/>
          <w:shd w:val="clear" w:color="auto" w:fill="FFFFFF"/>
        </w:rPr>
        <w:br/>
      </w:r>
    </w:p>
    <w:p w14:paraId="52A869C9" w14:textId="4E14FE56" w:rsidR="00E60868" w:rsidRPr="00E60868" w:rsidRDefault="00E60868" w:rsidP="004E1CA4">
      <w:pPr>
        <w:rPr>
          <w:rFonts w:ascii="Times New Roman" w:hAnsi="Times New Roman" w:cs="Times New Roman"/>
          <w:color w:val="EE0000"/>
          <w:sz w:val="24"/>
          <w:szCs w:val="24"/>
          <w:shd w:val="clear" w:color="auto" w:fill="FFFFFF"/>
        </w:rPr>
      </w:pPr>
      <w:r w:rsidRPr="00E60868">
        <w:rPr>
          <w:rFonts w:ascii="Times New Roman" w:hAnsi="Times New Roman" w:cs="Times New Roman"/>
          <w:color w:val="EE0000"/>
          <w:sz w:val="24"/>
          <w:szCs w:val="24"/>
          <w:shd w:val="clear" w:color="auto" w:fill="FFFFFF"/>
        </w:rPr>
        <w:t>We agree and have revised the sentence to remove the term “sequestration efficiency”. We now explicitly refer to changes in the depth and isolation timescale of respired DIC</w:t>
      </w:r>
      <w:r w:rsidRPr="00E60868">
        <w:rPr>
          <w:rFonts w:ascii="Times New Roman" w:hAnsi="Times New Roman" w:cs="Times New Roman"/>
          <w:color w:val="EE0000"/>
          <w:sz w:val="24"/>
          <w:szCs w:val="24"/>
          <w:shd w:val="clear" w:color="auto" w:fill="FFFFFF"/>
          <w:vertAlign w:val="subscript"/>
        </w:rPr>
        <w:t>soft</w:t>
      </w:r>
      <w:r w:rsidRPr="00E60868">
        <w:rPr>
          <w:rFonts w:ascii="Times New Roman" w:hAnsi="Times New Roman" w:cs="Times New Roman"/>
          <w:color w:val="EE0000"/>
          <w:sz w:val="24"/>
          <w:szCs w:val="24"/>
          <w:shd w:val="clear" w:color="auto" w:fill="FFFFFF"/>
        </w:rPr>
        <w:t>, and clarify that the relevant climate implication concerns centennial-scale air–sea carbon exchange rather than longer (millennial) or instantaneous feedbacks.</w:t>
      </w:r>
      <w:r>
        <w:rPr>
          <w:rFonts w:ascii="Times New Roman" w:hAnsi="Times New Roman" w:cs="Times New Roman"/>
          <w:color w:val="EE0000"/>
          <w:sz w:val="24"/>
          <w:szCs w:val="24"/>
          <w:shd w:val="clear" w:color="auto" w:fill="FFFFFF"/>
        </w:rPr>
        <w:t xml:space="preserve"> The sentence now reads: “</w:t>
      </w:r>
      <w:r w:rsidR="00163C85" w:rsidRPr="00163C85">
        <w:rPr>
          <w:rFonts w:ascii="Times New Roman" w:hAnsi="Times New Roman" w:cs="Times New Roman"/>
          <w:color w:val="EE0000"/>
          <w:sz w:val="24"/>
          <w:szCs w:val="24"/>
          <w:shd w:val="clear" w:color="auto" w:fill="FFFFFF"/>
        </w:rPr>
        <w:t xml:space="preserve">Additionally, we determined the depth at which 50% of the </w:t>
      </w:r>
      <w:r w:rsidR="007B4783" w:rsidRPr="005E6C34">
        <w:rPr>
          <w:rFonts w:ascii="Times New Roman" w:hAnsi="Times New Roman" w:cs="Times New Roman"/>
          <w:color w:val="EE0000"/>
          <w:sz w:val="24"/>
          <w:szCs w:val="24"/>
          <w:shd w:val="clear" w:color="auto" w:fill="FFFFFF"/>
        </w:rPr>
        <w:t>DIC</w:t>
      </w:r>
      <w:r w:rsidR="007B4783" w:rsidRPr="007B4783">
        <w:rPr>
          <w:rFonts w:ascii="Times New Roman" w:hAnsi="Times New Roman" w:cs="Times New Roman"/>
          <w:color w:val="EE0000"/>
          <w:sz w:val="24"/>
          <w:szCs w:val="24"/>
          <w:shd w:val="clear" w:color="auto" w:fill="FFFFFF"/>
          <w:vertAlign w:val="subscript"/>
        </w:rPr>
        <w:t>soft</w:t>
      </w:r>
      <w:r w:rsidR="007B4783" w:rsidRPr="00163C85">
        <w:rPr>
          <w:rFonts w:ascii="Times New Roman" w:hAnsi="Times New Roman" w:cs="Times New Roman"/>
          <w:color w:val="EE0000"/>
          <w:sz w:val="24"/>
          <w:szCs w:val="24"/>
          <w:shd w:val="clear" w:color="auto" w:fill="FFFFFF"/>
        </w:rPr>
        <w:t xml:space="preserve"> </w:t>
      </w:r>
      <w:r w:rsidR="00163C85" w:rsidRPr="00163C85">
        <w:rPr>
          <w:rFonts w:ascii="Times New Roman" w:hAnsi="Times New Roman" w:cs="Times New Roman"/>
          <w:color w:val="EE0000"/>
          <w:sz w:val="24"/>
          <w:szCs w:val="24"/>
          <w:shd w:val="clear" w:color="auto" w:fill="FFFFFF"/>
        </w:rPr>
        <w:t xml:space="preserve">inventory was stored and assessed whether it deepened or shoaled over the study period, indicating changes in the depth and isolation timescale of respired </w:t>
      </w:r>
      <w:r w:rsidR="007B4783" w:rsidRPr="005E6C34">
        <w:rPr>
          <w:rFonts w:ascii="Times New Roman" w:hAnsi="Times New Roman" w:cs="Times New Roman"/>
          <w:color w:val="EE0000"/>
          <w:sz w:val="24"/>
          <w:szCs w:val="24"/>
          <w:shd w:val="clear" w:color="auto" w:fill="FFFFFF"/>
        </w:rPr>
        <w:t>DIC</w:t>
      </w:r>
      <w:r w:rsidR="007B4783" w:rsidRPr="007B4783">
        <w:rPr>
          <w:rFonts w:ascii="Times New Roman" w:hAnsi="Times New Roman" w:cs="Times New Roman"/>
          <w:color w:val="EE0000"/>
          <w:sz w:val="24"/>
          <w:szCs w:val="24"/>
          <w:shd w:val="clear" w:color="auto" w:fill="FFFFFF"/>
          <w:vertAlign w:val="subscript"/>
        </w:rPr>
        <w:t>soft</w:t>
      </w:r>
      <w:r w:rsidR="00163C85" w:rsidRPr="00163C85">
        <w:rPr>
          <w:rFonts w:ascii="Times New Roman" w:hAnsi="Times New Roman" w:cs="Times New Roman"/>
          <w:color w:val="EE0000"/>
          <w:sz w:val="24"/>
          <w:szCs w:val="24"/>
          <w:shd w:val="clear" w:color="auto" w:fill="FFFFFF"/>
        </w:rPr>
        <w:t>, which are relevant for centennial-scale air–sea carbon exchange.</w:t>
      </w:r>
      <w:r w:rsidR="00163C85">
        <w:rPr>
          <w:rFonts w:ascii="Times New Roman" w:hAnsi="Times New Roman" w:cs="Times New Roman"/>
          <w:color w:val="EE0000"/>
          <w:sz w:val="24"/>
          <w:szCs w:val="24"/>
          <w:shd w:val="clear" w:color="auto" w:fill="FFFFFF"/>
        </w:rPr>
        <w:t>” (L124-127).</w:t>
      </w:r>
    </w:p>
    <w:p w14:paraId="5B5C980D" w14:textId="77777777" w:rsidR="00BE7DFA" w:rsidRDefault="009A62CB" w:rsidP="004E1CA4">
      <w:pPr>
        <w:rPr>
          <w:rFonts w:ascii="Times New Roman" w:hAnsi="Times New Roman" w:cs="Times New Roman"/>
          <w:sz w:val="24"/>
          <w:szCs w:val="24"/>
          <w:shd w:val="clear" w:color="auto" w:fill="FFFFFF"/>
        </w:rPr>
      </w:pPr>
      <w:r w:rsidRPr="00611AB3">
        <w:rPr>
          <w:rFonts w:ascii="Times New Roman" w:hAnsi="Times New Roman" w:cs="Times New Roman"/>
          <w:sz w:val="24"/>
          <w:szCs w:val="24"/>
          <w:shd w:val="clear" w:color="auto" w:fill="FFFFFF"/>
        </w:rPr>
        <w:br/>
        <w:t>Lines 138 – 139: “negligible contribution was expected, as the BCP primarily redistributes carbon vertically rather than adding new DIC to the system” – or equally the 18-year timescale is insufficient to observe any significant change given the rate-limiting timescales of the BCP, dominated by circulation rates, are around 100s of years? The BCP does redistribute DIC but this drives the uptake of DIC from the atmosphere to ocean so this statement also needs some thought as to what it’s saying.</w:t>
      </w:r>
    </w:p>
    <w:p w14:paraId="5DD73DFD" w14:textId="77777777" w:rsidR="00BE7DFA" w:rsidRDefault="00BE7DFA" w:rsidP="004E1CA4">
      <w:pPr>
        <w:rPr>
          <w:rFonts w:ascii="Times New Roman" w:hAnsi="Times New Roman" w:cs="Times New Roman"/>
          <w:sz w:val="24"/>
          <w:szCs w:val="24"/>
          <w:shd w:val="clear" w:color="auto" w:fill="FFFFFF"/>
        </w:rPr>
      </w:pPr>
      <w:r w:rsidRPr="00BE7DFA">
        <w:rPr>
          <w:rFonts w:ascii="Times New Roman" w:hAnsi="Times New Roman" w:cs="Times New Roman"/>
          <w:color w:val="EE0000"/>
          <w:sz w:val="24"/>
          <w:szCs w:val="24"/>
          <w:shd w:val="clear" w:color="auto" w:fill="FFFFFF"/>
        </w:rPr>
        <w:t>We agree and have revised this sentence to clarify that the small global ΔDIC</w:t>
      </w:r>
      <w:r w:rsidRPr="001B21D2">
        <w:rPr>
          <w:rFonts w:ascii="Times New Roman" w:hAnsi="Times New Roman" w:cs="Times New Roman"/>
          <w:color w:val="EE0000"/>
          <w:sz w:val="24"/>
          <w:szCs w:val="24"/>
          <w:shd w:val="clear" w:color="auto" w:fill="FFFFFF"/>
          <w:vertAlign w:val="subscript"/>
        </w:rPr>
        <w:t>soft</w:t>
      </w:r>
      <w:r w:rsidRPr="00BE7DFA">
        <w:rPr>
          <w:rFonts w:ascii="Times New Roman" w:hAnsi="Times New Roman" w:cs="Times New Roman"/>
          <w:color w:val="EE0000"/>
          <w:sz w:val="24"/>
          <w:szCs w:val="24"/>
          <w:shd w:val="clear" w:color="auto" w:fill="FFFFFF"/>
        </w:rPr>
        <w:t xml:space="preserve"> signal reflects the limited detectability of BCP-driven inventory changes over an 18-year period, given circulation and residence-time constraints, rather than implying that the BCP does not </w:t>
      </w:r>
      <w:r w:rsidRPr="00BE7DFA">
        <w:rPr>
          <w:rFonts w:ascii="Times New Roman" w:hAnsi="Times New Roman" w:cs="Times New Roman"/>
          <w:color w:val="EE0000"/>
          <w:sz w:val="24"/>
          <w:szCs w:val="24"/>
          <w:shd w:val="clear" w:color="auto" w:fill="FFFFFF"/>
        </w:rPr>
        <w:lastRenderedPageBreak/>
        <w:t>contribute to ocean carbon uptake. The revised text now explicitly separates mechanism from timescale:</w:t>
      </w:r>
    </w:p>
    <w:p w14:paraId="3A49F182" w14:textId="77777777" w:rsidR="000C22D0" w:rsidRDefault="00BE7DFA" w:rsidP="004E1CA4">
      <w:pPr>
        <w:rPr>
          <w:rFonts w:ascii="Times New Roman" w:hAnsi="Times New Roman" w:cs="Times New Roman"/>
          <w:sz w:val="24"/>
          <w:szCs w:val="24"/>
          <w:shd w:val="clear" w:color="auto" w:fill="FFFFFF"/>
        </w:rPr>
      </w:pPr>
      <w:r w:rsidRPr="00BE7DFA">
        <w:rPr>
          <w:rFonts w:ascii="Times New Roman" w:hAnsi="Times New Roman" w:cs="Times New Roman"/>
          <w:color w:val="EE0000"/>
          <w:sz w:val="24"/>
          <w:szCs w:val="24"/>
          <w:shd w:val="clear" w:color="auto" w:fill="FFFFFF"/>
        </w:rPr>
        <w:t>“This negligible contribution is expected over the 2004–2022 period, as BCP-driven changes in global DIC inventories are constrained by circulation and residence-time scales that exceed the observational window, even though vertical redistribution ultimately underpins long-term ocean carbon uptake.”</w:t>
      </w:r>
      <w:r w:rsidR="002B1DEA">
        <w:rPr>
          <w:rFonts w:ascii="Times New Roman" w:hAnsi="Times New Roman" w:cs="Times New Roman"/>
          <w:color w:val="EE0000"/>
          <w:sz w:val="24"/>
          <w:szCs w:val="24"/>
          <w:shd w:val="clear" w:color="auto" w:fill="FFFFFF"/>
        </w:rPr>
        <w:t xml:space="preserve"> (L150-</w:t>
      </w:r>
      <w:r w:rsidR="00B31A44">
        <w:rPr>
          <w:rFonts w:ascii="Times New Roman" w:hAnsi="Times New Roman" w:cs="Times New Roman"/>
          <w:color w:val="EE0000"/>
          <w:sz w:val="24"/>
          <w:szCs w:val="24"/>
          <w:shd w:val="clear" w:color="auto" w:fill="FFFFFF"/>
        </w:rPr>
        <w:t>154)</w:t>
      </w:r>
      <w:r w:rsidR="009A62CB" w:rsidRPr="00611AB3">
        <w:rPr>
          <w:rFonts w:ascii="Times New Roman" w:hAnsi="Times New Roman" w:cs="Times New Roman"/>
          <w:sz w:val="24"/>
          <w:szCs w:val="24"/>
          <w:shd w:val="clear" w:color="auto" w:fill="FFFFFF"/>
        </w:rPr>
        <w:br/>
      </w:r>
      <w:r w:rsidR="009A62CB" w:rsidRPr="00611AB3">
        <w:rPr>
          <w:rFonts w:ascii="Times New Roman" w:hAnsi="Times New Roman" w:cs="Times New Roman"/>
          <w:sz w:val="24"/>
          <w:szCs w:val="24"/>
          <w:shd w:val="clear" w:color="auto" w:fill="FFFFFF"/>
        </w:rPr>
        <w:br/>
        <w:t>Lines 142 – 145: I really struggled to follow this logic. How is the net addition of DIC to the ocean interior different from the sequestration of remineralised DIC at depth? How is the global inventory different from spatial patterns. I think there is a missing piece of logic that needs to explained here.</w:t>
      </w:r>
      <w:r w:rsidR="009A62CB" w:rsidRPr="00611AB3">
        <w:rPr>
          <w:rFonts w:ascii="Times New Roman" w:hAnsi="Times New Roman" w:cs="Times New Roman"/>
          <w:sz w:val="24"/>
          <w:szCs w:val="24"/>
        </w:rPr>
        <w:t> </w:t>
      </w:r>
      <w:r w:rsidR="009A62CB" w:rsidRPr="00611AB3">
        <w:rPr>
          <w:rFonts w:ascii="Times New Roman" w:hAnsi="Times New Roman" w:cs="Times New Roman"/>
          <w:sz w:val="24"/>
          <w:szCs w:val="24"/>
          <w:shd w:val="clear" w:color="auto" w:fill="FFFFFF"/>
        </w:rPr>
        <w:br/>
      </w:r>
    </w:p>
    <w:p w14:paraId="6ACC6A57" w14:textId="52625351" w:rsidR="000C22D0" w:rsidRDefault="000C22D0" w:rsidP="004E1CA4">
      <w:pPr>
        <w:rPr>
          <w:rFonts w:ascii="Times New Roman" w:hAnsi="Times New Roman" w:cs="Times New Roman"/>
          <w:color w:val="EE0000"/>
          <w:sz w:val="24"/>
          <w:szCs w:val="24"/>
          <w:shd w:val="clear" w:color="auto" w:fill="FFFFFF"/>
        </w:rPr>
      </w:pPr>
      <w:r w:rsidRPr="000C22D0">
        <w:rPr>
          <w:rFonts w:ascii="Times New Roman" w:hAnsi="Times New Roman" w:cs="Times New Roman"/>
          <w:color w:val="EE0000"/>
          <w:sz w:val="24"/>
          <w:szCs w:val="24"/>
          <w:shd w:val="clear" w:color="auto" w:fill="FFFFFF"/>
        </w:rPr>
        <w:t xml:space="preserve">We agree that this distinction was not sufficiently explicit. We have revised the text to clearly distinguish between changes in the global inventory of interior DIC and changes in its vertical distribution. The revised sentence now explains that the climatic relevance of the BCP arises from deeper storage of remineralized </w:t>
      </w:r>
      <w:r w:rsidR="001B21D2" w:rsidRPr="005E6C34">
        <w:rPr>
          <w:rFonts w:ascii="Times New Roman" w:hAnsi="Times New Roman" w:cs="Times New Roman"/>
          <w:color w:val="EE0000"/>
          <w:sz w:val="24"/>
          <w:szCs w:val="24"/>
          <w:shd w:val="clear" w:color="auto" w:fill="FFFFFF"/>
        </w:rPr>
        <w:t>DIC</w:t>
      </w:r>
      <w:r w:rsidR="001B21D2" w:rsidRPr="007B4783">
        <w:rPr>
          <w:rFonts w:ascii="Times New Roman" w:hAnsi="Times New Roman" w:cs="Times New Roman"/>
          <w:color w:val="EE0000"/>
          <w:sz w:val="24"/>
          <w:szCs w:val="24"/>
          <w:shd w:val="clear" w:color="auto" w:fill="FFFFFF"/>
          <w:vertAlign w:val="subscript"/>
        </w:rPr>
        <w:t>soft</w:t>
      </w:r>
      <w:r w:rsidRPr="000C22D0">
        <w:rPr>
          <w:rFonts w:ascii="Times New Roman" w:hAnsi="Times New Roman" w:cs="Times New Roman"/>
          <w:color w:val="EE0000"/>
          <w:sz w:val="24"/>
          <w:szCs w:val="24"/>
          <w:shd w:val="clear" w:color="auto" w:fill="FFFFFF"/>
        </w:rPr>
        <w:t>, which increases isolation from the atmosphere without requiring a net increase in total interior DIC</w:t>
      </w:r>
      <w:r>
        <w:rPr>
          <w:rFonts w:ascii="Times New Roman" w:hAnsi="Times New Roman" w:cs="Times New Roman"/>
          <w:color w:val="EE0000"/>
          <w:sz w:val="24"/>
          <w:szCs w:val="24"/>
          <w:shd w:val="clear" w:color="auto" w:fill="FFFFFF"/>
        </w:rPr>
        <w:t>:</w:t>
      </w:r>
    </w:p>
    <w:p w14:paraId="232FEB72" w14:textId="764D5F57" w:rsidR="000C22D0" w:rsidRPr="000C22D0" w:rsidRDefault="000C22D0" w:rsidP="004E1CA4">
      <w:pPr>
        <w:rPr>
          <w:rFonts w:ascii="Times New Roman" w:hAnsi="Times New Roman" w:cs="Times New Roman"/>
          <w:color w:val="EE0000"/>
          <w:sz w:val="24"/>
          <w:szCs w:val="24"/>
          <w:shd w:val="clear" w:color="auto" w:fill="FFFFFF"/>
        </w:rPr>
      </w:pPr>
      <w:r>
        <w:rPr>
          <w:rFonts w:ascii="Times New Roman" w:hAnsi="Times New Roman" w:cs="Times New Roman"/>
          <w:color w:val="EE0000"/>
          <w:sz w:val="24"/>
          <w:szCs w:val="24"/>
          <w:shd w:val="clear" w:color="auto" w:fill="FFFFFF"/>
        </w:rPr>
        <w:t>“</w:t>
      </w:r>
      <w:r w:rsidR="001B21D2" w:rsidRPr="001B21D2">
        <w:rPr>
          <w:rFonts w:ascii="Times New Roman" w:hAnsi="Times New Roman" w:cs="Times New Roman"/>
          <w:color w:val="EE0000"/>
          <w:sz w:val="24"/>
          <w:szCs w:val="24"/>
          <w:shd w:val="clear" w:color="auto" w:fill="FFFFFF"/>
        </w:rPr>
        <w:t xml:space="preserve">This observation is consistent with recent work emphasizing that the climatic relevance of the BCP arises not from changes in the global inventory of interior DIC, but from changes in its vertical distribution (Frenger et al., 2024). By storing remineralized </w:t>
      </w:r>
      <w:r w:rsidR="001B21D2" w:rsidRPr="00BE7DFA">
        <w:rPr>
          <w:rFonts w:ascii="Times New Roman" w:hAnsi="Times New Roman" w:cs="Times New Roman"/>
          <w:color w:val="EE0000"/>
          <w:sz w:val="24"/>
          <w:szCs w:val="24"/>
          <w:shd w:val="clear" w:color="auto" w:fill="FFFFFF"/>
        </w:rPr>
        <w:t>ΔDIC</w:t>
      </w:r>
      <w:r w:rsidR="001B21D2" w:rsidRPr="001B21D2">
        <w:rPr>
          <w:rFonts w:ascii="Times New Roman" w:hAnsi="Times New Roman" w:cs="Times New Roman"/>
          <w:color w:val="EE0000"/>
          <w:sz w:val="24"/>
          <w:szCs w:val="24"/>
          <w:shd w:val="clear" w:color="auto" w:fill="FFFFFF"/>
          <w:vertAlign w:val="subscript"/>
        </w:rPr>
        <w:t>soft</w:t>
      </w:r>
      <w:r w:rsidR="001B21D2" w:rsidRPr="00BE7DFA">
        <w:rPr>
          <w:rFonts w:ascii="Times New Roman" w:hAnsi="Times New Roman" w:cs="Times New Roman"/>
          <w:color w:val="EE0000"/>
          <w:sz w:val="24"/>
          <w:szCs w:val="24"/>
          <w:shd w:val="clear" w:color="auto" w:fill="FFFFFF"/>
        </w:rPr>
        <w:t xml:space="preserve"> </w:t>
      </w:r>
      <w:r w:rsidR="001B21D2" w:rsidRPr="001B21D2">
        <w:rPr>
          <w:rFonts w:ascii="Times New Roman" w:hAnsi="Times New Roman" w:cs="Times New Roman"/>
          <w:color w:val="EE0000"/>
          <w:sz w:val="24"/>
          <w:szCs w:val="24"/>
          <w:shd w:val="clear" w:color="auto" w:fill="FFFFFF"/>
        </w:rPr>
        <w:t>deeper in the water column, the BCP increases its isolation from the surface ocean and atmosphere without necessarily altering the total amount of interior DIC.</w:t>
      </w:r>
      <w:r w:rsidR="001B21D2">
        <w:rPr>
          <w:rFonts w:ascii="Times New Roman" w:hAnsi="Times New Roman" w:cs="Times New Roman"/>
          <w:color w:val="EE0000"/>
          <w:sz w:val="24"/>
          <w:szCs w:val="24"/>
          <w:shd w:val="clear" w:color="auto" w:fill="FFFFFF"/>
        </w:rPr>
        <w:t>”</w:t>
      </w:r>
      <w:r w:rsidR="00992438">
        <w:rPr>
          <w:rFonts w:ascii="Times New Roman" w:hAnsi="Times New Roman" w:cs="Times New Roman"/>
          <w:color w:val="EE0000"/>
          <w:sz w:val="24"/>
          <w:szCs w:val="24"/>
          <w:shd w:val="clear" w:color="auto" w:fill="FFFFFF"/>
        </w:rPr>
        <w:t xml:space="preserve"> (L154-158)</w:t>
      </w:r>
    </w:p>
    <w:p w14:paraId="3378F3CE" w14:textId="77777777" w:rsidR="000961FB" w:rsidRDefault="009A62CB" w:rsidP="004E1CA4">
      <w:pPr>
        <w:rPr>
          <w:rFonts w:ascii="Times New Roman" w:hAnsi="Times New Roman" w:cs="Times New Roman"/>
          <w:sz w:val="24"/>
          <w:szCs w:val="24"/>
          <w:shd w:val="clear" w:color="auto" w:fill="FFFFFF"/>
        </w:rPr>
      </w:pPr>
      <w:r w:rsidRPr="00611AB3">
        <w:rPr>
          <w:rFonts w:ascii="Times New Roman" w:hAnsi="Times New Roman" w:cs="Times New Roman"/>
          <w:sz w:val="24"/>
          <w:szCs w:val="24"/>
          <w:shd w:val="clear" w:color="auto" w:fill="FFFFFF"/>
        </w:rPr>
        <w:br/>
        <w:t>Figure 2: why is the upper 2000m used here, is this a constraint of the data?</w:t>
      </w:r>
    </w:p>
    <w:p w14:paraId="06F55E95" w14:textId="637B6977" w:rsidR="000961FB" w:rsidRPr="000961FB" w:rsidRDefault="000961FB" w:rsidP="004E1CA4">
      <w:pPr>
        <w:rPr>
          <w:rFonts w:ascii="Times New Roman" w:hAnsi="Times New Roman" w:cs="Times New Roman"/>
          <w:color w:val="EE0000"/>
          <w:sz w:val="24"/>
          <w:szCs w:val="24"/>
          <w:shd w:val="clear" w:color="auto" w:fill="FFFFFF"/>
        </w:rPr>
      </w:pPr>
      <w:r w:rsidRPr="000961FB">
        <w:rPr>
          <w:rFonts w:ascii="Times New Roman" w:hAnsi="Times New Roman" w:cs="Times New Roman"/>
          <w:color w:val="EE0000"/>
          <w:sz w:val="24"/>
          <w:szCs w:val="24"/>
          <w:shd w:val="clear" w:color="auto" w:fill="FFFFFF"/>
        </w:rPr>
        <w:t>Yes. The depth range shown in Figure 2 reflects the vertical extent of the GCC-DIC product.</w:t>
      </w:r>
      <w:r w:rsidR="006A5897">
        <w:rPr>
          <w:rFonts w:ascii="Times New Roman" w:hAnsi="Times New Roman" w:cs="Times New Roman"/>
          <w:color w:val="EE0000"/>
          <w:sz w:val="24"/>
          <w:szCs w:val="24"/>
          <w:shd w:val="clear" w:color="auto" w:fill="FFFFFF"/>
        </w:rPr>
        <w:t xml:space="preserve"> Caption now reads </w:t>
      </w:r>
      <w:r w:rsidR="00125A1F">
        <w:rPr>
          <w:rFonts w:ascii="Times New Roman" w:hAnsi="Times New Roman" w:cs="Times New Roman"/>
          <w:color w:val="EE0000"/>
          <w:sz w:val="24"/>
          <w:szCs w:val="24"/>
          <w:shd w:val="clear" w:color="auto" w:fill="FFFFFF"/>
        </w:rPr>
        <w:t>“</w:t>
      </w:r>
      <w:r w:rsidR="006A5897" w:rsidRPr="006A5897">
        <w:rPr>
          <w:rFonts w:ascii="Times New Roman" w:hAnsi="Times New Roman" w:cs="Times New Roman"/>
          <w:color w:val="EE0000"/>
          <w:sz w:val="24"/>
          <w:szCs w:val="24"/>
          <w:shd w:val="clear" w:color="auto" w:fill="FFFFFF"/>
        </w:rPr>
        <w:t xml:space="preserve">Depth-integrated </w:t>
      </w:r>
      <w:r w:rsidR="00FC10F0">
        <w:rPr>
          <w:rFonts w:ascii="Times New Roman" w:hAnsi="Times New Roman" w:cs="Times New Roman"/>
          <w:color w:val="EE0000"/>
          <w:sz w:val="24"/>
          <w:szCs w:val="24"/>
          <w:shd w:val="clear" w:color="auto" w:fill="FFFFFF"/>
        </w:rPr>
        <w:t>(upper 2 km</w:t>
      </w:r>
      <w:r w:rsidR="006A5897" w:rsidRPr="006A5897">
        <w:rPr>
          <w:rFonts w:ascii="Times New Roman" w:hAnsi="Times New Roman" w:cs="Times New Roman"/>
          <w:color w:val="EE0000"/>
          <w:sz w:val="24"/>
          <w:szCs w:val="24"/>
          <w:shd w:val="clear" w:color="auto" w:fill="FFFFFF"/>
        </w:rPr>
        <w:t>) rates of change in DIC</w:t>
      </w:r>
      <w:r w:rsidR="006A5897" w:rsidRPr="008020CB">
        <w:rPr>
          <w:rFonts w:ascii="Times New Roman" w:hAnsi="Times New Roman" w:cs="Times New Roman"/>
          <w:color w:val="EE0000"/>
          <w:sz w:val="24"/>
          <w:szCs w:val="24"/>
          <w:shd w:val="clear" w:color="auto" w:fill="FFFFFF"/>
          <w:vertAlign w:val="subscript"/>
        </w:rPr>
        <w:t>soft</w:t>
      </w:r>
      <w:r w:rsidR="006A5897" w:rsidRPr="006A5897">
        <w:rPr>
          <w:rFonts w:ascii="Times New Roman" w:hAnsi="Times New Roman" w:cs="Times New Roman"/>
          <w:color w:val="EE0000"/>
          <w:sz w:val="24"/>
          <w:szCs w:val="24"/>
          <w:shd w:val="clear" w:color="auto" w:fill="FFFFFF"/>
        </w:rPr>
        <w:t>, corresponding to the vertical extent of the GCC-DIC product.</w:t>
      </w:r>
      <w:r w:rsidR="006A5897">
        <w:rPr>
          <w:rFonts w:ascii="Times New Roman" w:hAnsi="Times New Roman" w:cs="Times New Roman"/>
          <w:color w:val="EE0000"/>
          <w:sz w:val="24"/>
          <w:szCs w:val="24"/>
          <w:shd w:val="clear" w:color="auto" w:fill="FFFFFF"/>
        </w:rPr>
        <w:t>” (Figure 2).</w:t>
      </w:r>
    </w:p>
    <w:p w14:paraId="7543D9F2" w14:textId="77777777" w:rsidR="005C35CE" w:rsidRDefault="009A62CB" w:rsidP="004E1CA4">
      <w:pPr>
        <w:rPr>
          <w:rFonts w:ascii="Times New Roman" w:hAnsi="Times New Roman" w:cs="Times New Roman"/>
          <w:sz w:val="24"/>
          <w:szCs w:val="24"/>
          <w:shd w:val="clear" w:color="auto" w:fill="FFFFFF"/>
        </w:rPr>
      </w:pPr>
      <w:r w:rsidRPr="00611AB3">
        <w:rPr>
          <w:rFonts w:ascii="Times New Roman" w:hAnsi="Times New Roman" w:cs="Times New Roman"/>
          <w:sz w:val="24"/>
          <w:szCs w:val="24"/>
          <w:shd w:val="clear" w:color="auto" w:fill="FFFFFF"/>
        </w:rPr>
        <w:br/>
        <w:t>Line 172 – 173: “Increased stratification may have also shoaled POC remineralisation” – what is the mechanism that would do this?</w:t>
      </w:r>
      <w:r w:rsidRPr="00611AB3">
        <w:rPr>
          <w:rFonts w:ascii="Times New Roman" w:hAnsi="Times New Roman" w:cs="Times New Roman"/>
          <w:sz w:val="24"/>
          <w:szCs w:val="24"/>
        </w:rPr>
        <w:t> </w:t>
      </w:r>
      <w:r w:rsidRPr="00611AB3">
        <w:rPr>
          <w:rFonts w:ascii="Times New Roman" w:hAnsi="Times New Roman" w:cs="Times New Roman"/>
          <w:sz w:val="24"/>
          <w:szCs w:val="24"/>
          <w:shd w:val="clear" w:color="auto" w:fill="FFFFFF"/>
        </w:rPr>
        <w:br/>
      </w:r>
    </w:p>
    <w:p w14:paraId="411DECCB" w14:textId="1369422C" w:rsidR="005C35CE" w:rsidRPr="00B228A1" w:rsidRDefault="00CC6D50" w:rsidP="004E1CA4">
      <w:pPr>
        <w:rPr>
          <w:rFonts w:ascii="Times New Roman" w:hAnsi="Times New Roman" w:cs="Times New Roman"/>
          <w:color w:val="EE0000"/>
          <w:sz w:val="24"/>
          <w:szCs w:val="24"/>
          <w:shd w:val="clear" w:color="auto" w:fill="FFFFFF"/>
        </w:rPr>
      </w:pPr>
      <w:r w:rsidRPr="00B228A1">
        <w:rPr>
          <w:rFonts w:ascii="Times New Roman" w:hAnsi="Times New Roman" w:cs="Times New Roman"/>
          <w:color w:val="EE0000"/>
          <w:sz w:val="24"/>
          <w:szCs w:val="24"/>
          <w:shd w:val="clear" w:color="auto" w:fill="FFFFFF"/>
        </w:rPr>
        <w:t>We agree that the mechanism underlying stratification-driven shoaling of remineralization needed to be stated explicitly. We have revised the text to clarify that enhanced stratification promotes shallower remineralization by favoring slower-sinking particles, increased microbial respiration in warmer upper layers, and reduced transfer of organic matter into weakly ventilated depths:</w:t>
      </w:r>
    </w:p>
    <w:p w14:paraId="01847BD1" w14:textId="007939CB" w:rsidR="00CC6D50" w:rsidRPr="00B228A1" w:rsidRDefault="00B228A1" w:rsidP="004E1CA4">
      <w:pPr>
        <w:rPr>
          <w:rFonts w:ascii="Times New Roman" w:hAnsi="Times New Roman" w:cs="Times New Roman"/>
          <w:color w:val="EE0000"/>
          <w:sz w:val="24"/>
          <w:szCs w:val="24"/>
          <w:shd w:val="clear" w:color="auto" w:fill="FFFFFF"/>
        </w:rPr>
      </w:pPr>
      <w:r>
        <w:rPr>
          <w:rFonts w:ascii="Times New Roman" w:hAnsi="Times New Roman" w:cs="Times New Roman"/>
          <w:color w:val="EE0000"/>
          <w:sz w:val="24"/>
          <w:szCs w:val="24"/>
          <w:shd w:val="clear" w:color="auto" w:fill="FFFFFF"/>
        </w:rPr>
        <w:t>“</w:t>
      </w:r>
      <w:r w:rsidRPr="00B228A1">
        <w:rPr>
          <w:rFonts w:ascii="Times New Roman" w:hAnsi="Times New Roman" w:cs="Times New Roman"/>
          <w:color w:val="EE0000"/>
          <w:sz w:val="24"/>
          <w:szCs w:val="24"/>
          <w:shd w:val="clear" w:color="auto" w:fill="FFFFFF"/>
        </w:rPr>
        <w:t xml:space="preserve">In addition, these changes are in line with a shoaling of POC remineralization, driven by enhanced upper-ocean stratification that favors slower-sinking particles, higher microbial respiration rates in warmer surface layers, and reduced transfer into weakly ventilated depths, reflected in reduced accumulation of </w:t>
      </w:r>
      <w:r w:rsidR="002775E2" w:rsidRPr="006A5897">
        <w:rPr>
          <w:rFonts w:ascii="Times New Roman" w:hAnsi="Times New Roman" w:cs="Times New Roman"/>
          <w:color w:val="EE0000"/>
          <w:sz w:val="24"/>
          <w:szCs w:val="24"/>
          <w:shd w:val="clear" w:color="auto" w:fill="FFFFFF"/>
        </w:rPr>
        <w:t>DIC</w:t>
      </w:r>
      <w:r w:rsidR="002775E2" w:rsidRPr="008020CB">
        <w:rPr>
          <w:rFonts w:ascii="Times New Roman" w:hAnsi="Times New Roman" w:cs="Times New Roman"/>
          <w:color w:val="EE0000"/>
          <w:sz w:val="24"/>
          <w:szCs w:val="24"/>
          <w:shd w:val="clear" w:color="auto" w:fill="FFFFFF"/>
          <w:vertAlign w:val="subscript"/>
        </w:rPr>
        <w:t>soft</w:t>
      </w:r>
      <w:r w:rsidR="002775E2" w:rsidRPr="00B228A1">
        <w:rPr>
          <w:rFonts w:ascii="Times New Roman" w:hAnsi="Times New Roman" w:cs="Times New Roman"/>
          <w:color w:val="EE0000"/>
          <w:sz w:val="24"/>
          <w:szCs w:val="24"/>
          <w:shd w:val="clear" w:color="auto" w:fill="FFFFFF"/>
        </w:rPr>
        <w:t xml:space="preserve"> </w:t>
      </w:r>
      <w:r w:rsidRPr="00B228A1">
        <w:rPr>
          <w:rFonts w:ascii="Times New Roman" w:hAnsi="Times New Roman" w:cs="Times New Roman"/>
          <w:color w:val="EE0000"/>
          <w:sz w:val="24"/>
          <w:szCs w:val="24"/>
          <w:shd w:val="clear" w:color="auto" w:fill="FFFFFF"/>
        </w:rPr>
        <w:t xml:space="preserve">below the upper ocean (Fig. 4b) and thereby increasing the proportion of respired carbon retained at shallower depths and reducing the </w:t>
      </w:r>
      <w:r w:rsidRPr="00B228A1">
        <w:rPr>
          <w:rFonts w:ascii="Times New Roman" w:hAnsi="Times New Roman" w:cs="Times New Roman"/>
          <w:color w:val="EE0000"/>
          <w:sz w:val="24"/>
          <w:szCs w:val="24"/>
          <w:shd w:val="clear" w:color="auto" w:fill="FFFFFF"/>
        </w:rPr>
        <w:lastRenderedPageBreak/>
        <w:t>fraction transferred to long-term storage (Fig. 4d; Nowicki et al., 2022; Ricour et al., 2023).</w:t>
      </w:r>
      <w:r>
        <w:rPr>
          <w:rFonts w:ascii="Times New Roman" w:hAnsi="Times New Roman" w:cs="Times New Roman"/>
          <w:color w:val="EE0000"/>
          <w:sz w:val="24"/>
          <w:szCs w:val="24"/>
          <w:shd w:val="clear" w:color="auto" w:fill="FFFFFF"/>
        </w:rPr>
        <w:t>” (L</w:t>
      </w:r>
      <w:r w:rsidR="00E07E72">
        <w:rPr>
          <w:rFonts w:ascii="Times New Roman" w:hAnsi="Times New Roman" w:cs="Times New Roman"/>
          <w:color w:val="EE0000"/>
          <w:sz w:val="24"/>
          <w:szCs w:val="24"/>
          <w:shd w:val="clear" w:color="auto" w:fill="FFFFFF"/>
        </w:rPr>
        <w:t>222-228)</w:t>
      </w:r>
    </w:p>
    <w:p w14:paraId="0A97E0BB" w14:textId="77777777" w:rsidR="00D23342" w:rsidRDefault="009A62CB" w:rsidP="004E1CA4">
      <w:pPr>
        <w:rPr>
          <w:rFonts w:ascii="Times New Roman" w:hAnsi="Times New Roman" w:cs="Times New Roman"/>
          <w:sz w:val="24"/>
          <w:szCs w:val="24"/>
          <w:shd w:val="clear" w:color="auto" w:fill="FFFFFF"/>
        </w:rPr>
      </w:pPr>
      <w:r w:rsidRPr="00611AB3">
        <w:rPr>
          <w:rFonts w:ascii="Times New Roman" w:hAnsi="Times New Roman" w:cs="Times New Roman"/>
          <w:sz w:val="24"/>
          <w:szCs w:val="24"/>
          <w:shd w:val="clear" w:color="auto" w:fill="FFFFFF"/>
        </w:rPr>
        <w:br/>
        <w:t>Lines 224 – 227: The manuscript has provided no evidence for whether spatial patterns are driven by export, remineralisation or circulation. These lines are over-interpreting the significance of the data.</w:t>
      </w:r>
    </w:p>
    <w:p w14:paraId="498030D9" w14:textId="55F90516" w:rsidR="00EC6D74" w:rsidRDefault="00EC6D74" w:rsidP="004E1CA4">
      <w:pPr>
        <w:rPr>
          <w:rFonts w:ascii="Times New Roman" w:hAnsi="Times New Roman" w:cs="Times New Roman"/>
          <w:color w:val="EE0000"/>
          <w:sz w:val="24"/>
          <w:szCs w:val="24"/>
          <w:shd w:val="clear" w:color="auto" w:fill="FFFFFF"/>
        </w:rPr>
      </w:pPr>
      <w:r w:rsidRPr="00EC6D74">
        <w:rPr>
          <w:rFonts w:ascii="Times New Roman" w:hAnsi="Times New Roman" w:cs="Times New Roman"/>
          <w:color w:val="EE0000"/>
          <w:sz w:val="24"/>
          <w:szCs w:val="24"/>
          <w:shd w:val="clear" w:color="auto" w:fill="FFFFFF"/>
        </w:rPr>
        <w:t xml:space="preserve">We agree and have revised this </w:t>
      </w:r>
      <w:r>
        <w:rPr>
          <w:rFonts w:ascii="Times New Roman" w:hAnsi="Times New Roman" w:cs="Times New Roman"/>
          <w:color w:val="EE0000"/>
          <w:sz w:val="24"/>
          <w:szCs w:val="24"/>
          <w:shd w:val="clear" w:color="auto" w:fill="FFFFFF"/>
        </w:rPr>
        <w:t>paragraph</w:t>
      </w:r>
      <w:r w:rsidRPr="00EC6D74">
        <w:rPr>
          <w:rFonts w:ascii="Times New Roman" w:hAnsi="Times New Roman" w:cs="Times New Roman"/>
          <w:color w:val="EE0000"/>
          <w:sz w:val="24"/>
          <w:szCs w:val="24"/>
          <w:shd w:val="clear" w:color="auto" w:fill="FFFFFF"/>
        </w:rPr>
        <w:t xml:space="preserve"> to avoid unsupported mechanistic attribution. In parallel, we have strengthened the physical interpretation by incorporating independent diagnostics of stratification and ventilation (new Fig. 4), allowing the observed patterns to be interpreted in terms of redistribution and storage geometry rather than specific biological flux changes. The revised text now frames the spatial variability in Δ</w:t>
      </w:r>
      <w:r w:rsidR="00317B48" w:rsidRPr="006A5897">
        <w:rPr>
          <w:rFonts w:ascii="Times New Roman" w:hAnsi="Times New Roman" w:cs="Times New Roman"/>
          <w:color w:val="EE0000"/>
          <w:sz w:val="24"/>
          <w:szCs w:val="24"/>
          <w:shd w:val="clear" w:color="auto" w:fill="FFFFFF"/>
        </w:rPr>
        <w:t>DIC</w:t>
      </w:r>
      <w:r w:rsidR="00317B48" w:rsidRPr="008020CB">
        <w:rPr>
          <w:rFonts w:ascii="Times New Roman" w:hAnsi="Times New Roman" w:cs="Times New Roman"/>
          <w:color w:val="EE0000"/>
          <w:sz w:val="24"/>
          <w:szCs w:val="24"/>
          <w:shd w:val="clear" w:color="auto" w:fill="FFFFFF"/>
          <w:vertAlign w:val="subscript"/>
        </w:rPr>
        <w:t>soft</w:t>
      </w:r>
      <w:r w:rsidRPr="00EC6D74">
        <w:rPr>
          <w:rFonts w:ascii="Times New Roman" w:hAnsi="Times New Roman" w:cs="Times New Roman"/>
          <w:color w:val="EE0000"/>
          <w:sz w:val="24"/>
          <w:szCs w:val="24"/>
          <w:shd w:val="clear" w:color="auto" w:fill="FFFFFF"/>
        </w:rPr>
        <w:t xml:space="preserve"> as redistribution of respired carbon associated with regional differences in vertical transport, ventilation, and storage, without attributing it uniquely to changes in export, remineralization, or circulation: </w:t>
      </w:r>
    </w:p>
    <w:p w14:paraId="5F675CA6" w14:textId="77777777" w:rsidR="009E7C61" w:rsidRDefault="000D2156" w:rsidP="004E1CA4">
      <w:pPr>
        <w:rPr>
          <w:rFonts w:ascii="Times New Roman" w:hAnsi="Times New Roman" w:cs="Times New Roman"/>
          <w:sz w:val="24"/>
          <w:szCs w:val="24"/>
          <w:shd w:val="clear" w:color="auto" w:fill="FFFFFF"/>
        </w:rPr>
      </w:pPr>
      <w:r>
        <w:rPr>
          <w:rFonts w:ascii="Times New Roman" w:hAnsi="Times New Roman" w:cs="Times New Roman"/>
          <w:color w:val="EE0000"/>
          <w:sz w:val="24"/>
          <w:szCs w:val="24"/>
          <w:shd w:val="clear" w:color="auto" w:fill="FFFFFF"/>
        </w:rPr>
        <w:t>“</w:t>
      </w:r>
      <w:r w:rsidR="00F36989" w:rsidRPr="00F36989">
        <w:rPr>
          <w:rFonts w:ascii="Times New Roman" w:hAnsi="Times New Roman" w:cs="Times New Roman"/>
          <w:color w:val="EE0000"/>
          <w:sz w:val="24"/>
          <w:szCs w:val="24"/>
          <w:shd w:val="clear" w:color="auto" w:fill="FFFFFF"/>
        </w:rPr>
        <w:t xml:space="preserve">Against this backdrop, regional processes linked to climate-driven changes in stratification, nutrient pathways, and ecosystem dynamics appear to offset each other at the global scale, resulting in limited net change in globally integrated </w:t>
      </w:r>
      <w:r w:rsidR="00E21B47" w:rsidRPr="006A5897">
        <w:rPr>
          <w:rFonts w:ascii="Times New Roman" w:hAnsi="Times New Roman" w:cs="Times New Roman"/>
          <w:color w:val="EE0000"/>
          <w:sz w:val="24"/>
          <w:szCs w:val="24"/>
          <w:shd w:val="clear" w:color="auto" w:fill="FFFFFF"/>
        </w:rPr>
        <w:t>DIC</w:t>
      </w:r>
      <w:r w:rsidR="00E21B47" w:rsidRPr="008020CB">
        <w:rPr>
          <w:rFonts w:ascii="Times New Roman" w:hAnsi="Times New Roman" w:cs="Times New Roman"/>
          <w:color w:val="EE0000"/>
          <w:sz w:val="24"/>
          <w:szCs w:val="24"/>
          <w:shd w:val="clear" w:color="auto" w:fill="FFFFFF"/>
          <w:vertAlign w:val="subscript"/>
        </w:rPr>
        <w:t>soft</w:t>
      </w:r>
      <w:r w:rsidR="00E21B47" w:rsidRPr="00EC6D74">
        <w:rPr>
          <w:rFonts w:ascii="Times New Roman" w:hAnsi="Times New Roman" w:cs="Times New Roman"/>
          <w:color w:val="EE0000"/>
          <w:sz w:val="24"/>
          <w:szCs w:val="24"/>
          <w:shd w:val="clear" w:color="auto" w:fill="FFFFFF"/>
        </w:rPr>
        <w:t xml:space="preserve"> </w:t>
      </w:r>
      <w:r w:rsidR="00F36989" w:rsidRPr="00F36989">
        <w:rPr>
          <w:rFonts w:ascii="Times New Roman" w:hAnsi="Times New Roman" w:cs="Times New Roman"/>
          <w:color w:val="EE0000"/>
          <w:sz w:val="24"/>
          <w:szCs w:val="24"/>
          <w:shd w:val="clear" w:color="auto" w:fill="FFFFFF"/>
        </w:rPr>
        <w:t>over the study period, consistent with previous observational and modeling studies of BCP variability (Kwon et al., 2009; DeVries et al., 2012; Laufkötter et al., 2016). However, this apparent compensation is resolved over a relatively short, decadal observational window and may not be stationary. Continued regional redistribution of respired carbon, particularly if accompanied by further shoaling of ventilation or expansion of low-oxygen conditions, could alter the depth and residence time of interior carbon storage. Whether such compensating patterns persist or break down under continued climate forcing remains an open question.</w:t>
      </w:r>
      <w:r w:rsidR="00F36989">
        <w:rPr>
          <w:rFonts w:ascii="Times New Roman" w:hAnsi="Times New Roman" w:cs="Times New Roman"/>
          <w:color w:val="EE0000"/>
          <w:sz w:val="24"/>
          <w:szCs w:val="24"/>
          <w:shd w:val="clear" w:color="auto" w:fill="FFFFFF"/>
        </w:rPr>
        <w:t>”</w:t>
      </w:r>
      <w:r w:rsidR="00030730">
        <w:rPr>
          <w:rFonts w:ascii="Times New Roman" w:hAnsi="Times New Roman" w:cs="Times New Roman"/>
          <w:color w:val="EE0000"/>
          <w:sz w:val="24"/>
          <w:szCs w:val="24"/>
          <w:shd w:val="clear" w:color="auto" w:fill="FFFFFF"/>
        </w:rPr>
        <w:t xml:space="preserve"> (L338-347)</w:t>
      </w:r>
      <w:r w:rsidR="009A62CB" w:rsidRPr="000D2156">
        <w:rPr>
          <w:rFonts w:ascii="Times New Roman" w:hAnsi="Times New Roman" w:cs="Times New Roman"/>
          <w:color w:val="EE0000"/>
          <w:sz w:val="24"/>
          <w:szCs w:val="24"/>
          <w:shd w:val="clear" w:color="auto" w:fill="FFFFFF"/>
        </w:rPr>
        <w:br/>
      </w:r>
      <w:r w:rsidR="009A62CB" w:rsidRPr="00611AB3">
        <w:rPr>
          <w:rFonts w:ascii="Times New Roman" w:hAnsi="Times New Roman" w:cs="Times New Roman"/>
          <w:sz w:val="24"/>
          <w:szCs w:val="24"/>
          <w:shd w:val="clear" w:color="auto" w:fill="FFFFFF"/>
        </w:rPr>
        <w:br/>
        <w:t>Lines 229 – 232: Earth System Models consistently show that this compensation does not persist and breaks down over decadal timescales within the 21st century (Wilson et al., 2022). The extent to which this happens and the reasons for it are open questions but it I don’t think it is correct to say we don’t know if and when the compensation will happen.</w:t>
      </w:r>
    </w:p>
    <w:p w14:paraId="147DFDC4" w14:textId="77777777" w:rsidR="00E90491" w:rsidRPr="00895117" w:rsidRDefault="00E90491" w:rsidP="004E1CA4">
      <w:pPr>
        <w:rPr>
          <w:rFonts w:ascii="Times New Roman" w:hAnsi="Times New Roman" w:cs="Times New Roman"/>
          <w:color w:val="EE0000"/>
          <w:sz w:val="24"/>
          <w:szCs w:val="24"/>
          <w:shd w:val="clear" w:color="auto" w:fill="FFFFFF"/>
        </w:rPr>
      </w:pPr>
      <w:r w:rsidRPr="00895117">
        <w:rPr>
          <w:rFonts w:ascii="Times New Roman" w:hAnsi="Times New Roman" w:cs="Times New Roman"/>
          <w:color w:val="EE0000"/>
          <w:sz w:val="24"/>
          <w:szCs w:val="24"/>
          <w:shd w:val="clear" w:color="auto" w:fill="FFFFFF"/>
        </w:rPr>
        <w:t xml:space="preserve">We agree and have revised the text to clarify that Earth system models consistently project a breakdown of global-scale compensation in biological carbon sequestration over the 21st century (Wilson et al., 2022). The revised wording is now: </w:t>
      </w:r>
    </w:p>
    <w:p w14:paraId="58FB9C37" w14:textId="77777777" w:rsidR="00FA0EEE" w:rsidRDefault="00895117" w:rsidP="004E1CA4">
      <w:pPr>
        <w:rPr>
          <w:rFonts w:ascii="Times New Roman" w:hAnsi="Times New Roman" w:cs="Times New Roman"/>
          <w:color w:val="EE0000"/>
          <w:sz w:val="24"/>
          <w:szCs w:val="24"/>
          <w:shd w:val="clear" w:color="auto" w:fill="FFFFFF"/>
        </w:rPr>
      </w:pPr>
      <w:r w:rsidRPr="00895117">
        <w:rPr>
          <w:rFonts w:ascii="Times New Roman" w:hAnsi="Times New Roman" w:cs="Times New Roman"/>
          <w:color w:val="EE0000"/>
          <w:sz w:val="24"/>
          <w:szCs w:val="24"/>
          <w:shd w:val="clear" w:color="auto" w:fill="FFFFFF"/>
        </w:rPr>
        <w:t>“Earth system models indicate that the apparent global-scale compensation in biological carbon sequestration breaks down over the 21st century, leading to net changes in interior carbon storage (Wilson et al., 2022). However, the magnitude, timing, and mechanistic drivers of this breakdown vary widely across models and remain uncertain</w:t>
      </w:r>
      <w:r w:rsidRPr="00FA0EEE">
        <w:rPr>
          <w:rFonts w:ascii="Times New Roman" w:hAnsi="Times New Roman" w:cs="Times New Roman"/>
          <w:color w:val="EE0000"/>
          <w:sz w:val="24"/>
          <w:szCs w:val="24"/>
          <w:shd w:val="clear" w:color="auto" w:fill="FFFFFF"/>
        </w:rPr>
        <w:t>.”</w:t>
      </w:r>
      <w:r w:rsidR="00CA1BCF" w:rsidRPr="00FA0EEE">
        <w:rPr>
          <w:rFonts w:ascii="Times New Roman" w:hAnsi="Times New Roman" w:cs="Times New Roman"/>
          <w:color w:val="EE0000"/>
          <w:sz w:val="24"/>
          <w:szCs w:val="24"/>
          <w:shd w:val="clear" w:color="auto" w:fill="FFFFFF"/>
        </w:rPr>
        <w:t xml:space="preserve"> (L435-438)</w:t>
      </w:r>
    </w:p>
    <w:p w14:paraId="7CCB2F71" w14:textId="77777777" w:rsidR="0016578B" w:rsidRDefault="009A62CB" w:rsidP="004E1CA4">
      <w:pPr>
        <w:rPr>
          <w:rFonts w:ascii="Times New Roman" w:hAnsi="Times New Roman" w:cs="Times New Roman"/>
          <w:sz w:val="24"/>
          <w:szCs w:val="24"/>
        </w:rPr>
      </w:pPr>
      <w:r w:rsidRPr="00611AB3">
        <w:rPr>
          <w:rFonts w:ascii="Times New Roman" w:hAnsi="Times New Roman" w:cs="Times New Roman"/>
          <w:sz w:val="24"/>
          <w:szCs w:val="24"/>
          <w:shd w:val="clear" w:color="auto" w:fill="FFFFFF"/>
        </w:rPr>
        <w:br/>
        <w:t>Line 230 – define BCP sequestration efficiency</w:t>
      </w:r>
      <w:r w:rsidRPr="00611AB3">
        <w:rPr>
          <w:rFonts w:ascii="Times New Roman" w:hAnsi="Times New Roman" w:cs="Times New Roman"/>
          <w:sz w:val="24"/>
          <w:szCs w:val="24"/>
        </w:rPr>
        <w:t> </w:t>
      </w:r>
    </w:p>
    <w:p w14:paraId="1515F379" w14:textId="77777777" w:rsidR="009C2AFE" w:rsidRDefault="0039687C" w:rsidP="004E1CA4">
      <w:pPr>
        <w:rPr>
          <w:rFonts w:ascii="Times New Roman" w:hAnsi="Times New Roman" w:cs="Times New Roman"/>
          <w:sz w:val="24"/>
          <w:szCs w:val="24"/>
        </w:rPr>
      </w:pPr>
      <w:r>
        <w:rPr>
          <w:rFonts w:ascii="Times New Roman" w:hAnsi="Times New Roman" w:cs="Times New Roman"/>
          <w:color w:val="EE0000"/>
          <w:sz w:val="24"/>
          <w:szCs w:val="24"/>
        </w:rPr>
        <w:t>This</w:t>
      </w:r>
      <w:r w:rsidRPr="0039687C">
        <w:rPr>
          <w:rFonts w:ascii="Times New Roman" w:hAnsi="Times New Roman" w:cs="Times New Roman"/>
          <w:color w:val="EE0000"/>
          <w:sz w:val="24"/>
          <w:szCs w:val="24"/>
        </w:rPr>
        <w:t xml:space="preserve"> sentence has been removed in the revised manuscript. The term “BCP sequestration efficiency” </w:t>
      </w:r>
      <w:r>
        <w:rPr>
          <w:rFonts w:ascii="Times New Roman" w:hAnsi="Times New Roman" w:cs="Times New Roman"/>
          <w:color w:val="EE0000"/>
          <w:sz w:val="24"/>
          <w:szCs w:val="24"/>
        </w:rPr>
        <w:t>has been avoided where unclear</w:t>
      </w:r>
      <w:r w:rsidRPr="0039687C">
        <w:rPr>
          <w:rFonts w:ascii="Times New Roman" w:hAnsi="Times New Roman" w:cs="Times New Roman"/>
          <w:color w:val="EE0000"/>
          <w:sz w:val="24"/>
          <w:szCs w:val="24"/>
        </w:rPr>
        <w:t xml:space="preserve"> and the revised text instead refers explicitly to the depth, ventilation, and residence time of respired DIC</w:t>
      </w:r>
      <w:r w:rsidRPr="00C14F4F">
        <w:rPr>
          <w:rFonts w:ascii="Times New Roman" w:hAnsi="Times New Roman" w:cs="Times New Roman"/>
          <w:color w:val="EE0000"/>
          <w:sz w:val="24"/>
          <w:szCs w:val="24"/>
          <w:vertAlign w:val="subscript"/>
        </w:rPr>
        <w:t>soft</w:t>
      </w:r>
      <w:r w:rsidRPr="0039687C">
        <w:rPr>
          <w:rFonts w:ascii="Times New Roman" w:hAnsi="Times New Roman" w:cs="Times New Roman"/>
          <w:color w:val="EE0000"/>
          <w:sz w:val="24"/>
          <w:szCs w:val="24"/>
        </w:rPr>
        <w:t>, which are the quantities directly diagnosed in this study.</w:t>
      </w:r>
      <w:r w:rsidR="009A62CB" w:rsidRPr="00611AB3">
        <w:rPr>
          <w:rFonts w:ascii="Times New Roman" w:hAnsi="Times New Roman" w:cs="Times New Roman"/>
          <w:sz w:val="24"/>
          <w:szCs w:val="24"/>
          <w:shd w:val="clear" w:color="auto" w:fill="FFFFFF"/>
        </w:rPr>
        <w:br/>
      </w:r>
      <w:r w:rsidR="009A62CB" w:rsidRPr="00611AB3">
        <w:rPr>
          <w:rFonts w:ascii="Times New Roman" w:hAnsi="Times New Roman" w:cs="Times New Roman"/>
          <w:sz w:val="24"/>
          <w:szCs w:val="24"/>
          <w:shd w:val="clear" w:color="auto" w:fill="FFFFFF"/>
        </w:rPr>
        <w:br/>
        <w:t xml:space="preserve">Lines 266 – 267: I think two things are conflated here. The depth at which organic carbon is </w:t>
      </w:r>
      <w:r w:rsidR="009A62CB" w:rsidRPr="00611AB3">
        <w:rPr>
          <w:rFonts w:ascii="Times New Roman" w:hAnsi="Times New Roman" w:cs="Times New Roman"/>
          <w:sz w:val="24"/>
          <w:szCs w:val="24"/>
          <w:shd w:val="clear" w:color="auto" w:fill="FFFFFF"/>
        </w:rPr>
        <w:lastRenderedPageBreak/>
        <w:t>remineralised determines the total storage because you are redistributing regenerated DIC in water masses with residence times that increase with depth (e.g., the Cseq metric that is outlined in Siegel et al., 2023</w:t>
      </w:r>
      <w:r w:rsidR="009A62CB" w:rsidRPr="00611AB3">
        <w:rPr>
          <w:rFonts w:ascii="Times New Roman" w:hAnsi="Times New Roman" w:cs="Times New Roman"/>
          <w:sz w:val="24"/>
          <w:szCs w:val="24"/>
        </w:rPr>
        <w:t> </w:t>
      </w:r>
      <w:hyperlink r:id="rId24" w:history="1">
        <w:r w:rsidR="009A62CB" w:rsidRPr="00611AB3">
          <w:rPr>
            <w:rFonts w:ascii="Times New Roman" w:hAnsi="Times New Roman" w:cs="Times New Roman"/>
            <w:sz w:val="24"/>
            <w:szCs w:val="24"/>
          </w:rPr>
          <w:t>https://doi.org/10.1146/annurev-marine-040722-115226</w:t>
        </w:r>
      </w:hyperlink>
      <w:r w:rsidR="009A62CB" w:rsidRPr="00611AB3">
        <w:rPr>
          <w:rFonts w:ascii="Times New Roman" w:hAnsi="Times New Roman" w:cs="Times New Roman"/>
          <w:sz w:val="24"/>
          <w:szCs w:val="24"/>
          <w:shd w:val="clear" w:color="auto" w:fill="FFFFFF"/>
        </w:rPr>
        <w:t>). Notably Siegel shows the peak of storage in the water column is in the upper water column (Figure 5). This is not the same as the DICsoft tracer where most is in the deeper ocean.</w:t>
      </w:r>
      <w:r w:rsidR="009A62CB" w:rsidRPr="00611AB3">
        <w:rPr>
          <w:rFonts w:ascii="Times New Roman" w:hAnsi="Times New Roman" w:cs="Times New Roman"/>
          <w:sz w:val="24"/>
          <w:szCs w:val="24"/>
        </w:rPr>
        <w:t> </w:t>
      </w:r>
    </w:p>
    <w:p w14:paraId="1D641FAB" w14:textId="77777777" w:rsidR="00515D07" w:rsidRDefault="00061754" w:rsidP="004E1CA4">
      <w:pPr>
        <w:rPr>
          <w:rFonts w:ascii="Times New Roman" w:hAnsi="Times New Roman" w:cs="Times New Roman"/>
          <w:sz w:val="24"/>
          <w:szCs w:val="24"/>
        </w:rPr>
      </w:pPr>
      <w:r w:rsidRPr="00061754">
        <w:rPr>
          <w:rFonts w:ascii="Times New Roman" w:hAnsi="Times New Roman" w:cs="Times New Roman"/>
          <w:color w:val="EE0000"/>
          <w:sz w:val="24"/>
          <w:szCs w:val="24"/>
          <w:shd w:val="clear" w:color="auto" w:fill="FFFFFF"/>
        </w:rPr>
        <w:t xml:space="preserve">We agree that the original wording conflated distinct concepts related to storage depth and tracer inventories. The sentence cited by the reviewer has been removed in the revised manuscript. </w:t>
      </w:r>
      <w:r>
        <w:rPr>
          <w:rFonts w:ascii="Times New Roman" w:hAnsi="Times New Roman" w:cs="Times New Roman"/>
          <w:color w:val="EE0000"/>
          <w:sz w:val="24"/>
          <w:szCs w:val="24"/>
          <w:shd w:val="clear" w:color="auto" w:fill="FFFFFF"/>
        </w:rPr>
        <w:t>This section</w:t>
      </w:r>
      <w:r w:rsidRPr="00061754">
        <w:rPr>
          <w:rFonts w:ascii="Times New Roman" w:hAnsi="Times New Roman" w:cs="Times New Roman"/>
          <w:color w:val="EE0000"/>
          <w:sz w:val="24"/>
          <w:szCs w:val="24"/>
          <w:shd w:val="clear" w:color="auto" w:fill="FFFFFF"/>
        </w:rPr>
        <w:t xml:space="preserve"> has been rewritten to explicitly distinguish between DIC</w:t>
      </w:r>
      <w:r w:rsidRPr="00061754">
        <w:rPr>
          <w:rFonts w:ascii="Times New Roman" w:hAnsi="Times New Roman" w:cs="Times New Roman"/>
          <w:color w:val="EE0000"/>
          <w:sz w:val="24"/>
          <w:szCs w:val="24"/>
          <w:shd w:val="clear" w:color="auto" w:fill="FFFFFF"/>
          <w:vertAlign w:val="subscript"/>
        </w:rPr>
        <w:t>soft</w:t>
      </w:r>
      <w:r w:rsidRPr="00061754">
        <w:rPr>
          <w:rFonts w:ascii="Times New Roman" w:hAnsi="Times New Roman" w:cs="Times New Roman"/>
          <w:color w:val="EE0000"/>
          <w:sz w:val="24"/>
          <w:szCs w:val="24"/>
          <w:shd w:val="clear" w:color="auto" w:fill="FFFFFF"/>
        </w:rPr>
        <w:t xml:space="preserve">, which represents the spatial distribution of respired carbon accumulated in the interior, and source-based sequestration metrics such as Cseq (Siegel et al., 2023), which track the fate of exported carbon along circulation pathways. The revised text now frames sequestration depth as a diagnostic of carbon isolation timescales, without implying equivalence between </w:t>
      </w:r>
      <w:r w:rsidR="002F62A3" w:rsidRPr="00061754">
        <w:rPr>
          <w:rFonts w:ascii="Times New Roman" w:hAnsi="Times New Roman" w:cs="Times New Roman"/>
          <w:color w:val="EE0000"/>
          <w:sz w:val="24"/>
          <w:szCs w:val="24"/>
          <w:shd w:val="clear" w:color="auto" w:fill="FFFFFF"/>
        </w:rPr>
        <w:t>DIC</w:t>
      </w:r>
      <w:r w:rsidR="002F62A3" w:rsidRPr="00061754">
        <w:rPr>
          <w:rFonts w:ascii="Times New Roman" w:hAnsi="Times New Roman" w:cs="Times New Roman"/>
          <w:color w:val="EE0000"/>
          <w:sz w:val="24"/>
          <w:szCs w:val="24"/>
          <w:shd w:val="clear" w:color="auto" w:fill="FFFFFF"/>
          <w:vertAlign w:val="subscript"/>
        </w:rPr>
        <w:t>soft</w:t>
      </w:r>
      <w:r w:rsidR="002F62A3" w:rsidRPr="00061754">
        <w:rPr>
          <w:rFonts w:ascii="Times New Roman" w:hAnsi="Times New Roman" w:cs="Times New Roman"/>
          <w:color w:val="EE0000"/>
          <w:sz w:val="24"/>
          <w:szCs w:val="24"/>
          <w:shd w:val="clear" w:color="auto" w:fill="FFFFFF"/>
        </w:rPr>
        <w:t xml:space="preserve"> </w:t>
      </w:r>
      <w:r w:rsidRPr="00061754">
        <w:rPr>
          <w:rFonts w:ascii="Times New Roman" w:hAnsi="Times New Roman" w:cs="Times New Roman"/>
          <w:color w:val="EE0000"/>
          <w:sz w:val="24"/>
          <w:szCs w:val="24"/>
          <w:shd w:val="clear" w:color="auto" w:fill="FFFFFF"/>
        </w:rPr>
        <w:t>inventories and source-based storage metrics.</w:t>
      </w:r>
      <w:r w:rsidR="009A62CB" w:rsidRPr="00611AB3">
        <w:rPr>
          <w:rFonts w:ascii="Times New Roman" w:hAnsi="Times New Roman" w:cs="Times New Roman"/>
          <w:sz w:val="24"/>
          <w:szCs w:val="24"/>
          <w:shd w:val="clear" w:color="auto" w:fill="FFFFFF"/>
        </w:rPr>
        <w:br/>
      </w:r>
      <w:r w:rsidR="009A62CB" w:rsidRPr="00611AB3">
        <w:rPr>
          <w:rFonts w:ascii="Times New Roman" w:hAnsi="Times New Roman" w:cs="Times New Roman"/>
          <w:sz w:val="24"/>
          <w:szCs w:val="24"/>
          <w:shd w:val="clear" w:color="auto" w:fill="FFFFFF"/>
        </w:rPr>
        <w:br/>
        <w:t>Lines 288 – 290: I don’t think this is a novel suggestion – we have generally accepted that a variable BCP could act as a feedback in the climate system for a while now, e.g., Hain &amp; Sigman (2014;</w:t>
      </w:r>
      <w:r w:rsidR="009A62CB" w:rsidRPr="00611AB3">
        <w:rPr>
          <w:rFonts w:ascii="Times New Roman" w:hAnsi="Times New Roman" w:cs="Times New Roman"/>
          <w:sz w:val="24"/>
          <w:szCs w:val="24"/>
        </w:rPr>
        <w:t> </w:t>
      </w:r>
      <w:hyperlink r:id="rId25" w:history="1">
        <w:r w:rsidR="009A62CB" w:rsidRPr="00611AB3">
          <w:rPr>
            <w:rFonts w:ascii="Times New Roman" w:hAnsi="Times New Roman" w:cs="Times New Roman"/>
            <w:sz w:val="24"/>
            <w:szCs w:val="24"/>
          </w:rPr>
          <w:t>https://earth-system-biogeochemistry.net/wp-content/uploads/2021/05/Hain_et_al_2014_ToG.pdf</w:t>
        </w:r>
      </w:hyperlink>
      <w:r w:rsidR="009A62CB" w:rsidRPr="00611AB3">
        <w:rPr>
          <w:rFonts w:ascii="Times New Roman" w:hAnsi="Times New Roman" w:cs="Times New Roman"/>
          <w:sz w:val="24"/>
          <w:szCs w:val="24"/>
        </w:rPr>
        <w:t> </w:t>
      </w:r>
      <w:r w:rsidR="009A62CB" w:rsidRPr="00611AB3">
        <w:rPr>
          <w:rFonts w:ascii="Times New Roman" w:hAnsi="Times New Roman" w:cs="Times New Roman"/>
          <w:sz w:val="24"/>
          <w:szCs w:val="24"/>
          <w:shd w:val="clear" w:color="auto" w:fill="FFFFFF"/>
        </w:rPr>
        <w:t>); Boscolo Galazzo et al., (2021; 10.1126/science.abb6643). The open question is what is the key driver of change and is any feedback significant within the wider carbon cycle context.</w:t>
      </w:r>
      <w:r w:rsidR="009A62CB" w:rsidRPr="00611AB3">
        <w:rPr>
          <w:rFonts w:ascii="Times New Roman" w:hAnsi="Times New Roman" w:cs="Times New Roman"/>
          <w:sz w:val="24"/>
          <w:szCs w:val="24"/>
        </w:rPr>
        <w:t> </w:t>
      </w:r>
    </w:p>
    <w:p w14:paraId="7921692F" w14:textId="77777777" w:rsidR="00360225" w:rsidRDefault="00515D07" w:rsidP="004E1CA4">
      <w:pPr>
        <w:rPr>
          <w:rFonts w:ascii="Times New Roman" w:hAnsi="Times New Roman" w:cs="Times New Roman"/>
          <w:sz w:val="24"/>
          <w:szCs w:val="24"/>
          <w:shd w:val="clear" w:color="auto" w:fill="FFFFFF"/>
        </w:rPr>
      </w:pPr>
      <w:r w:rsidRPr="00515D07">
        <w:rPr>
          <w:rFonts w:ascii="Times New Roman" w:hAnsi="Times New Roman" w:cs="Times New Roman"/>
          <w:color w:val="EE0000"/>
          <w:sz w:val="24"/>
          <w:szCs w:val="24"/>
          <w:shd w:val="clear" w:color="auto" w:fill="FFFFFF"/>
        </w:rPr>
        <w:t>We agree. The sentence cited by the reviewer has been removed in the revised manuscript. Th</w:t>
      </w:r>
      <w:r>
        <w:rPr>
          <w:rFonts w:ascii="Times New Roman" w:hAnsi="Times New Roman" w:cs="Times New Roman"/>
          <w:color w:val="EE0000"/>
          <w:sz w:val="24"/>
          <w:szCs w:val="24"/>
          <w:shd w:val="clear" w:color="auto" w:fill="FFFFFF"/>
        </w:rPr>
        <w:t xml:space="preserve">is discussion section </w:t>
      </w:r>
      <w:r w:rsidRPr="00515D07">
        <w:rPr>
          <w:rFonts w:ascii="Times New Roman" w:hAnsi="Times New Roman" w:cs="Times New Roman"/>
          <w:color w:val="EE0000"/>
          <w:sz w:val="24"/>
          <w:szCs w:val="24"/>
          <w:shd w:val="clear" w:color="auto" w:fill="FFFFFF"/>
        </w:rPr>
        <w:t>has</w:t>
      </w:r>
      <w:r>
        <w:rPr>
          <w:rFonts w:ascii="Times New Roman" w:hAnsi="Times New Roman" w:cs="Times New Roman"/>
          <w:color w:val="EE0000"/>
          <w:sz w:val="24"/>
          <w:szCs w:val="24"/>
          <w:shd w:val="clear" w:color="auto" w:fill="FFFFFF"/>
        </w:rPr>
        <w:t xml:space="preserve"> now</w:t>
      </w:r>
      <w:r w:rsidRPr="00515D07">
        <w:rPr>
          <w:rFonts w:ascii="Times New Roman" w:hAnsi="Times New Roman" w:cs="Times New Roman"/>
          <w:color w:val="EE0000"/>
          <w:sz w:val="24"/>
          <w:szCs w:val="24"/>
          <w:shd w:val="clear" w:color="auto" w:fill="FFFFFF"/>
        </w:rPr>
        <w:t xml:space="preserve"> been reframed to avoid implying novelty in the existence of BCP–climate feedbacks</w:t>
      </w:r>
      <w:r>
        <w:rPr>
          <w:rFonts w:ascii="Times New Roman" w:hAnsi="Times New Roman" w:cs="Times New Roman"/>
          <w:color w:val="EE0000"/>
          <w:sz w:val="24"/>
          <w:szCs w:val="24"/>
          <w:shd w:val="clear" w:color="auto" w:fill="FFFFFF"/>
        </w:rPr>
        <w:t xml:space="preserve">. </w:t>
      </w:r>
      <w:r w:rsidRPr="00515D07">
        <w:rPr>
          <w:rFonts w:ascii="Times New Roman" w:hAnsi="Times New Roman" w:cs="Times New Roman"/>
          <w:color w:val="EE0000"/>
          <w:sz w:val="24"/>
          <w:szCs w:val="24"/>
          <w:shd w:val="clear" w:color="auto" w:fill="FFFFFF"/>
        </w:rPr>
        <w:t>Instead, the revised text emphasizes that the contribution of this study lies in documenting spatially coherent, depth-resolved changes in interior DIC</w:t>
      </w:r>
      <w:r w:rsidRPr="007E6748">
        <w:rPr>
          <w:rFonts w:ascii="Times New Roman" w:hAnsi="Times New Roman" w:cs="Times New Roman"/>
          <w:color w:val="EE0000"/>
          <w:sz w:val="24"/>
          <w:szCs w:val="24"/>
          <w:shd w:val="clear" w:color="auto" w:fill="FFFFFF"/>
          <w:vertAlign w:val="subscript"/>
        </w:rPr>
        <w:t>soft</w:t>
      </w:r>
      <w:r w:rsidRPr="00515D07">
        <w:rPr>
          <w:rFonts w:ascii="Times New Roman" w:hAnsi="Times New Roman" w:cs="Times New Roman"/>
          <w:color w:val="EE0000"/>
          <w:sz w:val="24"/>
          <w:szCs w:val="24"/>
          <w:shd w:val="clear" w:color="auto" w:fill="FFFFFF"/>
        </w:rPr>
        <w:t xml:space="preserve"> storage, </w:t>
      </w:r>
      <w:r w:rsidR="00162A7F" w:rsidRPr="00162A7F">
        <w:rPr>
          <w:rFonts w:ascii="Times New Roman" w:hAnsi="Times New Roman" w:cs="Times New Roman"/>
          <w:color w:val="EE0000"/>
          <w:sz w:val="24"/>
          <w:szCs w:val="24"/>
          <w:shd w:val="clear" w:color="auto" w:fill="FFFFFF"/>
        </w:rPr>
        <w:t>and in showing that these changes are physically consistent with climate-driven shifts in stratification and ventilation, while the magnitude and climatic significance of the associated feedbacks remain uncertain.</w:t>
      </w:r>
      <w:r w:rsidR="009A62CB" w:rsidRPr="00611AB3">
        <w:rPr>
          <w:rFonts w:ascii="Times New Roman" w:hAnsi="Times New Roman" w:cs="Times New Roman"/>
          <w:sz w:val="24"/>
          <w:szCs w:val="24"/>
          <w:shd w:val="clear" w:color="auto" w:fill="FFFFFF"/>
        </w:rPr>
        <w:br/>
      </w:r>
      <w:r w:rsidR="009A62CB" w:rsidRPr="00611AB3">
        <w:rPr>
          <w:rFonts w:ascii="Times New Roman" w:hAnsi="Times New Roman" w:cs="Times New Roman"/>
          <w:sz w:val="24"/>
          <w:szCs w:val="24"/>
          <w:shd w:val="clear" w:color="auto" w:fill="FFFFFF"/>
        </w:rPr>
        <w:br/>
        <w:t>Line 291: “Sequestration of biologically stored carbon (both as POC and respired DICsoft)” – this manuscript has only presented data on DICsoft so it cannot comment on POC.</w:t>
      </w:r>
    </w:p>
    <w:p w14:paraId="556BE731" w14:textId="6E7CACAA" w:rsidR="009A62CB" w:rsidRDefault="00360225" w:rsidP="004E1CA4">
      <w:pPr>
        <w:rPr>
          <w:rFonts w:ascii="Times New Roman" w:hAnsi="Times New Roman" w:cs="Times New Roman"/>
          <w:sz w:val="24"/>
          <w:szCs w:val="24"/>
          <w:shd w:val="clear" w:color="auto" w:fill="FFFFFF"/>
        </w:rPr>
      </w:pPr>
      <w:r w:rsidRPr="00360225">
        <w:rPr>
          <w:rFonts w:ascii="Times New Roman" w:hAnsi="Times New Roman" w:cs="Times New Roman"/>
          <w:color w:val="EE0000"/>
          <w:sz w:val="24"/>
          <w:szCs w:val="24"/>
          <w:shd w:val="clear" w:color="auto" w:fill="FFFFFF"/>
        </w:rPr>
        <w:t>We agree and have revised the text accordingly. References to sequestration of particulate organic carbon have been removed</w:t>
      </w:r>
      <w:r w:rsidR="00DE757D">
        <w:rPr>
          <w:rFonts w:ascii="Times New Roman" w:hAnsi="Times New Roman" w:cs="Times New Roman"/>
          <w:color w:val="EE0000"/>
          <w:sz w:val="24"/>
          <w:szCs w:val="24"/>
          <w:shd w:val="clear" w:color="auto" w:fill="FFFFFF"/>
        </w:rPr>
        <w:t xml:space="preserve"> when discussing our results</w:t>
      </w:r>
      <w:r w:rsidRPr="00360225">
        <w:rPr>
          <w:rFonts w:ascii="Times New Roman" w:hAnsi="Times New Roman" w:cs="Times New Roman"/>
          <w:color w:val="EE0000"/>
          <w:sz w:val="24"/>
          <w:szCs w:val="24"/>
          <w:shd w:val="clear" w:color="auto" w:fill="FFFFFF"/>
        </w:rPr>
        <w:t xml:space="preserve">, and the </w:t>
      </w:r>
      <w:r>
        <w:rPr>
          <w:rFonts w:ascii="Times New Roman" w:hAnsi="Times New Roman" w:cs="Times New Roman"/>
          <w:color w:val="EE0000"/>
          <w:sz w:val="24"/>
          <w:szCs w:val="24"/>
          <w:shd w:val="clear" w:color="auto" w:fill="FFFFFF"/>
        </w:rPr>
        <w:t>d</w:t>
      </w:r>
      <w:r w:rsidRPr="00360225">
        <w:rPr>
          <w:rFonts w:ascii="Times New Roman" w:hAnsi="Times New Roman" w:cs="Times New Roman"/>
          <w:color w:val="EE0000"/>
          <w:sz w:val="24"/>
          <w:szCs w:val="24"/>
          <w:shd w:val="clear" w:color="auto" w:fill="FFFFFF"/>
        </w:rPr>
        <w:t>iscussion now consistently refers to the depth distribution and retention of respired DIC</w:t>
      </w:r>
      <w:r w:rsidRPr="00360225">
        <w:rPr>
          <w:rFonts w:ascii="Times New Roman" w:hAnsi="Times New Roman" w:cs="Times New Roman"/>
          <w:color w:val="EE0000"/>
          <w:sz w:val="24"/>
          <w:szCs w:val="24"/>
          <w:shd w:val="clear" w:color="auto" w:fill="FFFFFF"/>
          <w:vertAlign w:val="subscript"/>
        </w:rPr>
        <w:t>soft</w:t>
      </w:r>
      <w:r w:rsidRPr="00360225">
        <w:rPr>
          <w:rFonts w:ascii="Times New Roman" w:hAnsi="Times New Roman" w:cs="Times New Roman"/>
          <w:color w:val="EE0000"/>
          <w:sz w:val="24"/>
          <w:szCs w:val="24"/>
          <w:shd w:val="clear" w:color="auto" w:fill="FFFFFF"/>
        </w:rPr>
        <w:t>, which is the sole observational constraint provided by this study.</w:t>
      </w:r>
      <w:r w:rsidR="009A62CB" w:rsidRPr="00611AB3">
        <w:rPr>
          <w:rFonts w:ascii="Times New Roman" w:hAnsi="Times New Roman" w:cs="Times New Roman"/>
          <w:sz w:val="24"/>
          <w:szCs w:val="24"/>
          <w:shd w:val="clear" w:color="auto" w:fill="FFFFFF"/>
        </w:rPr>
        <w:br/>
      </w:r>
      <w:r w:rsidR="009A62CB" w:rsidRPr="00611AB3">
        <w:rPr>
          <w:rFonts w:ascii="Times New Roman" w:hAnsi="Times New Roman" w:cs="Times New Roman"/>
          <w:sz w:val="24"/>
          <w:szCs w:val="24"/>
          <w:shd w:val="clear" w:color="auto" w:fill="FFFFFF"/>
        </w:rPr>
        <w:br/>
        <w:t>Figure S3: Are the three terms (accumulation, remineralisation and transport) shown at different depth levels for a reason? This suggests accumulation only occurs above 200m and transport below 500m.</w:t>
      </w:r>
    </w:p>
    <w:p w14:paraId="69658702" w14:textId="7488F64E" w:rsidR="00235BA2" w:rsidRPr="00235BA2" w:rsidRDefault="00235BA2" w:rsidP="004E1CA4">
      <w:pPr>
        <w:rPr>
          <w:rFonts w:ascii="Times New Roman" w:hAnsi="Times New Roman" w:cs="Times New Roman"/>
          <w:color w:val="EE0000"/>
          <w:sz w:val="24"/>
          <w:szCs w:val="24"/>
          <w:shd w:val="clear" w:color="auto" w:fill="FFFFFF"/>
        </w:rPr>
      </w:pPr>
      <w:r w:rsidRPr="00235BA2">
        <w:rPr>
          <w:rFonts w:ascii="Times New Roman" w:hAnsi="Times New Roman" w:cs="Times New Roman"/>
          <w:color w:val="EE0000"/>
          <w:sz w:val="24"/>
          <w:szCs w:val="24"/>
          <w:shd w:val="clear" w:color="auto" w:fill="FFFFFF"/>
        </w:rPr>
        <w:t>This figure has now been removed from the supplementary material to avoid confusion.</w:t>
      </w:r>
    </w:p>
    <w:p w14:paraId="5C2264AE" w14:textId="77777777" w:rsidR="003C2878" w:rsidRPr="00611AB3" w:rsidRDefault="003C2878" w:rsidP="004E1CA4">
      <w:pPr>
        <w:rPr>
          <w:rFonts w:ascii="Times New Roman" w:hAnsi="Times New Roman" w:cs="Times New Roman"/>
          <w:sz w:val="24"/>
          <w:szCs w:val="24"/>
        </w:rPr>
      </w:pPr>
    </w:p>
    <w:sectPr w:rsidR="003C2878" w:rsidRPr="00611AB3">
      <w:headerReference w:type="default" r:id="rId26"/>
      <w:footerReference w:type="even" r:id="rId27"/>
      <w:footerReference w:type="default" r:id="rId28"/>
      <w:pgSz w:w="11906" w:h="16838"/>
      <w:pgMar w:top="1440" w:right="1440" w:bottom="1440" w:left="1440"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F19AEC4" w14:textId="77777777" w:rsidR="00EC5EA5" w:rsidRDefault="00EC5EA5" w:rsidP="007A73AE">
      <w:pPr>
        <w:spacing w:after="0" w:line="240" w:lineRule="auto"/>
      </w:pPr>
      <w:r>
        <w:separator/>
      </w:r>
    </w:p>
  </w:endnote>
  <w:endnote w:type="continuationSeparator" w:id="0">
    <w:p w14:paraId="012A22C9" w14:textId="77777777" w:rsidR="00EC5EA5" w:rsidRDefault="00EC5EA5" w:rsidP="007A73AE">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Calibri">
    <w:panose1 w:val="020F0502020204030204"/>
    <w:charset w:val="00"/>
    <w:family w:val="swiss"/>
    <w:pitch w:val="variable"/>
    <w:sig w:usb0="E0002AFF" w:usb1="C000247B" w:usb2="00000009" w:usb3="00000000" w:csb0="000001FF" w:csb1="00000000"/>
  </w:font>
  <w:font w:name="Calibri Light">
    <w:panose1 w:val="020F0302020204030204"/>
    <w:charset w:val="00"/>
    <w:family w:val="swiss"/>
    <w:pitch w:val="variable"/>
    <w:sig w:usb0="E0002AFF" w:usb1="C000247B" w:usb2="00000009" w:usb3="00000000" w:csb0="000001FF" w:csb1="00000000"/>
  </w:font>
  <w:font w:name="Cambria Math">
    <w:panose1 w:val="02040503050406030204"/>
    <w:charset w:val="00"/>
    <w:family w:val="roman"/>
    <w:pitch w:val="variable"/>
    <w:sig w:usb0="E00002FF" w:usb1="420024FF"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rPr>
        <w:rStyle w:val="PageNumber"/>
      </w:rPr>
      <w:id w:val="-1384788750"/>
      <w:docPartObj>
        <w:docPartGallery w:val="Page Numbers (Bottom of Page)"/>
        <w:docPartUnique/>
      </w:docPartObj>
    </w:sdtPr>
    <w:sdtEndPr>
      <w:rPr>
        <w:rStyle w:val="PageNumber"/>
      </w:rPr>
    </w:sdtEndPr>
    <w:sdtContent>
      <w:p w14:paraId="01240563" w14:textId="409607EF" w:rsidR="00AB345C" w:rsidRDefault="00AB345C" w:rsidP="000C17B6">
        <w:pPr>
          <w:pStyle w:val="Footer"/>
          <w:framePr w:wrap="none" w:vAnchor="text" w:hAnchor="margin" w:xAlign="right" w:y="1"/>
          <w:rPr>
            <w:rStyle w:val="PageNumber"/>
          </w:rPr>
        </w:pPr>
        <w:r>
          <w:rPr>
            <w:rStyle w:val="PageNumber"/>
          </w:rPr>
          <w:fldChar w:fldCharType="begin"/>
        </w:r>
        <w:r>
          <w:rPr>
            <w:rStyle w:val="PageNumber"/>
          </w:rPr>
          <w:instrText xml:space="preserve"> PAGE </w:instrText>
        </w:r>
        <w:r>
          <w:rPr>
            <w:rStyle w:val="PageNumber"/>
          </w:rPr>
          <w:fldChar w:fldCharType="separate"/>
        </w:r>
        <w:r>
          <w:rPr>
            <w:rStyle w:val="PageNumber"/>
          </w:rPr>
          <w:fldChar w:fldCharType="end"/>
        </w:r>
      </w:p>
    </w:sdtContent>
  </w:sdt>
  <w:p w14:paraId="7CEBE7AE" w14:textId="77777777" w:rsidR="00AB345C" w:rsidRDefault="00AB345C" w:rsidP="00AB345C">
    <w:pPr>
      <w:pStyle w:val="Footer"/>
      <w:ind w:right="360"/>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rPr>
        <w:rStyle w:val="PageNumber"/>
        <w:rFonts w:ascii="Times New Roman" w:hAnsi="Times New Roman" w:cs="Times New Roman"/>
        <w:sz w:val="21"/>
        <w:szCs w:val="21"/>
      </w:rPr>
      <w:id w:val="-608509101"/>
      <w:docPartObj>
        <w:docPartGallery w:val="Page Numbers (Bottom of Page)"/>
        <w:docPartUnique/>
      </w:docPartObj>
    </w:sdtPr>
    <w:sdtEndPr>
      <w:rPr>
        <w:rStyle w:val="PageNumber"/>
      </w:rPr>
    </w:sdtEndPr>
    <w:sdtContent>
      <w:p w14:paraId="77394B67" w14:textId="2BB30F7C" w:rsidR="00AB345C" w:rsidRPr="006E77B2" w:rsidRDefault="00AB345C" w:rsidP="000C17B6">
        <w:pPr>
          <w:pStyle w:val="Footer"/>
          <w:framePr w:wrap="none" w:vAnchor="text" w:hAnchor="margin" w:xAlign="right" w:y="1"/>
          <w:rPr>
            <w:rStyle w:val="PageNumber"/>
            <w:rFonts w:ascii="Times New Roman" w:hAnsi="Times New Roman" w:cs="Times New Roman"/>
            <w:sz w:val="21"/>
            <w:szCs w:val="21"/>
          </w:rPr>
        </w:pPr>
        <w:r w:rsidRPr="006E77B2">
          <w:rPr>
            <w:rStyle w:val="PageNumber"/>
            <w:rFonts w:ascii="Times New Roman" w:hAnsi="Times New Roman" w:cs="Times New Roman"/>
            <w:sz w:val="21"/>
            <w:szCs w:val="21"/>
          </w:rPr>
          <w:fldChar w:fldCharType="begin"/>
        </w:r>
        <w:r w:rsidRPr="006E77B2">
          <w:rPr>
            <w:rStyle w:val="PageNumber"/>
            <w:rFonts w:ascii="Times New Roman" w:hAnsi="Times New Roman" w:cs="Times New Roman"/>
            <w:sz w:val="21"/>
            <w:szCs w:val="21"/>
          </w:rPr>
          <w:instrText xml:space="preserve"> PAGE </w:instrText>
        </w:r>
        <w:r w:rsidRPr="006E77B2">
          <w:rPr>
            <w:rStyle w:val="PageNumber"/>
            <w:rFonts w:ascii="Times New Roman" w:hAnsi="Times New Roman" w:cs="Times New Roman"/>
            <w:sz w:val="21"/>
            <w:szCs w:val="21"/>
          </w:rPr>
          <w:fldChar w:fldCharType="separate"/>
        </w:r>
        <w:r w:rsidRPr="006E77B2">
          <w:rPr>
            <w:rStyle w:val="PageNumber"/>
            <w:rFonts w:ascii="Times New Roman" w:hAnsi="Times New Roman" w:cs="Times New Roman"/>
            <w:noProof/>
            <w:sz w:val="21"/>
            <w:szCs w:val="21"/>
          </w:rPr>
          <w:t>1</w:t>
        </w:r>
        <w:r w:rsidRPr="006E77B2">
          <w:rPr>
            <w:rStyle w:val="PageNumber"/>
            <w:rFonts w:ascii="Times New Roman" w:hAnsi="Times New Roman" w:cs="Times New Roman"/>
            <w:sz w:val="21"/>
            <w:szCs w:val="21"/>
          </w:rPr>
          <w:fldChar w:fldCharType="end"/>
        </w:r>
      </w:p>
    </w:sdtContent>
  </w:sdt>
  <w:p w14:paraId="5B44BDFC" w14:textId="77777777" w:rsidR="00AB345C" w:rsidRPr="006E77B2" w:rsidRDefault="00AB345C" w:rsidP="00AB345C">
    <w:pPr>
      <w:pStyle w:val="Footer"/>
      <w:ind w:right="360"/>
      <w:rPr>
        <w:rFonts w:ascii="Times New Roman" w:hAnsi="Times New Roman" w:cs="Times New Roman"/>
      </w:rP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BDC5C43" w14:textId="77777777" w:rsidR="00EC5EA5" w:rsidRDefault="00EC5EA5" w:rsidP="007A73AE">
      <w:pPr>
        <w:spacing w:after="0" w:line="240" w:lineRule="auto"/>
      </w:pPr>
      <w:r>
        <w:separator/>
      </w:r>
    </w:p>
  </w:footnote>
  <w:footnote w:type="continuationSeparator" w:id="0">
    <w:p w14:paraId="2E129087" w14:textId="77777777" w:rsidR="00EC5EA5" w:rsidRDefault="00EC5EA5" w:rsidP="007A73AE">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B9C8D94" w14:textId="2B1DA0AA" w:rsidR="007A73AE" w:rsidRPr="00AE61DB" w:rsidRDefault="00AE61DB" w:rsidP="007A73AE">
    <w:pPr>
      <w:rPr>
        <w:rFonts w:ascii="Times New Roman" w:hAnsi="Times New Roman" w:cs="Times New Roman"/>
        <w:sz w:val="20"/>
        <w:szCs w:val="20"/>
      </w:rPr>
    </w:pPr>
    <w:r w:rsidRPr="00AE61DB">
      <w:rPr>
        <w:rFonts w:ascii="Times New Roman" w:hAnsi="Times New Roman" w:cs="Times New Roman"/>
        <w:color w:val="000000"/>
        <w:kern w:val="0"/>
        <w:sz w:val="20"/>
        <w:szCs w:val="20"/>
      </w:rPr>
      <w:t xml:space="preserve">NCOMMS-25-58776-T </w:t>
    </w:r>
    <w:r w:rsidRPr="00AE61DB">
      <w:rPr>
        <w:rFonts w:ascii="Times New Roman" w:hAnsi="Times New Roman" w:cs="Times New Roman"/>
        <w:color w:val="000000"/>
        <w:kern w:val="0"/>
        <w:sz w:val="20"/>
        <w:szCs w:val="20"/>
      </w:rPr>
      <w:tab/>
    </w:r>
    <w:r w:rsidRPr="00AE61DB">
      <w:rPr>
        <w:rFonts w:ascii="Times New Roman" w:hAnsi="Times New Roman" w:cs="Times New Roman"/>
        <w:color w:val="000000"/>
        <w:kern w:val="0"/>
        <w:sz w:val="20"/>
        <w:szCs w:val="20"/>
      </w:rPr>
      <w:tab/>
    </w:r>
    <w:r w:rsidRPr="00AE61DB">
      <w:rPr>
        <w:rFonts w:ascii="Times New Roman" w:hAnsi="Times New Roman" w:cs="Times New Roman"/>
        <w:color w:val="000000"/>
        <w:kern w:val="0"/>
        <w:sz w:val="20"/>
        <w:szCs w:val="20"/>
      </w:rPr>
      <w:tab/>
    </w:r>
    <w:r>
      <w:rPr>
        <w:rFonts w:ascii="Times New Roman" w:hAnsi="Times New Roman" w:cs="Times New Roman"/>
        <w:color w:val="000000"/>
        <w:kern w:val="0"/>
        <w:sz w:val="20"/>
        <w:szCs w:val="20"/>
      </w:rPr>
      <w:tab/>
      <w:t xml:space="preserve">    </w:t>
    </w:r>
    <w:r w:rsidRPr="00AE61DB">
      <w:rPr>
        <w:rFonts w:ascii="Times New Roman" w:hAnsi="Times New Roman" w:cs="Times New Roman"/>
        <w:color w:val="000000"/>
        <w:kern w:val="0"/>
        <w:sz w:val="20"/>
        <w:szCs w:val="20"/>
      </w:rPr>
      <w:tab/>
    </w:r>
    <w:r w:rsidRPr="00AE61DB">
      <w:rPr>
        <w:rFonts w:ascii="Times New Roman" w:hAnsi="Times New Roman" w:cs="Times New Roman"/>
        <w:color w:val="000000"/>
        <w:kern w:val="0"/>
        <w:sz w:val="20"/>
        <w:szCs w:val="20"/>
      </w:rPr>
      <w:tab/>
    </w:r>
    <w:r w:rsidRPr="00AE61DB">
      <w:rPr>
        <w:rFonts w:ascii="Times New Roman" w:hAnsi="Times New Roman" w:cs="Times New Roman"/>
        <w:color w:val="000000"/>
        <w:kern w:val="0"/>
        <w:sz w:val="20"/>
        <w:szCs w:val="20"/>
      </w:rPr>
      <w:tab/>
    </w:r>
    <w:r>
      <w:rPr>
        <w:rFonts w:ascii="Times New Roman" w:hAnsi="Times New Roman" w:cs="Times New Roman"/>
        <w:color w:val="000000"/>
        <w:kern w:val="0"/>
        <w:sz w:val="20"/>
        <w:szCs w:val="20"/>
      </w:rPr>
      <w:t xml:space="preserve">          </w:t>
    </w:r>
    <w:r>
      <w:rPr>
        <w:rFonts w:ascii="Times New Roman" w:hAnsi="Times New Roman" w:cs="Times New Roman"/>
        <w:color w:val="000000"/>
        <w:kern w:val="0"/>
        <w:sz w:val="20"/>
        <w:szCs w:val="20"/>
      </w:rPr>
      <w:tab/>
    </w:r>
    <w:r>
      <w:rPr>
        <w:rFonts w:ascii="Times New Roman" w:hAnsi="Times New Roman" w:cs="Times New Roman"/>
        <w:color w:val="000000"/>
        <w:kern w:val="0"/>
        <w:sz w:val="20"/>
        <w:szCs w:val="20"/>
      </w:rPr>
      <w:tab/>
      <w:t xml:space="preserve"> </w:t>
    </w:r>
    <w:r w:rsidR="007A73AE" w:rsidRPr="00AE61DB">
      <w:rPr>
        <w:rFonts w:ascii="Times New Roman" w:hAnsi="Times New Roman" w:cs="Times New Roman"/>
        <w:sz w:val="20"/>
        <w:szCs w:val="20"/>
      </w:rPr>
      <w:t>Appeal letter</w:t>
    </w:r>
  </w:p>
  <w:p w14:paraId="466B3154" w14:textId="77777777" w:rsidR="007A73AE" w:rsidRPr="00AE61DB" w:rsidRDefault="007A73AE">
    <w:pPr>
      <w:pStyle w:val="Header"/>
      <w:rPr>
        <w:rFonts w:ascii="Times New Roman" w:hAnsi="Times New Roman" w:cs="Times New Roman"/>
        <w:sz w:val="20"/>
        <w:szCs w:val="20"/>
      </w:rP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10A0514"/>
    <w:multiLevelType w:val="hybridMultilevel"/>
    <w:tmpl w:val="E1ECA112"/>
    <w:lvl w:ilvl="0" w:tplc="2000000F">
      <w:start w:val="1"/>
      <w:numFmt w:val="decimal"/>
      <w:lvlText w:val="%1."/>
      <w:lvlJc w:val="left"/>
      <w:pPr>
        <w:ind w:left="720" w:hanging="360"/>
      </w:pPr>
    </w:lvl>
    <w:lvl w:ilvl="1" w:tplc="20000019" w:tentative="1">
      <w:start w:val="1"/>
      <w:numFmt w:val="lowerLetter"/>
      <w:lvlText w:val="%2."/>
      <w:lvlJc w:val="left"/>
      <w:pPr>
        <w:ind w:left="1440" w:hanging="360"/>
      </w:pPr>
    </w:lvl>
    <w:lvl w:ilvl="2" w:tplc="2000001B" w:tentative="1">
      <w:start w:val="1"/>
      <w:numFmt w:val="lowerRoman"/>
      <w:lvlText w:val="%3."/>
      <w:lvlJc w:val="right"/>
      <w:pPr>
        <w:ind w:left="2160" w:hanging="180"/>
      </w:pPr>
    </w:lvl>
    <w:lvl w:ilvl="3" w:tplc="2000000F" w:tentative="1">
      <w:start w:val="1"/>
      <w:numFmt w:val="decimal"/>
      <w:lvlText w:val="%4."/>
      <w:lvlJc w:val="left"/>
      <w:pPr>
        <w:ind w:left="2880" w:hanging="360"/>
      </w:pPr>
    </w:lvl>
    <w:lvl w:ilvl="4" w:tplc="20000019" w:tentative="1">
      <w:start w:val="1"/>
      <w:numFmt w:val="lowerLetter"/>
      <w:lvlText w:val="%5."/>
      <w:lvlJc w:val="left"/>
      <w:pPr>
        <w:ind w:left="3600" w:hanging="360"/>
      </w:pPr>
    </w:lvl>
    <w:lvl w:ilvl="5" w:tplc="2000001B" w:tentative="1">
      <w:start w:val="1"/>
      <w:numFmt w:val="lowerRoman"/>
      <w:lvlText w:val="%6."/>
      <w:lvlJc w:val="right"/>
      <w:pPr>
        <w:ind w:left="4320" w:hanging="180"/>
      </w:pPr>
    </w:lvl>
    <w:lvl w:ilvl="6" w:tplc="2000000F" w:tentative="1">
      <w:start w:val="1"/>
      <w:numFmt w:val="decimal"/>
      <w:lvlText w:val="%7."/>
      <w:lvlJc w:val="left"/>
      <w:pPr>
        <w:ind w:left="5040" w:hanging="360"/>
      </w:pPr>
    </w:lvl>
    <w:lvl w:ilvl="7" w:tplc="20000019" w:tentative="1">
      <w:start w:val="1"/>
      <w:numFmt w:val="lowerLetter"/>
      <w:lvlText w:val="%8."/>
      <w:lvlJc w:val="left"/>
      <w:pPr>
        <w:ind w:left="5760" w:hanging="360"/>
      </w:pPr>
    </w:lvl>
    <w:lvl w:ilvl="8" w:tplc="2000001B" w:tentative="1">
      <w:start w:val="1"/>
      <w:numFmt w:val="lowerRoman"/>
      <w:lvlText w:val="%9."/>
      <w:lvlJc w:val="right"/>
      <w:pPr>
        <w:ind w:left="6480" w:hanging="180"/>
      </w:pPr>
    </w:lvl>
  </w:abstractNum>
  <w:abstractNum w:abstractNumId="1" w15:restartNumberingAfterBreak="0">
    <w:nsid w:val="0AB14C09"/>
    <w:multiLevelType w:val="multilevel"/>
    <w:tmpl w:val="58262AD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cs="Times New Roman"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start w:val="1"/>
      <w:numFmt w:val="bullet"/>
      <w:lvlText w:val=""/>
      <w:lvlJc w:val="left"/>
      <w:pPr>
        <w:tabs>
          <w:tab w:val="num" w:pos="3600"/>
        </w:tabs>
        <w:ind w:left="3600" w:hanging="360"/>
      </w:pPr>
      <w:rPr>
        <w:rFonts w:ascii="Wingdings" w:hAnsi="Wingdings" w:hint="default"/>
        <w:sz w:val="20"/>
      </w:rPr>
    </w:lvl>
    <w:lvl w:ilvl="5">
      <w:start w:val="1"/>
      <w:numFmt w:val="bullet"/>
      <w:lvlText w:val=""/>
      <w:lvlJc w:val="left"/>
      <w:pPr>
        <w:tabs>
          <w:tab w:val="num" w:pos="4320"/>
        </w:tabs>
        <w:ind w:left="4320" w:hanging="360"/>
      </w:pPr>
      <w:rPr>
        <w:rFonts w:ascii="Wingdings" w:hAnsi="Wingdings" w:hint="default"/>
        <w:sz w:val="20"/>
      </w:rPr>
    </w:lvl>
    <w:lvl w:ilvl="6">
      <w:start w:val="1"/>
      <w:numFmt w:val="bullet"/>
      <w:lvlText w:val=""/>
      <w:lvlJc w:val="left"/>
      <w:pPr>
        <w:tabs>
          <w:tab w:val="num" w:pos="5040"/>
        </w:tabs>
        <w:ind w:left="5040" w:hanging="360"/>
      </w:pPr>
      <w:rPr>
        <w:rFonts w:ascii="Wingdings" w:hAnsi="Wingdings" w:hint="default"/>
        <w:sz w:val="20"/>
      </w:rPr>
    </w:lvl>
    <w:lvl w:ilvl="7">
      <w:start w:val="1"/>
      <w:numFmt w:val="bullet"/>
      <w:lvlText w:val=""/>
      <w:lvlJc w:val="left"/>
      <w:pPr>
        <w:tabs>
          <w:tab w:val="num" w:pos="5760"/>
        </w:tabs>
        <w:ind w:left="5760" w:hanging="360"/>
      </w:pPr>
      <w:rPr>
        <w:rFonts w:ascii="Wingdings" w:hAnsi="Wingdings" w:hint="default"/>
        <w:sz w:val="20"/>
      </w:rPr>
    </w:lvl>
    <w:lvl w:ilvl="8">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14D96AB9"/>
    <w:multiLevelType w:val="hybridMultilevel"/>
    <w:tmpl w:val="FE50FE56"/>
    <w:lvl w:ilvl="0" w:tplc="D4346838">
      <w:start w:val="1"/>
      <w:numFmt w:val="decimal"/>
      <w:pStyle w:val="Heading2"/>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 w15:restartNumberingAfterBreak="0">
    <w:nsid w:val="187B5485"/>
    <w:multiLevelType w:val="multilevel"/>
    <w:tmpl w:val="8176F12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1C79755D"/>
    <w:multiLevelType w:val="hybridMultilevel"/>
    <w:tmpl w:val="6A1E7A4A"/>
    <w:lvl w:ilvl="0" w:tplc="0409000F">
      <w:start w:val="1"/>
      <w:numFmt w:val="decimal"/>
      <w:lvlText w:val="%1."/>
      <w:lvlJc w:val="left"/>
      <w:pPr>
        <w:ind w:left="720" w:hanging="360"/>
      </w:pPr>
      <w:rPr>
        <w:rFonts w:hint="default"/>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5" w15:restartNumberingAfterBreak="0">
    <w:nsid w:val="24187667"/>
    <w:multiLevelType w:val="multilevel"/>
    <w:tmpl w:val="207EDF7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27412E38"/>
    <w:multiLevelType w:val="hybridMultilevel"/>
    <w:tmpl w:val="ADB0E15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7" w15:restartNumberingAfterBreak="0">
    <w:nsid w:val="2FA057DF"/>
    <w:multiLevelType w:val="multilevel"/>
    <w:tmpl w:val="B60C883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431713F5"/>
    <w:multiLevelType w:val="hybridMultilevel"/>
    <w:tmpl w:val="1CAE95D0"/>
    <w:lvl w:ilvl="0" w:tplc="0409000F">
      <w:start w:val="1"/>
      <w:numFmt w:val="decimal"/>
      <w:lvlText w:val="%1."/>
      <w:lvlJc w:val="left"/>
      <w:pPr>
        <w:ind w:left="720" w:hanging="360"/>
      </w:pPr>
      <w:rPr>
        <w:rFonts w:hint="default"/>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9" w15:restartNumberingAfterBreak="0">
    <w:nsid w:val="487A28A7"/>
    <w:multiLevelType w:val="hybridMultilevel"/>
    <w:tmpl w:val="9BE2D04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0" w15:restartNumberingAfterBreak="0">
    <w:nsid w:val="490C03F4"/>
    <w:multiLevelType w:val="multilevel"/>
    <w:tmpl w:val="A648A85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5F7273C7"/>
    <w:multiLevelType w:val="multilevel"/>
    <w:tmpl w:val="C11AA8B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cs="Times New Roman"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start w:val="1"/>
      <w:numFmt w:val="bullet"/>
      <w:lvlText w:val=""/>
      <w:lvlJc w:val="left"/>
      <w:pPr>
        <w:tabs>
          <w:tab w:val="num" w:pos="3600"/>
        </w:tabs>
        <w:ind w:left="3600" w:hanging="360"/>
      </w:pPr>
      <w:rPr>
        <w:rFonts w:ascii="Wingdings" w:hAnsi="Wingdings" w:hint="default"/>
        <w:sz w:val="20"/>
      </w:rPr>
    </w:lvl>
    <w:lvl w:ilvl="5">
      <w:start w:val="1"/>
      <w:numFmt w:val="bullet"/>
      <w:lvlText w:val=""/>
      <w:lvlJc w:val="left"/>
      <w:pPr>
        <w:tabs>
          <w:tab w:val="num" w:pos="4320"/>
        </w:tabs>
        <w:ind w:left="4320" w:hanging="360"/>
      </w:pPr>
      <w:rPr>
        <w:rFonts w:ascii="Wingdings" w:hAnsi="Wingdings" w:hint="default"/>
        <w:sz w:val="20"/>
      </w:rPr>
    </w:lvl>
    <w:lvl w:ilvl="6">
      <w:start w:val="1"/>
      <w:numFmt w:val="bullet"/>
      <w:lvlText w:val=""/>
      <w:lvlJc w:val="left"/>
      <w:pPr>
        <w:tabs>
          <w:tab w:val="num" w:pos="5040"/>
        </w:tabs>
        <w:ind w:left="5040" w:hanging="360"/>
      </w:pPr>
      <w:rPr>
        <w:rFonts w:ascii="Wingdings" w:hAnsi="Wingdings" w:hint="default"/>
        <w:sz w:val="20"/>
      </w:rPr>
    </w:lvl>
    <w:lvl w:ilvl="7">
      <w:start w:val="1"/>
      <w:numFmt w:val="bullet"/>
      <w:lvlText w:val=""/>
      <w:lvlJc w:val="left"/>
      <w:pPr>
        <w:tabs>
          <w:tab w:val="num" w:pos="5760"/>
        </w:tabs>
        <w:ind w:left="5760" w:hanging="360"/>
      </w:pPr>
      <w:rPr>
        <w:rFonts w:ascii="Wingdings" w:hAnsi="Wingdings" w:hint="default"/>
        <w:sz w:val="20"/>
      </w:rPr>
    </w:lvl>
    <w:lvl w:ilvl="8">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60E625F5"/>
    <w:multiLevelType w:val="multilevel"/>
    <w:tmpl w:val="DC9E1ADC"/>
    <w:lvl w:ilvl="0">
      <w:start w:val="1"/>
      <w:numFmt w:val="decimal"/>
      <w:lvlText w:val="%1."/>
      <w:lvlJc w:val="left"/>
      <w:pPr>
        <w:tabs>
          <w:tab w:val="num" w:pos="720"/>
        </w:tabs>
        <w:ind w:left="720" w:hanging="360"/>
      </w:pPr>
    </w:lvl>
    <w:lvl w:ilvl="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3" w15:restartNumberingAfterBreak="0">
    <w:nsid w:val="65984339"/>
    <w:multiLevelType w:val="hybridMultilevel"/>
    <w:tmpl w:val="9F26DC9E"/>
    <w:lvl w:ilvl="0" w:tplc="F182B418">
      <w:start w:val="1"/>
      <w:numFmt w:val="lowerRoman"/>
      <w:lvlText w:val="(%1)"/>
      <w:lvlJc w:val="left"/>
      <w:pPr>
        <w:ind w:left="1080" w:hanging="72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4" w15:restartNumberingAfterBreak="0">
    <w:nsid w:val="66AF0AC4"/>
    <w:multiLevelType w:val="hybridMultilevel"/>
    <w:tmpl w:val="842035B2"/>
    <w:lvl w:ilvl="0" w:tplc="04090001">
      <w:start w:val="1"/>
      <w:numFmt w:val="bullet"/>
      <w:lvlText w:val=""/>
      <w:lvlJc w:val="left"/>
      <w:pPr>
        <w:ind w:left="766" w:hanging="360"/>
      </w:pPr>
      <w:rPr>
        <w:rFonts w:ascii="Symbol" w:hAnsi="Symbol" w:hint="default"/>
      </w:rPr>
    </w:lvl>
    <w:lvl w:ilvl="1" w:tplc="04090003" w:tentative="1">
      <w:start w:val="1"/>
      <w:numFmt w:val="bullet"/>
      <w:lvlText w:val="o"/>
      <w:lvlJc w:val="left"/>
      <w:pPr>
        <w:ind w:left="1486" w:hanging="360"/>
      </w:pPr>
      <w:rPr>
        <w:rFonts w:ascii="Courier New" w:hAnsi="Courier New" w:cs="Courier New" w:hint="default"/>
      </w:rPr>
    </w:lvl>
    <w:lvl w:ilvl="2" w:tplc="04090005" w:tentative="1">
      <w:start w:val="1"/>
      <w:numFmt w:val="bullet"/>
      <w:lvlText w:val=""/>
      <w:lvlJc w:val="left"/>
      <w:pPr>
        <w:ind w:left="2206" w:hanging="360"/>
      </w:pPr>
      <w:rPr>
        <w:rFonts w:ascii="Wingdings" w:hAnsi="Wingdings" w:hint="default"/>
      </w:rPr>
    </w:lvl>
    <w:lvl w:ilvl="3" w:tplc="04090001" w:tentative="1">
      <w:start w:val="1"/>
      <w:numFmt w:val="bullet"/>
      <w:lvlText w:val=""/>
      <w:lvlJc w:val="left"/>
      <w:pPr>
        <w:ind w:left="2926" w:hanging="360"/>
      </w:pPr>
      <w:rPr>
        <w:rFonts w:ascii="Symbol" w:hAnsi="Symbol" w:hint="default"/>
      </w:rPr>
    </w:lvl>
    <w:lvl w:ilvl="4" w:tplc="04090003" w:tentative="1">
      <w:start w:val="1"/>
      <w:numFmt w:val="bullet"/>
      <w:lvlText w:val="o"/>
      <w:lvlJc w:val="left"/>
      <w:pPr>
        <w:ind w:left="3646" w:hanging="360"/>
      </w:pPr>
      <w:rPr>
        <w:rFonts w:ascii="Courier New" w:hAnsi="Courier New" w:cs="Courier New" w:hint="default"/>
      </w:rPr>
    </w:lvl>
    <w:lvl w:ilvl="5" w:tplc="04090005" w:tentative="1">
      <w:start w:val="1"/>
      <w:numFmt w:val="bullet"/>
      <w:lvlText w:val=""/>
      <w:lvlJc w:val="left"/>
      <w:pPr>
        <w:ind w:left="4366" w:hanging="360"/>
      </w:pPr>
      <w:rPr>
        <w:rFonts w:ascii="Wingdings" w:hAnsi="Wingdings" w:hint="default"/>
      </w:rPr>
    </w:lvl>
    <w:lvl w:ilvl="6" w:tplc="04090001" w:tentative="1">
      <w:start w:val="1"/>
      <w:numFmt w:val="bullet"/>
      <w:lvlText w:val=""/>
      <w:lvlJc w:val="left"/>
      <w:pPr>
        <w:ind w:left="5086" w:hanging="360"/>
      </w:pPr>
      <w:rPr>
        <w:rFonts w:ascii="Symbol" w:hAnsi="Symbol" w:hint="default"/>
      </w:rPr>
    </w:lvl>
    <w:lvl w:ilvl="7" w:tplc="04090003" w:tentative="1">
      <w:start w:val="1"/>
      <w:numFmt w:val="bullet"/>
      <w:lvlText w:val="o"/>
      <w:lvlJc w:val="left"/>
      <w:pPr>
        <w:ind w:left="5806" w:hanging="360"/>
      </w:pPr>
      <w:rPr>
        <w:rFonts w:ascii="Courier New" w:hAnsi="Courier New" w:cs="Courier New" w:hint="default"/>
      </w:rPr>
    </w:lvl>
    <w:lvl w:ilvl="8" w:tplc="04090005" w:tentative="1">
      <w:start w:val="1"/>
      <w:numFmt w:val="bullet"/>
      <w:lvlText w:val=""/>
      <w:lvlJc w:val="left"/>
      <w:pPr>
        <w:ind w:left="6526" w:hanging="360"/>
      </w:pPr>
      <w:rPr>
        <w:rFonts w:ascii="Wingdings" w:hAnsi="Wingdings" w:hint="default"/>
      </w:rPr>
    </w:lvl>
  </w:abstractNum>
  <w:abstractNum w:abstractNumId="15" w15:restartNumberingAfterBreak="0">
    <w:nsid w:val="67D3696E"/>
    <w:multiLevelType w:val="multilevel"/>
    <w:tmpl w:val="E404E85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cs="Times New Roman"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start w:val="1"/>
      <w:numFmt w:val="bullet"/>
      <w:lvlText w:val=""/>
      <w:lvlJc w:val="left"/>
      <w:pPr>
        <w:tabs>
          <w:tab w:val="num" w:pos="3600"/>
        </w:tabs>
        <w:ind w:left="3600" w:hanging="360"/>
      </w:pPr>
      <w:rPr>
        <w:rFonts w:ascii="Wingdings" w:hAnsi="Wingdings" w:hint="default"/>
        <w:sz w:val="20"/>
      </w:rPr>
    </w:lvl>
    <w:lvl w:ilvl="5">
      <w:start w:val="1"/>
      <w:numFmt w:val="bullet"/>
      <w:lvlText w:val=""/>
      <w:lvlJc w:val="left"/>
      <w:pPr>
        <w:tabs>
          <w:tab w:val="num" w:pos="4320"/>
        </w:tabs>
        <w:ind w:left="4320" w:hanging="360"/>
      </w:pPr>
      <w:rPr>
        <w:rFonts w:ascii="Wingdings" w:hAnsi="Wingdings" w:hint="default"/>
        <w:sz w:val="20"/>
      </w:rPr>
    </w:lvl>
    <w:lvl w:ilvl="6">
      <w:start w:val="1"/>
      <w:numFmt w:val="bullet"/>
      <w:lvlText w:val=""/>
      <w:lvlJc w:val="left"/>
      <w:pPr>
        <w:tabs>
          <w:tab w:val="num" w:pos="5040"/>
        </w:tabs>
        <w:ind w:left="5040" w:hanging="360"/>
      </w:pPr>
      <w:rPr>
        <w:rFonts w:ascii="Wingdings" w:hAnsi="Wingdings" w:hint="default"/>
        <w:sz w:val="20"/>
      </w:rPr>
    </w:lvl>
    <w:lvl w:ilvl="7">
      <w:start w:val="1"/>
      <w:numFmt w:val="bullet"/>
      <w:lvlText w:val=""/>
      <w:lvlJc w:val="left"/>
      <w:pPr>
        <w:tabs>
          <w:tab w:val="num" w:pos="5760"/>
        </w:tabs>
        <w:ind w:left="5760" w:hanging="360"/>
      </w:pPr>
      <w:rPr>
        <w:rFonts w:ascii="Wingdings" w:hAnsi="Wingdings" w:hint="default"/>
        <w:sz w:val="20"/>
      </w:rPr>
    </w:lvl>
    <w:lvl w:ilvl="8">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69F4751D"/>
    <w:multiLevelType w:val="hybridMultilevel"/>
    <w:tmpl w:val="409ADA50"/>
    <w:lvl w:ilvl="0" w:tplc="999A4B90">
      <w:start w:val="1"/>
      <w:numFmt w:val="decimal"/>
      <w:lvlText w:val="%1."/>
      <w:lvlJc w:val="left"/>
      <w:pPr>
        <w:ind w:left="360" w:hanging="360"/>
      </w:pPr>
      <w:rPr>
        <w:rFonts w:hint="default"/>
        <w:b/>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17" w15:restartNumberingAfterBreak="0">
    <w:nsid w:val="6C682C60"/>
    <w:multiLevelType w:val="hybridMultilevel"/>
    <w:tmpl w:val="5218D77A"/>
    <w:lvl w:ilvl="0" w:tplc="04090001">
      <w:start w:val="1"/>
      <w:numFmt w:val="bullet"/>
      <w:lvlText w:val=""/>
      <w:lvlJc w:val="left"/>
      <w:pPr>
        <w:ind w:left="766" w:hanging="360"/>
      </w:pPr>
      <w:rPr>
        <w:rFonts w:ascii="Symbol" w:hAnsi="Symbol" w:hint="default"/>
      </w:rPr>
    </w:lvl>
    <w:lvl w:ilvl="1" w:tplc="04090003" w:tentative="1">
      <w:start w:val="1"/>
      <w:numFmt w:val="bullet"/>
      <w:lvlText w:val="o"/>
      <w:lvlJc w:val="left"/>
      <w:pPr>
        <w:ind w:left="1486" w:hanging="360"/>
      </w:pPr>
      <w:rPr>
        <w:rFonts w:ascii="Courier New" w:hAnsi="Courier New" w:cs="Courier New" w:hint="default"/>
      </w:rPr>
    </w:lvl>
    <w:lvl w:ilvl="2" w:tplc="04090005" w:tentative="1">
      <w:start w:val="1"/>
      <w:numFmt w:val="bullet"/>
      <w:lvlText w:val=""/>
      <w:lvlJc w:val="left"/>
      <w:pPr>
        <w:ind w:left="2206" w:hanging="360"/>
      </w:pPr>
      <w:rPr>
        <w:rFonts w:ascii="Wingdings" w:hAnsi="Wingdings" w:hint="default"/>
      </w:rPr>
    </w:lvl>
    <w:lvl w:ilvl="3" w:tplc="04090001" w:tentative="1">
      <w:start w:val="1"/>
      <w:numFmt w:val="bullet"/>
      <w:lvlText w:val=""/>
      <w:lvlJc w:val="left"/>
      <w:pPr>
        <w:ind w:left="2926" w:hanging="360"/>
      </w:pPr>
      <w:rPr>
        <w:rFonts w:ascii="Symbol" w:hAnsi="Symbol" w:hint="default"/>
      </w:rPr>
    </w:lvl>
    <w:lvl w:ilvl="4" w:tplc="04090003" w:tentative="1">
      <w:start w:val="1"/>
      <w:numFmt w:val="bullet"/>
      <w:lvlText w:val="o"/>
      <w:lvlJc w:val="left"/>
      <w:pPr>
        <w:ind w:left="3646" w:hanging="360"/>
      </w:pPr>
      <w:rPr>
        <w:rFonts w:ascii="Courier New" w:hAnsi="Courier New" w:cs="Courier New" w:hint="default"/>
      </w:rPr>
    </w:lvl>
    <w:lvl w:ilvl="5" w:tplc="04090005" w:tentative="1">
      <w:start w:val="1"/>
      <w:numFmt w:val="bullet"/>
      <w:lvlText w:val=""/>
      <w:lvlJc w:val="left"/>
      <w:pPr>
        <w:ind w:left="4366" w:hanging="360"/>
      </w:pPr>
      <w:rPr>
        <w:rFonts w:ascii="Wingdings" w:hAnsi="Wingdings" w:hint="default"/>
      </w:rPr>
    </w:lvl>
    <w:lvl w:ilvl="6" w:tplc="04090001" w:tentative="1">
      <w:start w:val="1"/>
      <w:numFmt w:val="bullet"/>
      <w:lvlText w:val=""/>
      <w:lvlJc w:val="left"/>
      <w:pPr>
        <w:ind w:left="5086" w:hanging="360"/>
      </w:pPr>
      <w:rPr>
        <w:rFonts w:ascii="Symbol" w:hAnsi="Symbol" w:hint="default"/>
      </w:rPr>
    </w:lvl>
    <w:lvl w:ilvl="7" w:tplc="04090003" w:tentative="1">
      <w:start w:val="1"/>
      <w:numFmt w:val="bullet"/>
      <w:lvlText w:val="o"/>
      <w:lvlJc w:val="left"/>
      <w:pPr>
        <w:ind w:left="5806" w:hanging="360"/>
      </w:pPr>
      <w:rPr>
        <w:rFonts w:ascii="Courier New" w:hAnsi="Courier New" w:cs="Courier New" w:hint="default"/>
      </w:rPr>
    </w:lvl>
    <w:lvl w:ilvl="8" w:tplc="04090005" w:tentative="1">
      <w:start w:val="1"/>
      <w:numFmt w:val="bullet"/>
      <w:lvlText w:val=""/>
      <w:lvlJc w:val="left"/>
      <w:pPr>
        <w:ind w:left="6526" w:hanging="360"/>
      </w:pPr>
      <w:rPr>
        <w:rFonts w:ascii="Wingdings" w:hAnsi="Wingdings" w:hint="default"/>
      </w:rPr>
    </w:lvl>
  </w:abstractNum>
  <w:abstractNum w:abstractNumId="18" w15:restartNumberingAfterBreak="0">
    <w:nsid w:val="700E1AEB"/>
    <w:multiLevelType w:val="hybridMultilevel"/>
    <w:tmpl w:val="4CFCE4A8"/>
    <w:lvl w:ilvl="0" w:tplc="20000001">
      <w:start w:val="1"/>
      <w:numFmt w:val="bullet"/>
      <w:lvlText w:val=""/>
      <w:lvlJc w:val="left"/>
      <w:pPr>
        <w:ind w:left="1080" w:hanging="360"/>
      </w:pPr>
      <w:rPr>
        <w:rFonts w:ascii="Symbol" w:hAnsi="Symbol" w:hint="default"/>
      </w:rPr>
    </w:lvl>
    <w:lvl w:ilvl="1" w:tplc="FFFFFFFF" w:tentative="1">
      <w:start w:val="1"/>
      <w:numFmt w:val="lowerLetter"/>
      <w:lvlText w:val="%2."/>
      <w:lvlJc w:val="left"/>
      <w:pPr>
        <w:ind w:left="1800" w:hanging="360"/>
      </w:pPr>
    </w:lvl>
    <w:lvl w:ilvl="2" w:tplc="FFFFFFFF" w:tentative="1">
      <w:start w:val="1"/>
      <w:numFmt w:val="lowerRoman"/>
      <w:lvlText w:val="%3."/>
      <w:lvlJc w:val="right"/>
      <w:pPr>
        <w:ind w:left="2520" w:hanging="180"/>
      </w:pPr>
    </w:lvl>
    <w:lvl w:ilvl="3" w:tplc="FFFFFFFF" w:tentative="1">
      <w:start w:val="1"/>
      <w:numFmt w:val="decimal"/>
      <w:lvlText w:val="%4."/>
      <w:lvlJc w:val="left"/>
      <w:pPr>
        <w:ind w:left="3240" w:hanging="360"/>
      </w:pPr>
    </w:lvl>
    <w:lvl w:ilvl="4" w:tplc="FFFFFFFF" w:tentative="1">
      <w:start w:val="1"/>
      <w:numFmt w:val="lowerLetter"/>
      <w:lvlText w:val="%5."/>
      <w:lvlJc w:val="left"/>
      <w:pPr>
        <w:ind w:left="3960" w:hanging="360"/>
      </w:pPr>
    </w:lvl>
    <w:lvl w:ilvl="5" w:tplc="FFFFFFFF" w:tentative="1">
      <w:start w:val="1"/>
      <w:numFmt w:val="lowerRoman"/>
      <w:lvlText w:val="%6."/>
      <w:lvlJc w:val="right"/>
      <w:pPr>
        <w:ind w:left="4680" w:hanging="180"/>
      </w:pPr>
    </w:lvl>
    <w:lvl w:ilvl="6" w:tplc="FFFFFFFF" w:tentative="1">
      <w:start w:val="1"/>
      <w:numFmt w:val="decimal"/>
      <w:lvlText w:val="%7."/>
      <w:lvlJc w:val="left"/>
      <w:pPr>
        <w:ind w:left="5400" w:hanging="360"/>
      </w:pPr>
    </w:lvl>
    <w:lvl w:ilvl="7" w:tplc="FFFFFFFF" w:tentative="1">
      <w:start w:val="1"/>
      <w:numFmt w:val="lowerLetter"/>
      <w:lvlText w:val="%8."/>
      <w:lvlJc w:val="left"/>
      <w:pPr>
        <w:ind w:left="6120" w:hanging="360"/>
      </w:pPr>
    </w:lvl>
    <w:lvl w:ilvl="8" w:tplc="FFFFFFFF" w:tentative="1">
      <w:start w:val="1"/>
      <w:numFmt w:val="lowerRoman"/>
      <w:lvlText w:val="%9."/>
      <w:lvlJc w:val="right"/>
      <w:pPr>
        <w:ind w:left="6840" w:hanging="180"/>
      </w:pPr>
    </w:lvl>
  </w:abstractNum>
  <w:num w:numId="1" w16cid:durableId="1887060342">
    <w:abstractNumId w:val="12"/>
  </w:num>
  <w:num w:numId="2" w16cid:durableId="24989728">
    <w:abstractNumId w:val="3"/>
  </w:num>
  <w:num w:numId="3" w16cid:durableId="868110298">
    <w:abstractNumId w:val="5"/>
  </w:num>
  <w:num w:numId="4" w16cid:durableId="1096709673">
    <w:abstractNumId w:val="7"/>
  </w:num>
  <w:num w:numId="5" w16cid:durableId="1410541426">
    <w:abstractNumId w:val="10"/>
  </w:num>
  <w:num w:numId="6" w16cid:durableId="767576095">
    <w:abstractNumId w:val="0"/>
  </w:num>
  <w:num w:numId="7" w16cid:durableId="1552576620">
    <w:abstractNumId w:val="18"/>
  </w:num>
  <w:num w:numId="8" w16cid:durableId="502014255">
    <w:abstractNumId w:val="15"/>
  </w:num>
  <w:num w:numId="9" w16cid:durableId="2089615413">
    <w:abstractNumId w:val="11"/>
  </w:num>
  <w:num w:numId="10" w16cid:durableId="313878793">
    <w:abstractNumId w:val="1"/>
  </w:num>
  <w:num w:numId="11" w16cid:durableId="2034718829">
    <w:abstractNumId w:val="2"/>
  </w:num>
  <w:num w:numId="12" w16cid:durableId="876544759">
    <w:abstractNumId w:val="17"/>
  </w:num>
  <w:num w:numId="13" w16cid:durableId="1220744836">
    <w:abstractNumId w:val="13"/>
  </w:num>
  <w:num w:numId="14" w16cid:durableId="33968465">
    <w:abstractNumId w:val="14"/>
  </w:num>
  <w:num w:numId="15" w16cid:durableId="244340406">
    <w:abstractNumId w:val="16"/>
  </w:num>
  <w:num w:numId="16" w16cid:durableId="152918864">
    <w:abstractNumId w:val="9"/>
  </w:num>
  <w:num w:numId="17" w16cid:durableId="1342510322">
    <w:abstractNumId w:val="4"/>
  </w:num>
  <w:num w:numId="18" w16cid:durableId="435901849">
    <w:abstractNumId w:val="6"/>
  </w:num>
  <w:num w:numId="19" w16cid:durableId="1485858512">
    <w:abstractNumId w:val="8"/>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53"/>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D6141D"/>
    <w:rsid w:val="00000062"/>
    <w:rsid w:val="000002FA"/>
    <w:rsid w:val="00000A54"/>
    <w:rsid w:val="00000B1E"/>
    <w:rsid w:val="00007E81"/>
    <w:rsid w:val="00007E9B"/>
    <w:rsid w:val="00010726"/>
    <w:rsid w:val="0001072E"/>
    <w:rsid w:val="00012F69"/>
    <w:rsid w:val="00017A2E"/>
    <w:rsid w:val="00021490"/>
    <w:rsid w:val="00021BC1"/>
    <w:rsid w:val="000225E0"/>
    <w:rsid w:val="0002516F"/>
    <w:rsid w:val="00030730"/>
    <w:rsid w:val="00030EA3"/>
    <w:rsid w:val="00046EB8"/>
    <w:rsid w:val="00047B45"/>
    <w:rsid w:val="000505A9"/>
    <w:rsid w:val="00054748"/>
    <w:rsid w:val="0005733A"/>
    <w:rsid w:val="00061754"/>
    <w:rsid w:val="000671F8"/>
    <w:rsid w:val="00070F47"/>
    <w:rsid w:val="0007103D"/>
    <w:rsid w:val="00073947"/>
    <w:rsid w:val="0007475E"/>
    <w:rsid w:val="00074AAF"/>
    <w:rsid w:val="00075AD1"/>
    <w:rsid w:val="00076A8C"/>
    <w:rsid w:val="00077D72"/>
    <w:rsid w:val="00081AFE"/>
    <w:rsid w:val="00084DFB"/>
    <w:rsid w:val="00087534"/>
    <w:rsid w:val="00091D47"/>
    <w:rsid w:val="00094F14"/>
    <w:rsid w:val="000953D4"/>
    <w:rsid w:val="000961FB"/>
    <w:rsid w:val="000964B0"/>
    <w:rsid w:val="000979C5"/>
    <w:rsid w:val="000A04CC"/>
    <w:rsid w:val="000A4A0F"/>
    <w:rsid w:val="000A5434"/>
    <w:rsid w:val="000A75B7"/>
    <w:rsid w:val="000B2BBD"/>
    <w:rsid w:val="000B3954"/>
    <w:rsid w:val="000B6A25"/>
    <w:rsid w:val="000C1A52"/>
    <w:rsid w:val="000C22D0"/>
    <w:rsid w:val="000C3F64"/>
    <w:rsid w:val="000C4CAA"/>
    <w:rsid w:val="000C511A"/>
    <w:rsid w:val="000C5369"/>
    <w:rsid w:val="000D11CA"/>
    <w:rsid w:val="000D12B1"/>
    <w:rsid w:val="000D2156"/>
    <w:rsid w:val="000D3872"/>
    <w:rsid w:val="000D541F"/>
    <w:rsid w:val="000D725A"/>
    <w:rsid w:val="000E09A9"/>
    <w:rsid w:val="000E7BF3"/>
    <w:rsid w:val="000F128B"/>
    <w:rsid w:val="000F37E5"/>
    <w:rsid w:val="000F47DC"/>
    <w:rsid w:val="000F7A27"/>
    <w:rsid w:val="00100285"/>
    <w:rsid w:val="00101EB4"/>
    <w:rsid w:val="0010330F"/>
    <w:rsid w:val="00103C4C"/>
    <w:rsid w:val="001063C1"/>
    <w:rsid w:val="001109DE"/>
    <w:rsid w:val="00112363"/>
    <w:rsid w:val="00115D3D"/>
    <w:rsid w:val="00115F86"/>
    <w:rsid w:val="00116732"/>
    <w:rsid w:val="00116E01"/>
    <w:rsid w:val="00117916"/>
    <w:rsid w:val="001202BC"/>
    <w:rsid w:val="0012043F"/>
    <w:rsid w:val="00121209"/>
    <w:rsid w:val="001235E1"/>
    <w:rsid w:val="00125A1F"/>
    <w:rsid w:val="00127597"/>
    <w:rsid w:val="0013142F"/>
    <w:rsid w:val="001324D2"/>
    <w:rsid w:val="001376D6"/>
    <w:rsid w:val="00141347"/>
    <w:rsid w:val="001427B7"/>
    <w:rsid w:val="001447CE"/>
    <w:rsid w:val="00150570"/>
    <w:rsid w:val="00151742"/>
    <w:rsid w:val="00151CF8"/>
    <w:rsid w:val="00152888"/>
    <w:rsid w:val="00155C72"/>
    <w:rsid w:val="00162A7F"/>
    <w:rsid w:val="00163C85"/>
    <w:rsid w:val="00165104"/>
    <w:rsid w:val="00165357"/>
    <w:rsid w:val="0016578B"/>
    <w:rsid w:val="00165BFC"/>
    <w:rsid w:val="001669EC"/>
    <w:rsid w:val="00170619"/>
    <w:rsid w:val="001714E3"/>
    <w:rsid w:val="001735BC"/>
    <w:rsid w:val="00174A8F"/>
    <w:rsid w:val="00176791"/>
    <w:rsid w:val="00177C8B"/>
    <w:rsid w:val="00183724"/>
    <w:rsid w:val="00191071"/>
    <w:rsid w:val="00191627"/>
    <w:rsid w:val="001926C5"/>
    <w:rsid w:val="001934B8"/>
    <w:rsid w:val="0019476D"/>
    <w:rsid w:val="00196613"/>
    <w:rsid w:val="001A033B"/>
    <w:rsid w:val="001A0CF6"/>
    <w:rsid w:val="001A1185"/>
    <w:rsid w:val="001A2058"/>
    <w:rsid w:val="001A28B8"/>
    <w:rsid w:val="001A2B45"/>
    <w:rsid w:val="001A399A"/>
    <w:rsid w:val="001A60DB"/>
    <w:rsid w:val="001A667A"/>
    <w:rsid w:val="001B21D2"/>
    <w:rsid w:val="001B2A49"/>
    <w:rsid w:val="001B6460"/>
    <w:rsid w:val="001C48AA"/>
    <w:rsid w:val="001C7A70"/>
    <w:rsid w:val="001D11E5"/>
    <w:rsid w:val="001D14C0"/>
    <w:rsid w:val="001D210F"/>
    <w:rsid w:val="001D22FD"/>
    <w:rsid w:val="001D55B4"/>
    <w:rsid w:val="001D6536"/>
    <w:rsid w:val="001D6A96"/>
    <w:rsid w:val="001E3982"/>
    <w:rsid w:val="001E5F26"/>
    <w:rsid w:val="001F05C6"/>
    <w:rsid w:val="001F116A"/>
    <w:rsid w:val="001F24CB"/>
    <w:rsid w:val="001F2723"/>
    <w:rsid w:val="001F291D"/>
    <w:rsid w:val="001F45C9"/>
    <w:rsid w:val="001F6D42"/>
    <w:rsid w:val="00201CB4"/>
    <w:rsid w:val="00204E9A"/>
    <w:rsid w:val="00205E08"/>
    <w:rsid w:val="00206439"/>
    <w:rsid w:val="00207317"/>
    <w:rsid w:val="002111B7"/>
    <w:rsid w:val="00212ACC"/>
    <w:rsid w:val="00215BC1"/>
    <w:rsid w:val="00216044"/>
    <w:rsid w:val="002167B6"/>
    <w:rsid w:val="00216CCF"/>
    <w:rsid w:val="002211B4"/>
    <w:rsid w:val="00221859"/>
    <w:rsid w:val="0022407C"/>
    <w:rsid w:val="00225595"/>
    <w:rsid w:val="002264E4"/>
    <w:rsid w:val="00227920"/>
    <w:rsid w:val="00227ADF"/>
    <w:rsid w:val="00227EA6"/>
    <w:rsid w:val="00231D37"/>
    <w:rsid w:val="00232470"/>
    <w:rsid w:val="00233EA4"/>
    <w:rsid w:val="00234A2C"/>
    <w:rsid w:val="00235BA2"/>
    <w:rsid w:val="0023627C"/>
    <w:rsid w:val="00237EBF"/>
    <w:rsid w:val="0024227A"/>
    <w:rsid w:val="00242F31"/>
    <w:rsid w:val="002433F9"/>
    <w:rsid w:val="0024693E"/>
    <w:rsid w:val="00247F3D"/>
    <w:rsid w:val="002542E9"/>
    <w:rsid w:val="002545E2"/>
    <w:rsid w:val="00254C9D"/>
    <w:rsid w:val="002553DA"/>
    <w:rsid w:val="0025584C"/>
    <w:rsid w:val="0026024A"/>
    <w:rsid w:val="00263E22"/>
    <w:rsid w:val="002670CA"/>
    <w:rsid w:val="002757E5"/>
    <w:rsid w:val="002775E2"/>
    <w:rsid w:val="00280315"/>
    <w:rsid w:val="0028379E"/>
    <w:rsid w:val="00284047"/>
    <w:rsid w:val="0028476A"/>
    <w:rsid w:val="0028511B"/>
    <w:rsid w:val="0028654F"/>
    <w:rsid w:val="00292030"/>
    <w:rsid w:val="002951CF"/>
    <w:rsid w:val="00296CA1"/>
    <w:rsid w:val="00297E55"/>
    <w:rsid w:val="002A2B51"/>
    <w:rsid w:val="002A479A"/>
    <w:rsid w:val="002A56A8"/>
    <w:rsid w:val="002A687A"/>
    <w:rsid w:val="002A78CF"/>
    <w:rsid w:val="002B1A33"/>
    <w:rsid w:val="002B1B2E"/>
    <w:rsid w:val="002B1D35"/>
    <w:rsid w:val="002B1DEA"/>
    <w:rsid w:val="002B2027"/>
    <w:rsid w:val="002B361A"/>
    <w:rsid w:val="002B4174"/>
    <w:rsid w:val="002B6D21"/>
    <w:rsid w:val="002C01BE"/>
    <w:rsid w:val="002C0215"/>
    <w:rsid w:val="002C03D2"/>
    <w:rsid w:val="002C0FCC"/>
    <w:rsid w:val="002C2062"/>
    <w:rsid w:val="002C3870"/>
    <w:rsid w:val="002C4E8E"/>
    <w:rsid w:val="002C5106"/>
    <w:rsid w:val="002C693D"/>
    <w:rsid w:val="002C7D8B"/>
    <w:rsid w:val="002D16ED"/>
    <w:rsid w:val="002D1778"/>
    <w:rsid w:val="002D2F79"/>
    <w:rsid w:val="002D477D"/>
    <w:rsid w:val="002D5040"/>
    <w:rsid w:val="002D704E"/>
    <w:rsid w:val="002D7DF1"/>
    <w:rsid w:val="002E0443"/>
    <w:rsid w:val="002E16D3"/>
    <w:rsid w:val="002E5E7B"/>
    <w:rsid w:val="002E5F4B"/>
    <w:rsid w:val="002E63FF"/>
    <w:rsid w:val="002F18CB"/>
    <w:rsid w:val="002F1D1B"/>
    <w:rsid w:val="002F58D5"/>
    <w:rsid w:val="002F62A3"/>
    <w:rsid w:val="002F7425"/>
    <w:rsid w:val="00300C38"/>
    <w:rsid w:val="00301189"/>
    <w:rsid w:val="00301E05"/>
    <w:rsid w:val="00305584"/>
    <w:rsid w:val="00305C21"/>
    <w:rsid w:val="0031261F"/>
    <w:rsid w:val="0031461A"/>
    <w:rsid w:val="00314A9F"/>
    <w:rsid w:val="00317B48"/>
    <w:rsid w:val="00317D6C"/>
    <w:rsid w:val="00320924"/>
    <w:rsid w:val="003217E3"/>
    <w:rsid w:val="003223BA"/>
    <w:rsid w:val="00322C69"/>
    <w:rsid w:val="00326470"/>
    <w:rsid w:val="00330FDB"/>
    <w:rsid w:val="00331A0E"/>
    <w:rsid w:val="003328CB"/>
    <w:rsid w:val="00343A95"/>
    <w:rsid w:val="00344F4D"/>
    <w:rsid w:val="00345960"/>
    <w:rsid w:val="0034690F"/>
    <w:rsid w:val="00350DED"/>
    <w:rsid w:val="003512E7"/>
    <w:rsid w:val="00352F68"/>
    <w:rsid w:val="00355673"/>
    <w:rsid w:val="00356B3E"/>
    <w:rsid w:val="00360225"/>
    <w:rsid w:val="00360D86"/>
    <w:rsid w:val="003640BE"/>
    <w:rsid w:val="003709C2"/>
    <w:rsid w:val="00376268"/>
    <w:rsid w:val="00377406"/>
    <w:rsid w:val="003809E4"/>
    <w:rsid w:val="00387290"/>
    <w:rsid w:val="00394B29"/>
    <w:rsid w:val="0039549D"/>
    <w:rsid w:val="00396574"/>
    <w:rsid w:val="0039687C"/>
    <w:rsid w:val="00397558"/>
    <w:rsid w:val="003A01FA"/>
    <w:rsid w:val="003A1353"/>
    <w:rsid w:val="003A2169"/>
    <w:rsid w:val="003A5237"/>
    <w:rsid w:val="003A6F64"/>
    <w:rsid w:val="003B3A3D"/>
    <w:rsid w:val="003B51BC"/>
    <w:rsid w:val="003B65CA"/>
    <w:rsid w:val="003C0F85"/>
    <w:rsid w:val="003C1BFA"/>
    <w:rsid w:val="003C2878"/>
    <w:rsid w:val="003D2070"/>
    <w:rsid w:val="003D42A1"/>
    <w:rsid w:val="003D53D0"/>
    <w:rsid w:val="003D57D5"/>
    <w:rsid w:val="003D5BD7"/>
    <w:rsid w:val="003D60F4"/>
    <w:rsid w:val="003D7CAF"/>
    <w:rsid w:val="003E100F"/>
    <w:rsid w:val="003E394E"/>
    <w:rsid w:val="003E61C3"/>
    <w:rsid w:val="003E70B9"/>
    <w:rsid w:val="003F16E9"/>
    <w:rsid w:val="003F27A2"/>
    <w:rsid w:val="003F2E0E"/>
    <w:rsid w:val="003F481E"/>
    <w:rsid w:val="003F4B6C"/>
    <w:rsid w:val="003F5DB3"/>
    <w:rsid w:val="004023BE"/>
    <w:rsid w:val="00402963"/>
    <w:rsid w:val="0040401F"/>
    <w:rsid w:val="00404FEC"/>
    <w:rsid w:val="00405DB3"/>
    <w:rsid w:val="00410470"/>
    <w:rsid w:val="004118F7"/>
    <w:rsid w:val="00413866"/>
    <w:rsid w:val="00413A1A"/>
    <w:rsid w:val="0041414D"/>
    <w:rsid w:val="00415572"/>
    <w:rsid w:val="004162E8"/>
    <w:rsid w:val="00420DEB"/>
    <w:rsid w:val="0042174F"/>
    <w:rsid w:val="004348E3"/>
    <w:rsid w:val="004355E4"/>
    <w:rsid w:val="004356E3"/>
    <w:rsid w:val="004379C4"/>
    <w:rsid w:val="004379C8"/>
    <w:rsid w:val="00441D47"/>
    <w:rsid w:val="0045406A"/>
    <w:rsid w:val="00454420"/>
    <w:rsid w:val="00455EFA"/>
    <w:rsid w:val="00460A6D"/>
    <w:rsid w:val="00461D2B"/>
    <w:rsid w:val="00462736"/>
    <w:rsid w:val="004641CA"/>
    <w:rsid w:val="004667B5"/>
    <w:rsid w:val="004674CB"/>
    <w:rsid w:val="00467CC2"/>
    <w:rsid w:val="004710D6"/>
    <w:rsid w:val="00472BD8"/>
    <w:rsid w:val="00474581"/>
    <w:rsid w:val="00480484"/>
    <w:rsid w:val="004828C6"/>
    <w:rsid w:val="00484388"/>
    <w:rsid w:val="00485130"/>
    <w:rsid w:val="00490243"/>
    <w:rsid w:val="00497CC8"/>
    <w:rsid w:val="004A3929"/>
    <w:rsid w:val="004A49C6"/>
    <w:rsid w:val="004A5DBA"/>
    <w:rsid w:val="004A607C"/>
    <w:rsid w:val="004B0E88"/>
    <w:rsid w:val="004B36AD"/>
    <w:rsid w:val="004B5FC3"/>
    <w:rsid w:val="004B79CE"/>
    <w:rsid w:val="004C3DAA"/>
    <w:rsid w:val="004C40D2"/>
    <w:rsid w:val="004C6C78"/>
    <w:rsid w:val="004D3A70"/>
    <w:rsid w:val="004D5B32"/>
    <w:rsid w:val="004D67DD"/>
    <w:rsid w:val="004D698A"/>
    <w:rsid w:val="004E1033"/>
    <w:rsid w:val="004E1CA4"/>
    <w:rsid w:val="004E2625"/>
    <w:rsid w:val="004E7874"/>
    <w:rsid w:val="004F0C8C"/>
    <w:rsid w:val="004F3934"/>
    <w:rsid w:val="004F66B8"/>
    <w:rsid w:val="004F67FB"/>
    <w:rsid w:val="004F7009"/>
    <w:rsid w:val="00501280"/>
    <w:rsid w:val="005014F3"/>
    <w:rsid w:val="00502A9C"/>
    <w:rsid w:val="0050345B"/>
    <w:rsid w:val="00503EB5"/>
    <w:rsid w:val="00505088"/>
    <w:rsid w:val="00507568"/>
    <w:rsid w:val="005079D0"/>
    <w:rsid w:val="00512C2C"/>
    <w:rsid w:val="00513541"/>
    <w:rsid w:val="00513E1D"/>
    <w:rsid w:val="00515D07"/>
    <w:rsid w:val="0051607D"/>
    <w:rsid w:val="00516618"/>
    <w:rsid w:val="00521AF4"/>
    <w:rsid w:val="00526BA5"/>
    <w:rsid w:val="00527B3C"/>
    <w:rsid w:val="00527DBB"/>
    <w:rsid w:val="00530DD9"/>
    <w:rsid w:val="00531F5A"/>
    <w:rsid w:val="005335EA"/>
    <w:rsid w:val="005353C9"/>
    <w:rsid w:val="0053682F"/>
    <w:rsid w:val="00540795"/>
    <w:rsid w:val="00540E14"/>
    <w:rsid w:val="005410A5"/>
    <w:rsid w:val="0054309B"/>
    <w:rsid w:val="005436A5"/>
    <w:rsid w:val="005478DF"/>
    <w:rsid w:val="00552C2B"/>
    <w:rsid w:val="00552E21"/>
    <w:rsid w:val="00556B29"/>
    <w:rsid w:val="00556B36"/>
    <w:rsid w:val="00557E0F"/>
    <w:rsid w:val="00563830"/>
    <w:rsid w:val="00564F19"/>
    <w:rsid w:val="00566BDF"/>
    <w:rsid w:val="00570925"/>
    <w:rsid w:val="00571CE4"/>
    <w:rsid w:val="00574ECA"/>
    <w:rsid w:val="00576F6E"/>
    <w:rsid w:val="005815CF"/>
    <w:rsid w:val="005839C1"/>
    <w:rsid w:val="00584297"/>
    <w:rsid w:val="00586688"/>
    <w:rsid w:val="00586B38"/>
    <w:rsid w:val="00586DB0"/>
    <w:rsid w:val="00587EDF"/>
    <w:rsid w:val="0059056D"/>
    <w:rsid w:val="005913E8"/>
    <w:rsid w:val="0059226A"/>
    <w:rsid w:val="005A2821"/>
    <w:rsid w:val="005A327D"/>
    <w:rsid w:val="005A7263"/>
    <w:rsid w:val="005B0693"/>
    <w:rsid w:val="005B11D2"/>
    <w:rsid w:val="005B1B39"/>
    <w:rsid w:val="005B2CB2"/>
    <w:rsid w:val="005B2EEC"/>
    <w:rsid w:val="005B343D"/>
    <w:rsid w:val="005B6115"/>
    <w:rsid w:val="005C0416"/>
    <w:rsid w:val="005C35CE"/>
    <w:rsid w:val="005C6D3C"/>
    <w:rsid w:val="005D0E66"/>
    <w:rsid w:val="005D62DC"/>
    <w:rsid w:val="005D6A60"/>
    <w:rsid w:val="005E00B4"/>
    <w:rsid w:val="005E0450"/>
    <w:rsid w:val="005E1A3A"/>
    <w:rsid w:val="005E26D0"/>
    <w:rsid w:val="005E2803"/>
    <w:rsid w:val="005E2F78"/>
    <w:rsid w:val="005E5647"/>
    <w:rsid w:val="005E5692"/>
    <w:rsid w:val="005E5B0A"/>
    <w:rsid w:val="005E5F5C"/>
    <w:rsid w:val="005E6C34"/>
    <w:rsid w:val="005E7D06"/>
    <w:rsid w:val="005F1762"/>
    <w:rsid w:val="005F4087"/>
    <w:rsid w:val="005F6771"/>
    <w:rsid w:val="006005A7"/>
    <w:rsid w:val="00601560"/>
    <w:rsid w:val="006015A9"/>
    <w:rsid w:val="00603423"/>
    <w:rsid w:val="00604523"/>
    <w:rsid w:val="00604E7B"/>
    <w:rsid w:val="00605704"/>
    <w:rsid w:val="00605C66"/>
    <w:rsid w:val="00606AA9"/>
    <w:rsid w:val="00611AB3"/>
    <w:rsid w:val="00613CDB"/>
    <w:rsid w:val="00616BC4"/>
    <w:rsid w:val="00621C76"/>
    <w:rsid w:val="0062256D"/>
    <w:rsid w:val="00623C38"/>
    <w:rsid w:val="00624221"/>
    <w:rsid w:val="00625048"/>
    <w:rsid w:val="00626FFC"/>
    <w:rsid w:val="00627792"/>
    <w:rsid w:val="00631B89"/>
    <w:rsid w:val="00632063"/>
    <w:rsid w:val="00632849"/>
    <w:rsid w:val="006346D8"/>
    <w:rsid w:val="00640A56"/>
    <w:rsid w:val="00641A86"/>
    <w:rsid w:val="006422C2"/>
    <w:rsid w:val="00646070"/>
    <w:rsid w:val="006505EA"/>
    <w:rsid w:val="0065165D"/>
    <w:rsid w:val="00655504"/>
    <w:rsid w:val="00655FF4"/>
    <w:rsid w:val="006578AB"/>
    <w:rsid w:val="0066132B"/>
    <w:rsid w:val="006616AD"/>
    <w:rsid w:val="00662C09"/>
    <w:rsid w:val="00662CE3"/>
    <w:rsid w:val="00663234"/>
    <w:rsid w:val="0066499D"/>
    <w:rsid w:val="006706CF"/>
    <w:rsid w:val="00676C00"/>
    <w:rsid w:val="00684806"/>
    <w:rsid w:val="0068519E"/>
    <w:rsid w:val="006872AA"/>
    <w:rsid w:val="00691870"/>
    <w:rsid w:val="006956F3"/>
    <w:rsid w:val="006975DF"/>
    <w:rsid w:val="00697C15"/>
    <w:rsid w:val="006A1381"/>
    <w:rsid w:val="006A22C6"/>
    <w:rsid w:val="006A4452"/>
    <w:rsid w:val="006A4A92"/>
    <w:rsid w:val="006A5897"/>
    <w:rsid w:val="006B0C86"/>
    <w:rsid w:val="006B5704"/>
    <w:rsid w:val="006B786C"/>
    <w:rsid w:val="006C1B14"/>
    <w:rsid w:val="006C1EE1"/>
    <w:rsid w:val="006C45A0"/>
    <w:rsid w:val="006C527E"/>
    <w:rsid w:val="006C5740"/>
    <w:rsid w:val="006C5985"/>
    <w:rsid w:val="006C5C31"/>
    <w:rsid w:val="006E1782"/>
    <w:rsid w:val="006E4ED6"/>
    <w:rsid w:val="006E7162"/>
    <w:rsid w:val="006E77B2"/>
    <w:rsid w:val="006E783B"/>
    <w:rsid w:val="006E7914"/>
    <w:rsid w:val="006F407A"/>
    <w:rsid w:val="006F4A97"/>
    <w:rsid w:val="006F6E2C"/>
    <w:rsid w:val="00703378"/>
    <w:rsid w:val="007073E4"/>
    <w:rsid w:val="00707AFD"/>
    <w:rsid w:val="00711D46"/>
    <w:rsid w:val="00713AC7"/>
    <w:rsid w:val="00716109"/>
    <w:rsid w:val="00716E08"/>
    <w:rsid w:val="00723A7E"/>
    <w:rsid w:val="0072409F"/>
    <w:rsid w:val="00732B31"/>
    <w:rsid w:val="00735051"/>
    <w:rsid w:val="00736AA8"/>
    <w:rsid w:val="00736B01"/>
    <w:rsid w:val="00740BFA"/>
    <w:rsid w:val="007419AA"/>
    <w:rsid w:val="00743D49"/>
    <w:rsid w:val="007443D3"/>
    <w:rsid w:val="007471F1"/>
    <w:rsid w:val="00747BDA"/>
    <w:rsid w:val="00753332"/>
    <w:rsid w:val="00754376"/>
    <w:rsid w:val="007554D4"/>
    <w:rsid w:val="007572BC"/>
    <w:rsid w:val="00760B60"/>
    <w:rsid w:val="00761661"/>
    <w:rsid w:val="00762B41"/>
    <w:rsid w:val="007639A4"/>
    <w:rsid w:val="00767400"/>
    <w:rsid w:val="00773242"/>
    <w:rsid w:val="00773E3D"/>
    <w:rsid w:val="00777CE2"/>
    <w:rsid w:val="007803AB"/>
    <w:rsid w:val="0078116B"/>
    <w:rsid w:val="00783284"/>
    <w:rsid w:val="00784F2F"/>
    <w:rsid w:val="007851FA"/>
    <w:rsid w:val="00786EFF"/>
    <w:rsid w:val="00792240"/>
    <w:rsid w:val="00792B95"/>
    <w:rsid w:val="00792C2E"/>
    <w:rsid w:val="00792F97"/>
    <w:rsid w:val="007940E5"/>
    <w:rsid w:val="0079431D"/>
    <w:rsid w:val="007973B5"/>
    <w:rsid w:val="007A1439"/>
    <w:rsid w:val="007A2A5A"/>
    <w:rsid w:val="007A51E2"/>
    <w:rsid w:val="007A52D8"/>
    <w:rsid w:val="007A5316"/>
    <w:rsid w:val="007A73AE"/>
    <w:rsid w:val="007A7C23"/>
    <w:rsid w:val="007B4783"/>
    <w:rsid w:val="007B5860"/>
    <w:rsid w:val="007B7B9F"/>
    <w:rsid w:val="007C32C9"/>
    <w:rsid w:val="007C3315"/>
    <w:rsid w:val="007C420C"/>
    <w:rsid w:val="007C426A"/>
    <w:rsid w:val="007C5644"/>
    <w:rsid w:val="007C6BFD"/>
    <w:rsid w:val="007C70CC"/>
    <w:rsid w:val="007C7B52"/>
    <w:rsid w:val="007D357A"/>
    <w:rsid w:val="007D453C"/>
    <w:rsid w:val="007D4C3E"/>
    <w:rsid w:val="007D4C43"/>
    <w:rsid w:val="007D7C4C"/>
    <w:rsid w:val="007E004D"/>
    <w:rsid w:val="007E1EFE"/>
    <w:rsid w:val="007E6748"/>
    <w:rsid w:val="007F0271"/>
    <w:rsid w:val="007F43A9"/>
    <w:rsid w:val="00801A25"/>
    <w:rsid w:val="008020CB"/>
    <w:rsid w:val="00803114"/>
    <w:rsid w:val="0080439C"/>
    <w:rsid w:val="00805494"/>
    <w:rsid w:val="00805550"/>
    <w:rsid w:val="00810D53"/>
    <w:rsid w:val="00815718"/>
    <w:rsid w:val="00817B64"/>
    <w:rsid w:val="00820734"/>
    <w:rsid w:val="00820B7D"/>
    <w:rsid w:val="0082651D"/>
    <w:rsid w:val="00827ED6"/>
    <w:rsid w:val="008307F9"/>
    <w:rsid w:val="00833746"/>
    <w:rsid w:val="008360FB"/>
    <w:rsid w:val="00837A19"/>
    <w:rsid w:val="00837B05"/>
    <w:rsid w:val="00840DD6"/>
    <w:rsid w:val="0084336C"/>
    <w:rsid w:val="00844117"/>
    <w:rsid w:val="0084546A"/>
    <w:rsid w:val="00847430"/>
    <w:rsid w:val="008477EA"/>
    <w:rsid w:val="0085031A"/>
    <w:rsid w:val="00850D61"/>
    <w:rsid w:val="00852687"/>
    <w:rsid w:val="008558A1"/>
    <w:rsid w:val="008560A3"/>
    <w:rsid w:val="00856564"/>
    <w:rsid w:val="008618E3"/>
    <w:rsid w:val="0086289B"/>
    <w:rsid w:val="008657FD"/>
    <w:rsid w:val="00871759"/>
    <w:rsid w:val="00873F18"/>
    <w:rsid w:val="00873FC2"/>
    <w:rsid w:val="0087424A"/>
    <w:rsid w:val="00875376"/>
    <w:rsid w:val="0087774E"/>
    <w:rsid w:val="00877A61"/>
    <w:rsid w:val="00877F0C"/>
    <w:rsid w:val="008803C7"/>
    <w:rsid w:val="008804AE"/>
    <w:rsid w:val="00880D48"/>
    <w:rsid w:val="00880EE9"/>
    <w:rsid w:val="00881845"/>
    <w:rsid w:val="00881BEB"/>
    <w:rsid w:val="008832E1"/>
    <w:rsid w:val="00885721"/>
    <w:rsid w:val="0088699C"/>
    <w:rsid w:val="0089000E"/>
    <w:rsid w:val="008900D4"/>
    <w:rsid w:val="00890685"/>
    <w:rsid w:val="008919E6"/>
    <w:rsid w:val="00892B0E"/>
    <w:rsid w:val="00894276"/>
    <w:rsid w:val="00895117"/>
    <w:rsid w:val="00895BA9"/>
    <w:rsid w:val="00895D8F"/>
    <w:rsid w:val="00895D99"/>
    <w:rsid w:val="008978E9"/>
    <w:rsid w:val="00897CA2"/>
    <w:rsid w:val="008A017D"/>
    <w:rsid w:val="008A0D19"/>
    <w:rsid w:val="008A0D7D"/>
    <w:rsid w:val="008A43F2"/>
    <w:rsid w:val="008A545F"/>
    <w:rsid w:val="008A5F9C"/>
    <w:rsid w:val="008B2B7E"/>
    <w:rsid w:val="008B5317"/>
    <w:rsid w:val="008C01AE"/>
    <w:rsid w:val="008C1324"/>
    <w:rsid w:val="008C3619"/>
    <w:rsid w:val="008C6283"/>
    <w:rsid w:val="008D03FF"/>
    <w:rsid w:val="008D257E"/>
    <w:rsid w:val="008E26EF"/>
    <w:rsid w:val="008E63A5"/>
    <w:rsid w:val="008E7EC9"/>
    <w:rsid w:val="008F0A03"/>
    <w:rsid w:val="008F1F4C"/>
    <w:rsid w:val="008F562A"/>
    <w:rsid w:val="008F639B"/>
    <w:rsid w:val="008F6CF7"/>
    <w:rsid w:val="009061E9"/>
    <w:rsid w:val="009065C9"/>
    <w:rsid w:val="00911C42"/>
    <w:rsid w:val="00911D87"/>
    <w:rsid w:val="00912AD8"/>
    <w:rsid w:val="0091404B"/>
    <w:rsid w:val="009148FC"/>
    <w:rsid w:val="0091601C"/>
    <w:rsid w:val="0091620A"/>
    <w:rsid w:val="009175FA"/>
    <w:rsid w:val="009253FA"/>
    <w:rsid w:val="00925747"/>
    <w:rsid w:val="00930F9D"/>
    <w:rsid w:val="009325F2"/>
    <w:rsid w:val="00932FCA"/>
    <w:rsid w:val="00935183"/>
    <w:rsid w:val="00935301"/>
    <w:rsid w:val="009359D7"/>
    <w:rsid w:val="0093606D"/>
    <w:rsid w:val="009410C3"/>
    <w:rsid w:val="00944AE4"/>
    <w:rsid w:val="00945F23"/>
    <w:rsid w:val="00950437"/>
    <w:rsid w:val="009506A7"/>
    <w:rsid w:val="009538CB"/>
    <w:rsid w:val="00957D53"/>
    <w:rsid w:val="009617F7"/>
    <w:rsid w:val="009648EC"/>
    <w:rsid w:val="009700BB"/>
    <w:rsid w:val="00970B7E"/>
    <w:rsid w:val="00970FD1"/>
    <w:rsid w:val="0097530F"/>
    <w:rsid w:val="009761F7"/>
    <w:rsid w:val="00976C0F"/>
    <w:rsid w:val="009772D4"/>
    <w:rsid w:val="009805E8"/>
    <w:rsid w:val="0099148F"/>
    <w:rsid w:val="009923A2"/>
    <w:rsid w:val="00992438"/>
    <w:rsid w:val="009A0CCE"/>
    <w:rsid w:val="009A31C6"/>
    <w:rsid w:val="009A442D"/>
    <w:rsid w:val="009A57A3"/>
    <w:rsid w:val="009A62CB"/>
    <w:rsid w:val="009B0645"/>
    <w:rsid w:val="009B1984"/>
    <w:rsid w:val="009B3D5C"/>
    <w:rsid w:val="009B5996"/>
    <w:rsid w:val="009B59A7"/>
    <w:rsid w:val="009B60D0"/>
    <w:rsid w:val="009C10AE"/>
    <w:rsid w:val="009C2994"/>
    <w:rsid w:val="009C2AFE"/>
    <w:rsid w:val="009C5EEA"/>
    <w:rsid w:val="009C7B3C"/>
    <w:rsid w:val="009C7F60"/>
    <w:rsid w:val="009D0D7A"/>
    <w:rsid w:val="009D39D8"/>
    <w:rsid w:val="009D4965"/>
    <w:rsid w:val="009D54EF"/>
    <w:rsid w:val="009D7A98"/>
    <w:rsid w:val="009E00EE"/>
    <w:rsid w:val="009E1537"/>
    <w:rsid w:val="009E3978"/>
    <w:rsid w:val="009E6F97"/>
    <w:rsid w:val="009E7C61"/>
    <w:rsid w:val="009F09B1"/>
    <w:rsid w:val="009F1064"/>
    <w:rsid w:val="009F1253"/>
    <w:rsid w:val="00A002FF"/>
    <w:rsid w:val="00A00F83"/>
    <w:rsid w:val="00A01501"/>
    <w:rsid w:val="00A01B29"/>
    <w:rsid w:val="00A0778D"/>
    <w:rsid w:val="00A12B73"/>
    <w:rsid w:val="00A13316"/>
    <w:rsid w:val="00A13F99"/>
    <w:rsid w:val="00A15981"/>
    <w:rsid w:val="00A23E25"/>
    <w:rsid w:val="00A24103"/>
    <w:rsid w:val="00A25D1C"/>
    <w:rsid w:val="00A272AC"/>
    <w:rsid w:val="00A361A4"/>
    <w:rsid w:val="00A400DD"/>
    <w:rsid w:val="00A4111D"/>
    <w:rsid w:val="00A43D05"/>
    <w:rsid w:val="00A43F66"/>
    <w:rsid w:val="00A46CC5"/>
    <w:rsid w:val="00A46E9A"/>
    <w:rsid w:val="00A4707B"/>
    <w:rsid w:val="00A5086C"/>
    <w:rsid w:val="00A511FE"/>
    <w:rsid w:val="00A52822"/>
    <w:rsid w:val="00A55718"/>
    <w:rsid w:val="00A62C10"/>
    <w:rsid w:val="00A6577E"/>
    <w:rsid w:val="00A66184"/>
    <w:rsid w:val="00A709EB"/>
    <w:rsid w:val="00A71233"/>
    <w:rsid w:val="00A75A31"/>
    <w:rsid w:val="00A80AF7"/>
    <w:rsid w:val="00A8306C"/>
    <w:rsid w:val="00A840B9"/>
    <w:rsid w:val="00A87793"/>
    <w:rsid w:val="00A87812"/>
    <w:rsid w:val="00A974A0"/>
    <w:rsid w:val="00A97E9D"/>
    <w:rsid w:val="00AA0BB2"/>
    <w:rsid w:val="00AA2418"/>
    <w:rsid w:val="00AA245D"/>
    <w:rsid w:val="00AA4B74"/>
    <w:rsid w:val="00AA4BC1"/>
    <w:rsid w:val="00AA53BC"/>
    <w:rsid w:val="00AB1013"/>
    <w:rsid w:val="00AB21EC"/>
    <w:rsid w:val="00AB345C"/>
    <w:rsid w:val="00AB56C0"/>
    <w:rsid w:val="00AB63F7"/>
    <w:rsid w:val="00AB6683"/>
    <w:rsid w:val="00AB6AD6"/>
    <w:rsid w:val="00AB76C4"/>
    <w:rsid w:val="00AC4430"/>
    <w:rsid w:val="00AC5CF9"/>
    <w:rsid w:val="00AC7F49"/>
    <w:rsid w:val="00AD2788"/>
    <w:rsid w:val="00AD6946"/>
    <w:rsid w:val="00AE0C47"/>
    <w:rsid w:val="00AE0C5B"/>
    <w:rsid w:val="00AE1031"/>
    <w:rsid w:val="00AE2BC0"/>
    <w:rsid w:val="00AE379A"/>
    <w:rsid w:val="00AE61DB"/>
    <w:rsid w:val="00AE683F"/>
    <w:rsid w:val="00AF2182"/>
    <w:rsid w:val="00AF3AA6"/>
    <w:rsid w:val="00AF493F"/>
    <w:rsid w:val="00AF56E4"/>
    <w:rsid w:val="00AF76F4"/>
    <w:rsid w:val="00B01964"/>
    <w:rsid w:val="00B04EE7"/>
    <w:rsid w:val="00B0604A"/>
    <w:rsid w:val="00B0776E"/>
    <w:rsid w:val="00B12A09"/>
    <w:rsid w:val="00B14411"/>
    <w:rsid w:val="00B14575"/>
    <w:rsid w:val="00B15950"/>
    <w:rsid w:val="00B170E9"/>
    <w:rsid w:val="00B2069F"/>
    <w:rsid w:val="00B2102C"/>
    <w:rsid w:val="00B21B67"/>
    <w:rsid w:val="00B228A1"/>
    <w:rsid w:val="00B2354A"/>
    <w:rsid w:val="00B24048"/>
    <w:rsid w:val="00B24626"/>
    <w:rsid w:val="00B250CE"/>
    <w:rsid w:val="00B25CDB"/>
    <w:rsid w:val="00B261BF"/>
    <w:rsid w:val="00B2641D"/>
    <w:rsid w:val="00B27955"/>
    <w:rsid w:val="00B279CB"/>
    <w:rsid w:val="00B31A44"/>
    <w:rsid w:val="00B3690B"/>
    <w:rsid w:val="00B41D58"/>
    <w:rsid w:val="00B468BF"/>
    <w:rsid w:val="00B46F19"/>
    <w:rsid w:val="00B4706D"/>
    <w:rsid w:val="00B47D65"/>
    <w:rsid w:val="00B519FD"/>
    <w:rsid w:val="00B54C22"/>
    <w:rsid w:val="00B554B8"/>
    <w:rsid w:val="00B5552F"/>
    <w:rsid w:val="00B555B2"/>
    <w:rsid w:val="00B56792"/>
    <w:rsid w:val="00B5691F"/>
    <w:rsid w:val="00B572AB"/>
    <w:rsid w:val="00B616D7"/>
    <w:rsid w:val="00B625F6"/>
    <w:rsid w:val="00B65279"/>
    <w:rsid w:val="00B6592A"/>
    <w:rsid w:val="00B679F0"/>
    <w:rsid w:val="00B71310"/>
    <w:rsid w:val="00B71FE3"/>
    <w:rsid w:val="00B809A3"/>
    <w:rsid w:val="00B80E25"/>
    <w:rsid w:val="00B80EFD"/>
    <w:rsid w:val="00B8411D"/>
    <w:rsid w:val="00B90361"/>
    <w:rsid w:val="00B9466D"/>
    <w:rsid w:val="00BA282A"/>
    <w:rsid w:val="00BA3C98"/>
    <w:rsid w:val="00BB0252"/>
    <w:rsid w:val="00BB0B90"/>
    <w:rsid w:val="00BB5FE6"/>
    <w:rsid w:val="00BC0450"/>
    <w:rsid w:val="00BC1930"/>
    <w:rsid w:val="00BC3F75"/>
    <w:rsid w:val="00BC59B8"/>
    <w:rsid w:val="00BC6597"/>
    <w:rsid w:val="00BC7020"/>
    <w:rsid w:val="00BD0D62"/>
    <w:rsid w:val="00BD2BF7"/>
    <w:rsid w:val="00BD55D4"/>
    <w:rsid w:val="00BD64AA"/>
    <w:rsid w:val="00BD7D8D"/>
    <w:rsid w:val="00BE05D7"/>
    <w:rsid w:val="00BE0BDD"/>
    <w:rsid w:val="00BE164F"/>
    <w:rsid w:val="00BE22C8"/>
    <w:rsid w:val="00BE7DFA"/>
    <w:rsid w:val="00C026CF"/>
    <w:rsid w:val="00C02A5E"/>
    <w:rsid w:val="00C030BD"/>
    <w:rsid w:val="00C03269"/>
    <w:rsid w:val="00C0358E"/>
    <w:rsid w:val="00C0501D"/>
    <w:rsid w:val="00C05FC5"/>
    <w:rsid w:val="00C07BDD"/>
    <w:rsid w:val="00C07CAD"/>
    <w:rsid w:val="00C11EE1"/>
    <w:rsid w:val="00C14F4F"/>
    <w:rsid w:val="00C2046A"/>
    <w:rsid w:val="00C23C01"/>
    <w:rsid w:val="00C2550A"/>
    <w:rsid w:val="00C26345"/>
    <w:rsid w:val="00C27100"/>
    <w:rsid w:val="00C30E8A"/>
    <w:rsid w:val="00C325D4"/>
    <w:rsid w:val="00C3353F"/>
    <w:rsid w:val="00C33CA1"/>
    <w:rsid w:val="00C33E4C"/>
    <w:rsid w:val="00C36320"/>
    <w:rsid w:val="00C3644A"/>
    <w:rsid w:val="00C41B52"/>
    <w:rsid w:val="00C47BAF"/>
    <w:rsid w:val="00C546E8"/>
    <w:rsid w:val="00C57690"/>
    <w:rsid w:val="00C60450"/>
    <w:rsid w:val="00C60A14"/>
    <w:rsid w:val="00C614E2"/>
    <w:rsid w:val="00C633A9"/>
    <w:rsid w:val="00C63BAF"/>
    <w:rsid w:val="00C6548F"/>
    <w:rsid w:val="00C66590"/>
    <w:rsid w:val="00C670D4"/>
    <w:rsid w:val="00C67154"/>
    <w:rsid w:val="00C7389B"/>
    <w:rsid w:val="00C745FF"/>
    <w:rsid w:val="00C77418"/>
    <w:rsid w:val="00C81A52"/>
    <w:rsid w:val="00C869FA"/>
    <w:rsid w:val="00C87698"/>
    <w:rsid w:val="00C87ABA"/>
    <w:rsid w:val="00C94073"/>
    <w:rsid w:val="00CA01CB"/>
    <w:rsid w:val="00CA1446"/>
    <w:rsid w:val="00CA1BCF"/>
    <w:rsid w:val="00CA30DF"/>
    <w:rsid w:val="00CA3A12"/>
    <w:rsid w:val="00CA610F"/>
    <w:rsid w:val="00CB11EA"/>
    <w:rsid w:val="00CB137B"/>
    <w:rsid w:val="00CB58AE"/>
    <w:rsid w:val="00CB669E"/>
    <w:rsid w:val="00CC143D"/>
    <w:rsid w:val="00CC1F35"/>
    <w:rsid w:val="00CC5354"/>
    <w:rsid w:val="00CC6D50"/>
    <w:rsid w:val="00CD01D1"/>
    <w:rsid w:val="00CD02E9"/>
    <w:rsid w:val="00CD0DC8"/>
    <w:rsid w:val="00CD5962"/>
    <w:rsid w:val="00CD7090"/>
    <w:rsid w:val="00CD782F"/>
    <w:rsid w:val="00CE0C43"/>
    <w:rsid w:val="00CE40C8"/>
    <w:rsid w:val="00CE4B44"/>
    <w:rsid w:val="00CF02AC"/>
    <w:rsid w:val="00CF32D5"/>
    <w:rsid w:val="00CF485E"/>
    <w:rsid w:val="00CF4993"/>
    <w:rsid w:val="00CF5056"/>
    <w:rsid w:val="00D026BB"/>
    <w:rsid w:val="00D04DFA"/>
    <w:rsid w:val="00D06535"/>
    <w:rsid w:val="00D10874"/>
    <w:rsid w:val="00D111D5"/>
    <w:rsid w:val="00D13A33"/>
    <w:rsid w:val="00D220BD"/>
    <w:rsid w:val="00D23342"/>
    <w:rsid w:val="00D23702"/>
    <w:rsid w:val="00D31290"/>
    <w:rsid w:val="00D32C02"/>
    <w:rsid w:val="00D33126"/>
    <w:rsid w:val="00D34CAE"/>
    <w:rsid w:val="00D34D38"/>
    <w:rsid w:val="00D41150"/>
    <w:rsid w:val="00D46785"/>
    <w:rsid w:val="00D52509"/>
    <w:rsid w:val="00D52553"/>
    <w:rsid w:val="00D53313"/>
    <w:rsid w:val="00D566D0"/>
    <w:rsid w:val="00D57070"/>
    <w:rsid w:val="00D6141D"/>
    <w:rsid w:val="00D624C8"/>
    <w:rsid w:val="00D63061"/>
    <w:rsid w:val="00D662C0"/>
    <w:rsid w:val="00D67CB5"/>
    <w:rsid w:val="00D720E8"/>
    <w:rsid w:val="00D73B87"/>
    <w:rsid w:val="00D73F81"/>
    <w:rsid w:val="00D75DED"/>
    <w:rsid w:val="00D84CCB"/>
    <w:rsid w:val="00D84D79"/>
    <w:rsid w:val="00D86DC8"/>
    <w:rsid w:val="00D90EAE"/>
    <w:rsid w:val="00D9455B"/>
    <w:rsid w:val="00D94F2C"/>
    <w:rsid w:val="00D96230"/>
    <w:rsid w:val="00D96289"/>
    <w:rsid w:val="00DA087A"/>
    <w:rsid w:val="00DA4CCD"/>
    <w:rsid w:val="00DA5E12"/>
    <w:rsid w:val="00DA60A4"/>
    <w:rsid w:val="00DB189C"/>
    <w:rsid w:val="00DB4247"/>
    <w:rsid w:val="00DB47BE"/>
    <w:rsid w:val="00DB5C49"/>
    <w:rsid w:val="00DC770F"/>
    <w:rsid w:val="00DC7F98"/>
    <w:rsid w:val="00DD3809"/>
    <w:rsid w:val="00DD52E6"/>
    <w:rsid w:val="00DD52E9"/>
    <w:rsid w:val="00DD606F"/>
    <w:rsid w:val="00DD78BB"/>
    <w:rsid w:val="00DE2CE2"/>
    <w:rsid w:val="00DE5924"/>
    <w:rsid w:val="00DE5FBB"/>
    <w:rsid w:val="00DE6183"/>
    <w:rsid w:val="00DE6948"/>
    <w:rsid w:val="00DE757D"/>
    <w:rsid w:val="00DF52E2"/>
    <w:rsid w:val="00DF53F6"/>
    <w:rsid w:val="00DF7753"/>
    <w:rsid w:val="00DF7780"/>
    <w:rsid w:val="00E02DCF"/>
    <w:rsid w:val="00E06491"/>
    <w:rsid w:val="00E07E72"/>
    <w:rsid w:val="00E12DF7"/>
    <w:rsid w:val="00E1361F"/>
    <w:rsid w:val="00E15291"/>
    <w:rsid w:val="00E17D19"/>
    <w:rsid w:val="00E20955"/>
    <w:rsid w:val="00E21B47"/>
    <w:rsid w:val="00E22AD4"/>
    <w:rsid w:val="00E23348"/>
    <w:rsid w:val="00E25DD3"/>
    <w:rsid w:val="00E30EA6"/>
    <w:rsid w:val="00E32FFE"/>
    <w:rsid w:val="00E366AC"/>
    <w:rsid w:val="00E36E87"/>
    <w:rsid w:val="00E406B8"/>
    <w:rsid w:val="00E417C6"/>
    <w:rsid w:val="00E437EC"/>
    <w:rsid w:val="00E448AF"/>
    <w:rsid w:val="00E541DD"/>
    <w:rsid w:val="00E54C4B"/>
    <w:rsid w:val="00E56D34"/>
    <w:rsid w:val="00E57010"/>
    <w:rsid w:val="00E60868"/>
    <w:rsid w:val="00E61A9F"/>
    <w:rsid w:val="00E668AE"/>
    <w:rsid w:val="00E720F3"/>
    <w:rsid w:val="00E7259A"/>
    <w:rsid w:val="00E72BE6"/>
    <w:rsid w:val="00E741CE"/>
    <w:rsid w:val="00E75499"/>
    <w:rsid w:val="00E76C49"/>
    <w:rsid w:val="00E77159"/>
    <w:rsid w:val="00E815ED"/>
    <w:rsid w:val="00E86792"/>
    <w:rsid w:val="00E874DC"/>
    <w:rsid w:val="00E90491"/>
    <w:rsid w:val="00E92957"/>
    <w:rsid w:val="00E92BC9"/>
    <w:rsid w:val="00E92D15"/>
    <w:rsid w:val="00E932AB"/>
    <w:rsid w:val="00E937A3"/>
    <w:rsid w:val="00E97FE5"/>
    <w:rsid w:val="00EA0AB7"/>
    <w:rsid w:val="00EA317D"/>
    <w:rsid w:val="00EA4FF3"/>
    <w:rsid w:val="00EA6696"/>
    <w:rsid w:val="00EB0447"/>
    <w:rsid w:val="00EB07F6"/>
    <w:rsid w:val="00EB218C"/>
    <w:rsid w:val="00EB30E9"/>
    <w:rsid w:val="00EB3F63"/>
    <w:rsid w:val="00EB4E1F"/>
    <w:rsid w:val="00EB4F33"/>
    <w:rsid w:val="00EB5784"/>
    <w:rsid w:val="00EB5E90"/>
    <w:rsid w:val="00EB7479"/>
    <w:rsid w:val="00EB7D95"/>
    <w:rsid w:val="00EC04E4"/>
    <w:rsid w:val="00EC0A67"/>
    <w:rsid w:val="00EC1A14"/>
    <w:rsid w:val="00EC2DAF"/>
    <w:rsid w:val="00EC3386"/>
    <w:rsid w:val="00EC42E8"/>
    <w:rsid w:val="00EC56C9"/>
    <w:rsid w:val="00EC5EA5"/>
    <w:rsid w:val="00EC6D74"/>
    <w:rsid w:val="00ED18BD"/>
    <w:rsid w:val="00ED1C93"/>
    <w:rsid w:val="00ED4D5E"/>
    <w:rsid w:val="00ED7AB1"/>
    <w:rsid w:val="00EE21C1"/>
    <w:rsid w:val="00EE3C8A"/>
    <w:rsid w:val="00EE4583"/>
    <w:rsid w:val="00EE469C"/>
    <w:rsid w:val="00EE565B"/>
    <w:rsid w:val="00EE751B"/>
    <w:rsid w:val="00EE7F42"/>
    <w:rsid w:val="00EF1B94"/>
    <w:rsid w:val="00EF3C7E"/>
    <w:rsid w:val="00EF4517"/>
    <w:rsid w:val="00EF48F2"/>
    <w:rsid w:val="00F02CA3"/>
    <w:rsid w:val="00F0366F"/>
    <w:rsid w:val="00F0380D"/>
    <w:rsid w:val="00F04783"/>
    <w:rsid w:val="00F052CE"/>
    <w:rsid w:val="00F0532C"/>
    <w:rsid w:val="00F06314"/>
    <w:rsid w:val="00F11C8C"/>
    <w:rsid w:val="00F12FC7"/>
    <w:rsid w:val="00F158BB"/>
    <w:rsid w:val="00F16359"/>
    <w:rsid w:val="00F235EC"/>
    <w:rsid w:val="00F261DD"/>
    <w:rsid w:val="00F2746C"/>
    <w:rsid w:val="00F27545"/>
    <w:rsid w:val="00F27B76"/>
    <w:rsid w:val="00F305DD"/>
    <w:rsid w:val="00F3268F"/>
    <w:rsid w:val="00F32EBD"/>
    <w:rsid w:val="00F36989"/>
    <w:rsid w:val="00F370F7"/>
    <w:rsid w:val="00F37BDB"/>
    <w:rsid w:val="00F44545"/>
    <w:rsid w:val="00F46AF7"/>
    <w:rsid w:val="00F51CA5"/>
    <w:rsid w:val="00F60F95"/>
    <w:rsid w:val="00F61883"/>
    <w:rsid w:val="00F62B46"/>
    <w:rsid w:val="00F644ED"/>
    <w:rsid w:val="00F70439"/>
    <w:rsid w:val="00F71A66"/>
    <w:rsid w:val="00F73343"/>
    <w:rsid w:val="00F75A7F"/>
    <w:rsid w:val="00F85E31"/>
    <w:rsid w:val="00F86136"/>
    <w:rsid w:val="00F90875"/>
    <w:rsid w:val="00F908F7"/>
    <w:rsid w:val="00F91139"/>
    <w:rsid w:val="00F9412E"/>
    <w:rsid w:val="00F95709"/>
    <w:rsid w:val="00F97F81"/>
    <w:rsid w:val="00FA0EEE"/>
    <w:rsid w:val="00FA4AB8"/>
    <w:rsid w:val="00FA63A8"/>
    <w:rsid w:val="00FA74A2"/>
    <w:rsid w:val="00FB311C"/>
    <w:rsid w:val="00FB4B5E"/>
    <w:rsid w:val="00FB4DA0"/>
    <w:rsid w:val="00FB5DFE"/>
    <w:rsid w:val="00FB608E"/>
    <w:rsid w:val="00FB63BE"/>
    <w:rsid w:val="00FB6566"/>
    <w:rsid w:val="00FC10F0"/>
    <w:rsid w:val="00FC2B71"/>
    <w:rsid w:val="00FC3203"/>
    <w:rsid w:val="00FD15E5"/>
    <w:rsid w:val="00FD16CB"/>
    <w:rsid w:val="00FD298F"/>
    <w:rsid w:val="00FD7A8C"/>
    <w:rsid w:val="00FE1DE6"/>
    <w:rsid w:val="00FE2E89"/>
    <w:rsid w:val="00FE4893"/>
    <w:rsid w:val="00FF1997"/>
    <w:rsid w:val="00FF1A56"/>
    <w:rsid w:val="00FF3E7D"/>
    <w:rsid w:val="00FF41E0"/>
    <w:rsid w:val="00FF4B60"/>
    <w:rsid w:val="00FF5D68"/>
    <w:rsid w:val="00FF6585"/>
    <w:rsid w:val="00FF7C18"/>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6D2E2D2"/>
  <w15:chartTrackingRefBased/>
  <w15:docId w15:val="{063B967E-EE44-4376-84D0-7AC6764064D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US"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90875"/>
    <w:pPr>
      <w:jc w:val="both"/>
    </w:pPr>
  </w:style>
  <w:style w:type="paragraph" w:styleId="Heading1">
    <w:name w:val="heading 1"/>
    <w:basedOn w:val="Normal"/>
    <w:next w:val="Normal"/>
    <w:link w:val="Heading1Char"/>
    <w:uiPriority w:val="9"/>
    <w:qFormat/>
    <w:rsid w:val="00DD606F"/>
    <w:pPr>
      <w:keepNext/>
      <w:keepLines/>
      <w:spacing w:before="360" w:after="80"/>
      <w:outlineLvl w:val="0"/>
    </w:pPr>
    <w:rPr>
      <w:rFonts w:asciiTheme="majorHAnsi" w:eastAsiaTheme="majorEastAsia" w:hAnsiTheme="majorHAnsi" w:cstheme="majorBidi"/>
      <w:color w:val="000000" w:themeColor="text1"/>
      <w:sz w:val="32"/>
      <w:szCs w:val="32"/>
    </w:rPr>
  </w:style>
  <w:style w:type="paragraph" w:styleId="Heading2">
    <w:name w:val="heading 2"/>
    <w:basedOn w:val="Normal"/>
    <w:next w:val="Normal"/>
    <w:link w:val="Heading2Char"/>
    <w:uiPriority w:val="9"/>
    <w:unhideWhenUsed/>
    <w:qFormat/>
    <w:rsid w:val="000F128B"/>
    <w:pPr>
      <w:keepNext/>
      <w:keepLines/>
      <w:numPr>
        <w:numId w:val="11"/>
      </w:numPr>
      <w:spacing w:before="160" w:after="80"/>
      <w:outlineLvl w:val="1"/>
    </w:pPr>
    <w:rPr>
      <w:rFonts w:asciiTheme="majorHAnsi" w:eastAsiaTheme="majorEastAsia" w:hAnsiTheme="majorHAnsi" w:cstheme="majorBidi"/>
      <w:sz w:val="28"/>
      <w:szCs w:val="28"/>
    </w:rPr>
  </w:style>
  <w:style w:type="paragraph" w:styleId="Heading3">
    <w:name w:val="heading 3"/>
    <w:basedOn w:val="Normal"/>
    <w:next w:val="Normal"/>
    <w:link w:val="Heading3Char"/>
    <w:uiPriority w:val="9"/>
    <w:semiHidden/>
    <w:unhideWhenUsed/>
    <w:qFormat/>
    <w:rsid w:val="00D6141D"/>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D6141D"/>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D6141D"/>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D6141D"/>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D6141D"/>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D6141D"/>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D6141D"/>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DD606F"/>
    <w:rPr>
      <w:rFonts w:asciiTheme="majorHAnsi" w:eastAsiaTheme="majorEastAsia" w:hAnsiTheme="majorHAnsi" w:cstheme="majorBidi"/>
      <w:color w:val="000000" w:themeColor="text1"/>
      <w:sz w:val="32"/>
      <w:szCs w:val="32"/>
    </w:rPr>
  </w:style>
  <w:style w:type="character" w:customStyle="1" w:styleId="Heading2Char">
    <w:name w:val="Heading 2 Char"/>
    <w:basedOn w:val="DefaultParagraphFont"/>
    <w:link w:val="Heading2"/>
    <w:uiPriority w:val="9"/>
    <w:rsid w:val="000F128B"/>
    <w:rPr>
      <w:rFonts w:asciiTheme="majorHAnsi" w:eastAsiaTheme="majorEastAsia" w:hAnsiTheme="majorHAnsi" w:cstheme="majorBidi"/>
      <w:sz w:val="28"/>
      <w:szCs w:val="28"/>
      <w:lang w:val="en-US"/>
    </w:rPr>
  </w:style>
  <w:style w:type="character" w:customStyle="1" w:styleId="Heading3Char">
    <w:name w:val="Heading 3 Char"/>
    <w:basedOn w:val="DefaultParagraphFont"/>
    <w:link w:val="Heading3"/>
    <w:uiPriority w:val="9"/>
    <w:semiHidden/>
    <w:rsid w:val="00D6141D"/>
    <w:rPr>
      <w:rFonts w:eastAsiaTheme="majorEastAsia" w:cstheme="majorBidi"/>
      <w:color w:val="2F5496" w:themeColor="accent1" w:themeShade="BF"/>
      <w:sz w:val="28"/>
      <w:szCs w:val="28"/>
      <w:lang w:val="nl-NL"/>
    </w:rPr>
  </w:style>
  <w:style w:type="character" w:customStyle="1" w:styleId="Heading4Char">
    <w:name w:val="Heading 4 Char"/>
    <w:basedOn w:val="DefaultParagraphFont"/>
    <w:link w:val="Heading4"/>
    <w:uiPriority w:val="9"/>
    <w:semiHidden/>
    <w:rsid w:val="00D6141D"/>
    <w:rPr>
      <w:rFonts w:eastAsiaTheme="majorEastAsia" w:cstheme="majorBidi"/>
      <w:i/>
      <w:iCs/>
      <w:color w:val="2F5496" w:themeColor="accent1" w:themeShade="BF"/>
      <w:lang w:val="nl-NL"/>
    </w:rPr>
  </w:style>
  <w:style w:type="character" w:customStyle="1" w:styleId="Heading5Char">
    <w:name w:val="Heading 5 Char"/>
    <w:basedOn w:val="DefaultParagraphFont"/>
    <w:link w:val="Heading5"/>
    <w:uiPriority w:val="9"/>
    <w:semiHidden/>
    <w:rsid w:val="00D6141D"/>
    <w:rPr>
      <w:rFonts w:eastAsiaTheme="majorEastAsia" w:cstheme="majorBidi"/>
      <w:color w:val="2F5496" w:themeColor="accent1" w:themeShade="BF"/>
      <w:lang w:val="nl-NL"/>
    </w:rPr>
  </w:style>
  <w:style w:type="character" w:customStyle="1" w:styleId="Heading6Char">
    <w:name w:val="Heading 6 Char"/>
    <w:basedOn w:val="DefaultParagraphFont"/>
    <w:link w:val="Heading6"/>
    <w:uiPriority w:val="9"/>
    <w:semiHidden/>
    <w:rsid w:val="00D6141D"/>
    <w:rPr>
      <w:rFonts w:eastAsiaTheme="majorEastAsia" w:cstheme="majorBidi"/>
      <w:i/>
      <w:iCs/>
      <w:color w:val="595959" w:themeColor="text1" w:themeTint="A6"/>
      <w:lang w:val="nl-NL"/>
    </w:rPr>
  </w:style>
  <w:style w:type="character" w:customStyle="1" w:styleId="Heading7Char">
    <w:name w:val="Heading 7 Char"/>
    <w:basedOn w:val="DefaultParagraphFont"/>
    <w:link w:val="Heading7"/>
    <w:uiPriority w:val="9"/>
    <w:semiHidden/>
    <w:rsid w:val="00D6141D"/>
    <w:rPr>
      <w:rFonts w:eastAsiaTheme="majorEastAsia" w:cstheme="majorBidi"/>
      <w:color w:val="595959" w:themeColor="text1" w:themeTint="A6"/>
      <w:lang w:val="nl-NL"/>
    </w:rPr>
  </w:style>
  <w:style w:type="character" w:customStyle="1" w:styleId="Heading8Char">
    <w:name w:val="Heading 8 Char"/>
    <w:basedOn w:val="DefaultParagraphFont"/>
    <w:link w:val="Heading8"/>
    <w:uiPriority w:val="9"/>
    <w:semiHidden/>
    <w:rsid w:val="00D6141D"/>
    <w:rPr>
      <w:rFonts w:eastAsiaTheme="majorEastAsia" w:cstheme="majorBidi"/>
      <w:i/>
      <w:iCs/>
      <w:color w:val="272727" w:themeColor="text1" w:themeTint="D8"/>
      <w:lang w:val="nl-NL"/>
    </w:rPr>
  </w:style>
  <w:style w:type="character" w:customStyle="1" w:styleId="Heading9Char">
    <w:name w:val="Heading 9 Char"/>
    <w:basedOn w:val="DefaultParagraphFont"/>
    <w:link w:val="Heading9"/>
    <w:uiPriority w:val="9"/>
    <w:semiHidden/>
    <w:rsid w:val="00D6141D"/>
    <w:rPr>
      <w:rFonts w:eastAsiaTheme="majorEastAsia" w:cstheme="majorBidi"/>
      <w:color w:val="272727" w:themeColor="text1" w:themeTint="D8"/>
      <w:lang w:val="nl-NL"/>
    </w:rPr>
  </w:style>
  <w:style w:type="paragraph" w:styleId="Title">
    <w:name w:val="Title"/>
    <w:basedOn w:val="Normal"/>
    <w:next w:val="Normal"/>
    <w:link w:val="TitleChar"/>
    <w:uiPriority w:val="10"/>
    <w:qFormat/>
    <w:rsid w:val="00D6141D"/>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D6141D"/>
    <w:rPr>
      <w:rFonts w:asciiTheme="majorHAnsi" w:eastAsiaTheme="majorEastAsia" w:hAnsiTheme="majorHAnsi" w:cstheme="majorBidi"/>
      <w:spacing w:val="-10"/>
      <w:kern w:val="28"/>
      <w:sz w:val="56"/>
      <w:szCs w:val="56"/>
      <w:lang w:val="nl-NL"/>
    </w:rPr>
  </w:style>
  <w:style w:type="paragraph" w:styleId="Subtitle">
    <w:name w:val="Subtitle"/>
    <w:basedOn w:val="Normal"/>
    <w:next w:val="Normal"/>
    <w:link w:val="SubtitleChar"/>
    <w:uiPriority w:val="11"/>
    <w:qFormat/>
    <w:rsid w:val="00D6141D"/>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D6141D"/>
    <w:rPr>
      <w:rFonts w:eastAsiaTheme="majorEastAsia" w:cstheme="majorBidi"/>
      <w:color w:val="595959" w:themeColor="text1" w:themeTint="A6"/>
      <w:spacing w:val="15"/>
      <w:sz w:val="28"/>
      <w:szCs w:val="28"/>
      <w:lang w:val="nl-NL"/>
    </w:rPr>
  </w:style>
  <w:style w:type="paragraph" w:styleId="Quote">
    <w:name w:val="Quote"/>
    <w:basedOn w:val="Normal"/>
    <w:next w:val="Normal"/>
    <w:link w:val="QuoteChar"/>
    <w:uiPriority w:val="29"/>
    <w:qFormat/>
    <w:rsid w:val="00D6141D"/>
    <w:pPr>
      <w:spacing w:before="160"/>
      <w:jc w:val="center"/>
    </w:pPr>
    <w:rPr>
      <w:i/>
      <w:iCs/>
      <w:color w:val="404040" w:themeColor="text1" w:themeTint="BF"/>
    </w:rPr>
  </w:style>
  <w:style w:type="character" w:customStyle="1" w:styleId="QuoteChar">
    <w:name w:val="Quote Char"/>
    <w:basedOn w:val="DefaultParagraphFont"/>
    <w:link w:val="Quote"/>
    <w:uiPriority w:val="29"/>
    <w:rsid w:val="00D6141D"/>
    <w:rPr>
      <w:i/>
      <w:iCs/>
      <w:color w:val="404040" w:themeColor="text1" w:themeTint="BF"/>
      <w:lang w:val="nl-NL"/>
    </w:rPr>
  </w:style>
  <w:style w:type="paragraph" w:styleId="ListParagraph">
    <w:name w:val="List Paragraph"/>
    <w:basedOn w:val="Normal"/>
    <w:uiPriority w:val="34"/>
    <w:qFormat/>
    <w:rsid w:val="00D6141D"/>
    <w:pPr>
      <w:ind w:left="720"/>
      <w:contextualSpacing/>
    </w:pPr>
  </w:style>
  <w:style w:type="character" w:styleId="IntenseEmphasis">
    <w:name w:val="Intense Emphasis"/>
    <w:basedOn w:val="DefaultParagraphFont"/>
    <w:uiPriority w:val="21"/>
    <w:qFormat/>
    <w:rsid w:val="00D6141D"/>
    <w:rPr>
      <w:i/>
      <w:iCs/>
      <w:color w:val="2F5496" w:themeColor="accent1" w:themeShade="BF"/>
    </w:rPr>
  </w:style>
  <w:style w:type="paragraph" w:styleId="IntenseQuote">
    <w:name w:val="Intense Quote"/>
    <w:basedOn w:val="Normal"/>
    <w:next w:val="Normal"/>
    <w:link w:val="IntenseQuoteChar"/>
    <w:uiPriority w:val="30"/>
    <w:qFormat/>
    <w:rsid w:val="00D6141D"/>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D6141D"/>
    <w:rPr>
      <w:i/>
      <w:iCs/>
      <w:color w:val="2F5496" w:themeColor="accent1" w:themeShade="BF"/>
      <w:lang w:val="nl-NL"/>
    </w:rPr>
  </w:style>
  <w:style w:type="character" w:styleId="IntenseReference">
    <w:name w:val="Intense Reference"/>
    <w:basedOn w:val="DefaultParagraphFont"/>
    <w:uiPriority w:val="32"/>
    <w:qFormat/>
    <w:rsid w:val="00D6141D"/>
    <w:rPr>
      <w:b/>
      <w:bCs/>
      <w:smallCaps/>
      <w:color w:val="2F5496" w:themeColor="accent1" w:themeShade="BF"/>
      <w:spacing w:val="5"/>
    </w:rPr>
  </w:style>
  <w:style w:type="character" w:styleId="Hyperlink">
    <w:name w:val="Hyperlink"/>
    <w:basedOn w:val="DefaultParagraphFont"/>
    <w:uiPriority w:val="99"/>
    <w:unhideWhenUsed/>
    <w:rsid w:val="008A5F9C"/>
    <w:rPr>
      <w:color w:val="0563C1" w:themeColor="hyperlink"/>
      <w:u w:val="single"/>
    </w:rPr>
  </w:style>
  <w:style w:type="character" w:styleId="UnresolvedMention">
    <w:name w:val="Unresolved Mention"/>
    <w:basedOn w:val="DefaultParagraphFont"/>
    <w:uiPriority w:val="99"/>
    <w:semiHidden/>
    <w:unhideWhenUsed/>
    <w:rsid w:val="008A5F9C"/>
    <w:rPr>
      <w:color w:val="605E5C"/>
      <w:shd w:val="clear" w:color="auto" w:fill="E1DFDD"/>
    </w:rPr>
  </w:style>
  <w:style w:type="character" w:styleId="PlaceholderText">
    <w:name w:val="Placeholder Text"/>
    <w:basedOn w:val="DefaultParagraphFont"/>
    <w:uiPriority w:val="99"/>
    <w:semiHidden/>
    <w:rsid w:val="008A545F"/>
    <w:rPr>
      <w:color w:val="666666"/>
    </w:rPr>
  </w:style>
  <w:style w:type="paragraph" w:styleId="NormalWeb">
    <w:name w:val="Normal (Web)"/>
    <w:basedOn w:val="Normal"/>
    <w:uiPriority w:val="99"/>
    <w:unhideWhenUsed/>
    <w:rsid w:val="00155C72"/>
    <w:rPr>
      <w:rFonts w:ascii="Times New Roman" w:hAnsi="Times New Roman" w:cs="Times New Roman"/>
      <w:sz w:val="24"/>
      <w:szCs w:val="24"/>
    </w:rPr>
  </w:style>
  <w:style w:type="character" w:styleId="CommentReference">
    <w:name w:val="annotation reference"/>
    <w:basedOn w:val="DefaultParagraphFont"/>
    <w:uiPriority w:val="99"/>
    <w:semiHidden/>
    <w:unhideWhenUsed/>
    <w:rsid w:val="007A7C23"/>
    <w:rPr>
      <w:sz w:val="16"/>
      <w:szCs w:val="16"/>
    </w:rPr>
  </w:style>
  <w:style w:type="paragraph" w:styleId="CommentText">
    <w:name w:val="annotation text"/>
    <w:basedOn w:val="Normal"/>
    <w:link w:val="CommentTextChar"/>
    <w:uiPriority w:val="99"/>
    <w:unhideWhenUsed/>
    <w:rsid w:val="007A7C23"/>
    <w:pPr>
      <w:spacing w:line="240" w:lineRule="auto"/>
    </w:pPr>
    <w:rPr>
      <w:sz w:val="20"/>
      <w:szCs w:val="20"/>
    </w:rPr>
  </w:style>
  <w:style w:type="character" w:customStyle="1" w:styleId="CommentTextChar">
    <w:name w:val="Comment Text Char"/>
    <w:basedOn w:val="DefaultParagraphFont"/>
    <w:link w:val="CommentText"/>
    <w:uiPriority w:val="99"/>
    <w:rsid w:val="007A7C23"/>
    <w:rPr>
      <w:sz w:val="20"/>
      <w:szCs w:val="20"/>
      <w:lang w:val="nl-NL"/>
    </w:rPr>
  </w:style>
  <w:style w:type="paragraph" w:styleId="CommentSubject">
    <w:name w:val="annotation subject"/>
    <w:basedOn w:val="CommentText"/>
    <w:next w:val="CommentText"/>
    <w:link w:val="CommentSubjectChar"/>
    <w:uiPriority w:val="99"/>
    <w:semiHidden/>
    <w:unhideWhenUsed/>
    <w:rsid w:val="007A7C23"/>
    <w:rPr>
      <w:b/>
      <w:bCs/>
    </w:rPr>
  </w:style>
  <w:style w:type="character" w:customStyle="1" w:styleId="CommentSubjectChar">
    <w:name w:val="Comment Subject Char"/>
    <w:basedOn w:val="CommentTextChar"/>
    <w:link w:val="CommentSubject"/>
    <w:uiPriority w:val="99"/>
    <w:semiHidden/>
    <w:rsid w:val="007A7C23"/>
    <w:rPr>
      <w:b/>
      <w:bCs/>
      <w:sz w:val="20"/>
      <w:szCs w:val="20"/>
      <w:lang w:val="nl-NL"/>
    </w:rPr>
  </w:style>
  <w:style w:type="character" w:styleId="FollowedHyperlink">
    <w:name w:val="FollowedHyperlink"/>
    <w:basedOn w:val="DefaultParagraphFont"/>
    <w:uiPriority w:val="99"/>
    <w:semiHidden/>
    <w:unhideWhenUsed/>
    <w:rsid w:val="00030EA3"/>
    <w:rPr>
      <w:color w:val="954F72" w:themeColor="followedHyperlink"/>
      <w:u w:val="single"/>
    </w:rPr>
  </w:style>
  <w:style w:type="paragraph" w:styleId="Revision">
    <w:name w:val="Revision"/>
    <w:hidden/>
    <w:uiPriority w:val="99"/>
    <w:semiHidden/>
    <w:rsid w:val="00191071"/>
    <w:pPr>
      <w:spacing w:after="0" w:line="240" w:lineRule="auto"/>
    </w:pPr>
  </w:style>
  <w:style w:type="paragraph" w:styleId="Header">
    <w:name w:val="header"/>
    <w:basedOn w:val="Normal"/>
    <w:link w:val="HeaderChar"/>
    <w:uiPriority w:val="99"/>
    <w:unhideWhenUsed/>
    <w:rsid w:val="007A73AE"/>
    <w:pPr>
      <w:tabs>
        <w:tab w:val="center" w:pos="4680"/>
        <w:tab w:val="right" w:pos="9360"/>
      </w:tabs>
      <w:spacing w:after="0" w:line="240" w:lineRule="auto"/>
    </w:pPr>
  </w:style>
  <w:style w:type="character" w:customStyle="1" w:styleId="HeaderChar">
    <w:name w:val="Header Char"/>
    <w:basedOn w:val="DefaultParagraphFont"/>
    <w:link w:val="Header"/>
    <w:uiPriority w:val="99"/>
    <w:rsid w:val="007A73AE"/>
    <w:rPr>
      <w:lang w:val="en-US"/>
    </w:rPr>
  </w:style>
  <w:style w:type="paragraph" w:styleId="Footer">
    <w:name w:val="footer"/>
    <w:basedOn w:val="Normal"/>
    <w:link w:val="FooterChar"/>
    <w:uiPriority w:val="99"/>
    <w:unhideWhenUsed/>
    <w:rsid w:val="007A73AE"/>
    <w:pPr>
      <w:tabs>
        <w:tab w:val="center" w:pos="4680"/>
        <w:tab w:val="right" w:pos="9360"/>
      </w:tabs>
      <w:spacing w:after="0" w:line="240" w:lineRule="auto"/>
    </w:pPr>
  </w:style>
  <w:style w:type="character" w:customStyle="1" w:styleId="FooterChar">
    <w:name w:val="Footer Char"/>
    <w:basedOn w:val="DefaultParagraphFont"/>
    <w:link w:val="Footer"/>
    <w:uiPriority w:val="99"/>
    <w:rsid w:val="007A73AE"/>
    <w:rPr>
      <w:lang w:val="en-US"/>
    </w:rPr>
  </w:style>
  <w:style w:type="character" w:customStyle="1" w:styleId="apple-converted-space">
    <w:name w:val="apple-converted-space"/>
    <w:basedOn w:val="DefaultParagraphFont"/>
    <w:rsid w:val="00E874DC"/>
  </w:style>
  <w:style w:type="character" w:styleId="Emphasis">
    <w:name w:val="Emphasis"/>
    <w:basedOn w:val="DefaultParagraphFont"/>
    <w:uiPriority w:val="20"/>
    <w:qFormat/>
    <w:rsid w:val="00E874DC"/>
    <w:rPr>
      <w:i/>
      <w:iCs/>
    </w:rPr>
  </w:style>
  <w:style w:type="character" w:styleId="Strong">
    <w:name w:val="Strong"/>
    <w:basedOn w:val="DefaultParagraphFont"/>
    <w:uiPriority w:val="22"/>
    <w:qFormat/>
    <w:rsid w:val="004356E3"/>
    <w:rPr>
      <w:b/>
      <w:bCs/>
    </w:rPr>
  </w:style>
  <w:style w:type="character" w:styleId="PageNumber">
    <w:name w:val="page number"/>
    <w:basedOn w:val="DefaultParagraphFont"/>
    <w:uiPriority w:val="99"/>
    <w:semiHidden/>
    <w:unhideWhenUsed/>
    <w:rsid w:val="00AB345C"/>
  </w:style>
  <w:style w:type="paragraph" w:customStyle="1" w:styleId="EndNoteBibliography">
    <w:name w:val="EndNote Bibliography"/>
    <w:basedOn w:val="Normal"/>
    <w:link w:val="EndNoteBibliographyChar"/>
    <w:rsid w:val="00F04783"/>
    <w:pPr>
      <w:spacing w:after="0" w:line="240" w:lineRule="auto"/>
      <w:jc w:val="left"/>
    </w:pPr>
    <w:rPr>
      <w:rFonts w:ascii="Times New Roman" w:eastAsia="Calibri" w:hAnsi="Times New Roman" w:cs="Times New Roman"/>
      <w:noProof/>
      <w:kern w:val="0"/>
      <w:sz w:val="24"/>
      <w:szCs w:val="20"/>
      <w14:ligatures w14:val="none"/>
    </w:rPr>
  </w:style>
  <w:style w:type="character" w:customStyle="1" w:styleId="EndNoteBibliographyChar">
    <w:name w:val="EndNote Bibliography Char"/>
    <w:basedOn w:val="DefaultParagraphFont"/>
    <w:link w:val="EndNoteBibliography"/>
    <w:rsid w:val="00F04783"/>
    <w:rPr>
      <w:rFonts w:ascii="Times New Roman" w:eastAsia="Calibri" w:hAnsi="Times New Roman" w:cs="Times New Roman"/>
      <w:noProof/>
      <w:kern w:val="0"/>
      <w:sz w:val="24"/>
      <w:szCs w:val="20"/>
      <w14:ligatures w14:val="none"/>
    </w:rPr>
  </w:style>
  <w:style w:type="paragraph" w:customStyle="1" w:styleId="Heading-Secondary">
    <w:name w:val="Heading-Secondary"/>
    <w:basedOn w:val="Normal"/>
    <w:qFormat/>
    <w:rsid w:val="00CA1446"/>
    <w:pPr>
      <w:keepNext/>
      <w:spacing w:before="240" w:after="120" w:line="240" w:lineRule="auto"/>
      <w:jc w:val="left"/>
      <w:outlineLvl w:val="0"/>
    </w:pPr>
    <w:rPr>
      <w:rFonts w:ascii="Times New Roman" w:eastAsia="Times New Roman" w:hAnsi="Times New Roman" w:cs="Times New Roman"/>
      <w:b/>
      <w:bCs/>
      <w:kern w:val="28"/>
      <w:sz w:val="24"/>
      <w:szCs w:val="24"/>
      <w14:ligatures w14:val="non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5036875">
      <w:bodyDiv w:val="1"/>
      <w:marLeft w:val="0"/>
      <w:marRight w:val="0"/>
      <w:marTop w:val="0"/>
      <w:marBottom w:val="0"/>
      <w:divBdr>
        <w:top w:val="none" w:sz="0" w:space="0" w:color="auto"/>
        <w:left w:val="none" w:sz="0" w:space="0" w:color="auto"/>
        <w:bottom w:val="none" w:sz="0" w:space="0" w:color="auto"/>
        <w:right w:val="none" w:sz="0" w:space="0" w:color="auto"/>
      </w:divBdr>
    </w:div>
    <w:div w:id="18549255">
      <w:bodyDiv w:val="1"/>
      <w:marLeft w:val="0"/>
      <w:marRight w:val="0"/>
      <w:marTop w:val="0"/>
      <w:marBottom w:val="0"/>
      <w:divBdr>
        <w:top w:val="none" w:sz="0" w:space="0" w:color="auto"/>
        <w:left w:val="none" w:sz="0" w:space="0" w:color="auto"/>
        <w:bottom w:val="none" w:sz="0" w:space="0" w:color="auto"/>
        <w:right w:val="none" w:sz="0" w:space="0" w:color="auto"/>
      </w:divBdr>
    </w:div>
    <w:div w:id="37710517">
      <w:bodyDiv w:val="1"/>
      <w:marLeft w:val="0"/>
      <w:marRight w:val="0"/>
      <w:marTop w:val="0"/>
      <w:marBottom w:val="0"/>
      <w:divBdr>
        <w:top w:val="none" w:sz="0" w:space="0" w:color="auto"/>
        <w:left w:val="none" w:sz="0" w:space="0" w:color="auto"/>
        <w:bottom w:val="none" w:sz="0" w:space="0" w:color="auto"/>
        <w:right w:val="none" w:sz="0" w:space="0" w:color="auto"/>
      </w:divBdr>
    </w:div>
    <w:div w:id="60913022">
      <w:bodyDiv w:val="1"/>
      <w:marLeft w:val="0"/>
      <w:marRight w:val="0"/>
      <w:marTop w:val="0"/>
      <w:marBottom w:val="0"/>
      <w:divBdr>
        <w:top w:val="none" w:sz="0" w:space="0" w:color="auto"/>
        <w:left w:val="none" w:sz="0" w:space="0" w:color="auto"/>
        <w:bottom w:val="none" w:sz="0" w:space="0" w:color="auto"/>
        <w:right w:val="none" w:sz="0" w:space="0" w:color="auto"/>
      </w:divBdr>
    </w:div>
    <w:div w:id="71901284">
      <w:bodyDiv w:val="1"/>
      <w:marLeft w:val="0"/>
      <w:marRight w:val="0"/>
      <w:marTop w:val="0"/>
      <w:marBottom w:val="0"/>
      <w:divBdr>
        <w:top w:val="none" w:sz="0" w:space="0" w:color="auto"/>
        <w:left w:val="none" w:sz="0" w:space="0" w:color="auto"/>
        <w:bottom w:val="none" w:sz="0" w:space="0" w:color="auto"/>
        <w:right w:val="none" w:sz="0" w:space="0" w:color="auto"/>
      </w:divBdr>
    </w:div>
    <w:div w:id="83115057">
      <w:bodyDiv w:val="1"/>
      <w:marLeft w:val="0"/>
      <w:marRight w:val="0"/>
      <w:marTop w:val="0"/>
      <w:marBottom w:val="0"/>
      <w:divBdr>
        <w:top w:val="none" w:sz="0" w:space="0" w:color="auto"/>
        <w:left w:val="none" w:sz="0" w:space="0" w:color="auto"/>
        <w:bottom w:val="none" w:sz="0" w:space="0" w:color="auto"/>
        <w:right w:val="none" w:sz="0" w:space="0" w:color="auto"/>
      </w:divBdr>
    </w:div>
    <w:div w:id="182016543">
      <w:marLeft w:val="480"/>
      <w:marRight w:val="0"/>
      <w:marTop w:val="0"/>
      <w:marBottom w:val="0"/>
      <w:divBdr>
        <w:top w:val="none" w:sz="0" w:space="0" w:color="auto"/>
        <w:left w:val="none" w:sz="0" w:space="0" w:color="auto"/>
        <w:bottom w:val="none" w:sz="0" w:space="0" w:color="auto"/>
        <w:right w:val="none" w:sz="0" w:space="0" w:color="auto"/>
      </w:divBdr>
    </w:div>
    <w:div w:id="197009477">
      <w:bodyDiv w:val="1"/>
      <w:marLeft w:val="0"/>
      <w:marRight w:val="0"/>
      <w:marTop w:val="0"/>
      <w:marBottom w:val="0"/>
      <w:divBdr>
        <w:top w:val="none" w:sz="0" w:space="0" w:color="auto"/>
        <w:left w:val="none" w:sz="0" w:space="0" w:color="auto"/>
        <w:bottom w:val="none" w:sz="0" w:space="0" w:color="auto"/>
        <w:right w:val="none" w:sz="0" w:space="0" w:color="auto"/>
      </w:divBdr>
    </w:div>
    <w:div w:id="204370651">
      <w:bodyDiv w:val="1"/>
      <w:marLeft w:val="0"/>
      <w:marRight w:val="0"/>
      <w:marTop w:val="0"/>
      <w:marBottom w:val="0"/>
      <w:divBdr>
        <w:top w:val="none" w:sz="0" w:space="0" w:color="auto"/>
        <w:left w:val="none" w:sz="0" w:space="0" w:color="auto"/>
        <w:bottom w:val="none" w:sz="0" w:space="0" w:color="auto"/>
        <w:right w:val="none" w:sz="0" w:space="0" w:color="auto"/>
      </w:divBdr>
    </w:div>
    <w:div w:id="216017705">
      <w:bodyDiv w:val="1"/>
      <w:marLeft w:val="0"/>
      <w:marRight w:val="0"/>
      <w:marTop w:val="0"/>
      <w:marBottom w:val="0"/>
      <w:divBdr>
        <w:top w:val="none" w:sz="0" w:space="0" w:color="auto"/>
        <w:left w:val="none" w:sz="0" w:space="0" w:color="auto"/>
        <w:bottom w:val="none" w:sz="0" w:space="0" w:color="auto"/>
        <w:right w:val="none" w:sz="0" w:space="0" w:color="auto"/>
      </w:divBdr>
    </w:div>
    <w:div w:id="224801723">
      <w:bodyDiv w:val="1"/>
      <w:marLeft w:val="0"/>
      <w:marRight w:val="0"/>
      <w:marTop w:val="0"/>
      <w:marBottom w:val="0"/>
      <w:divBdr>
        <w:top w:val="none" w:sz="0" w:space="0" w:color="auto"/>
        <w:left w:val="none" w:sz="0" w:space="0" w:color="auto"/>
        <w:bottom w:val="none" w:sz="0" w:space="0" w:color="auto"/>
        <w:right w:val="none" w:sz="0" w:space="0" w:color="auto"/>
      </w:divBdr>
    </w:div>
    <w:div w:id="240650615">
      <w:marLeft w:val="480"/>
      <w:marRight w:val="0"/>
      <w:marTop w:val="0"/>
      <w:marBottom w:val="0"/>
      <w:divBdr>
        <w:top w:val="none" w:sz="0" w:space="0" w:color="auto"/>
        <w:left w:val="none" w:sz="0" w:space="0" w:color="auto"/>
        <w:bottom w:val="none" w:sz="0" w:space="0" w:color="auto"/>
        <w:right w:val="none" w:sz="0" w:space="0" w:color="auto"/>
      </w:divBdr>
    </w:div>
    <w:div w:id="244648344">
      <w:bodyDiv w:val="1"/>
      <w:marLeft w:val="0"/>
      <w:marRight w:val="0"/>
      <w:marTop w:val="0"/>
      <w:marBottom w:val="0"/>
      <w:divBdr>
        <w:top w:val="none" w:sz="0" w:space="0" w:color="auto"/>
        <w:left w:val="none" w:sz="0" w:space="0" w:color="auto"/>
        <w:bottom w:val="none" w:sz="0" w:space="0" w:color="auto"/>
        <w:right w:val="none" w:sz="0" w:space="0" w:color="auto"/>
      </w:divBdr>
    </w:div>
    <w:div w:id="250504546">
      <w:marLeft w:val="480"/>
      <w:marRight w:val="0"/>
      <w:marTop w:val="0"/>
      <w:marBottom w:val="0"/>
      <w:divBdr>
        <w:top w:val="none" w:sz="0" w:space="0" w:color="auto"/>
        <w:left w:val="none" w:sz="0" w:space="0" w:color="auto"/>
        <w:bottom w:val="none" w:sz="0" w:space="0" w:color="auto"/>
        <w:right w:val="none" w:sz="0" w:space="0" w:color="auto"/>
      </w:divBdr>
    </w:div>
    <w:div w:id="280379644">
      <w:bodyDiv w:val="1"/>
      <w:marLeft w:val="0"/>
      <w:marRight w:val="0"/>
      <w:marTop w:val="0"/>
      <w:marBottom w:val="0"/>
      <w:divBdr>
        <w:top w:val="none" w:sz="0" w:space="0" w:color="auto"/>
        <w:left w:val="none" w:sz="0" w:space="0" w:color="auto"/>
        <w:bottom w:val="none" w:sz="0" w:space="0" w:color="auto"/>
        <w:right w:val="none" w:sz="0" w:space="0" w:color="auto"/>
      </w:divBdr>
    </w:div>
    <w:div w:id="290945945">
      <w:bodyDiv w:val="1"/>
      <w:marLeft w:val="0"/>
      <w:marRight w:val="0"/>
      <w:marTop w:val="0"/>
      <w:marBottom w:val="0"/>
      <w:divBdr>
        <w:top w:val="none" w:sz="0" w:space="0" w:color="auto"/>
        <w:left w:val="none" w:sz="0" w:space="0" w:color="auto"/>
        <w:bottom w:val="none" w:sz="0" w:space="0" w:color="auto"/>
        <w:right w:val="none" w:sz="0" w:space="0" w:color="auto"/>
      </w:divBdr>
    </w:div>
    <w:div w:id="376399098">
      <w:marLeft w:val="480"/>
      <w:marRight w:val="0"/>
      <w:marTop w:val="0"/>
      <w:marBottom w:val="0"/>
      <w:divBdr>
        <w:top w:val="none" w:sz="0" w:space="0" w:color="auto"/>
        <w:left w:val="none" w:sz="0" w:space="0" w:color="auto"/>
        <w:bottom w:val="none" w:sz="0" w:space="0" w:color="auto"/>
        <w:right w:val="none" w:sz="0" w:space="0" w:color="auto"/>
      </w:divBdr>
    </w:div>
    <w:div w:id="378021408">
      <w:bodyDiv w:val="1"/>
      <w:marLeft w:val="0"/>
      <w:marRight w:val="0"/>
      <w:marTop w:val="0"/>
      <w:marBottom w:val="0"/>
      <w:divBdr>
        <w:top w:val="none" w:sz="0" w:space="0" w:color="auto"/>
        <w:left w:val="none" w:sz="0" w:space="0" w:color="auto"/>
        <w:bottom w:val="none" w:sz="0" w:space="0" w:color="auto"/>
        <w:right w:val="none" w:sz="0" w:space="0" w:color="auto"/>
      </w:divBdr>
    </w:div>
    <w:div w:id="388194720">
      <w:marLeft w:val="480"/>
      <w:marRight w:val="0"/>
      <w:marTop w:val="0"/>
      <w:marBottom w:val="0"/>
      <w:divBdr>
        <w:top w:val="none" w:sz="0" w:space="0" w:color="auto"/>
        <w:left w:val="none" w:sz="0" w:space="0" w:color="auto"/>
        <w:bottom w:val="none" w:sz="0" w:space="0" w:color="auto"/>
        <w:right w:val="none" w:sz="0" w:space="0" w:color="auto"/>
      </w:divBdr>
    </w:div>
    <w:div w:id="409161706">
      <w:bodyDiv w:val="1"/>
      <w:marLeft w:val="0"/>
      <w:marRight w:val="0"/>
      <w:marTop w:val="0"/>
      <w:marBottom w:val="0"/>
      <w:divBdr>
        <w:top w:val="none" w:sz="0" w:space="0" w:color="auto"/>
        <w:left w:val="none" w:sz="0" w:space="0" w:color="auto"/>
        <w:bottom w:val="none" w:sz="0" w:space="0" w:color="auto"/>
        <w:right w:val="none" w:sz="0" w:space="0" w:color="auto"/>
      </w:divBdr>
    </w:div>
    <w:div w:id="424569793">
      <w:bodyDiv w:val="1"/>
      <w:marLeft w:val="0"/>
      <w:marRight w:val="0"/>
      <w:marTop w:val="0"/>
      <w:marBottom w:val="0"/>
      <w:divBdr>
        <w:top w:val="none" w:sz="0" w:space="0" w:color="auto"/>
        <w:left w:val="none" w:sz="0" w:space="0" w:color="auto"/>
        <w:bottom w:val="none" w:sz="0" w:space="0" w:color="auto"/>
        <w:right w:val="none" w:sz="0" w:space="0" w:color="auto"/>
      </w:divBdr>
    </w:div>
    <w:div w:id="439835208">
      <w:bodyDiv w:val="1"/>
      <w:marLeft w:val="0"/>
      <w:marRight w:val="0"/>
      <w:marTop w:val="0"/>
      <w:marBottom w:val="0"/>
      <w:divBdr>
        <w:top w:val="none" w:sz="0" w:space="0" w:color="auto"/>
        <w:left w:val="none" w:sz="0" w:space="0" w:color="auto"/>
        <w:bottom w:val="none" w:sz="0" w:space="0" w:color="auto"/>
        <w:right w:val="none" w:sz="0" w:space="0" w:color="auto"/>
      </w:divBdr>
    </w:div>
    <w:div w:id="469399790">
      <w:bodyDiv w:val="1"/>
      <w:marLeft w:val="0"/>
      <w:marRight w:val="0"/>
      <w:marTop w:val="0"/>
      <w:marBottom w:val="0"/>
      <w:divBdr>
        <w:top w:val="none" w:sz="0" w:space="0" w:color="auto"/>
        <w:left w:val="none" w:sz="0" w:space="0" w:color="auto"/>
        <w:bottom w:val="none" w:sz="0" w:space="0" w:color="auto"/>
        <w:right w:val="none" w:sz="0" w:space="0" w:color="auto"/>
      </w:divBdr>
    </w:div>
    <w:div w:id="485130125">
      <w:bodyDiv w:val="1"/>
      <w:marLeft w:val="0"/>
      <w:marRight w:val="0"/>
      <w:marTop w:val="0"/>
      <w:marBottom w:val="0"/>
      <w:divBdr>
        <w:top w:val="none" w:sz="0" w:space="0" w:color="auto"/>
        <w:left w:val="none" w:sz="0" w:space="0" w:color="auto"/>
        <w:bottom w:val="none" w:sz="0" w:space="0" w:color="auto"/>
        <w:right w:val="none" w:sz="0" w:space="0" w:color="auto"/>
      </w:divBdr>
    </w:div>
    <w:div w:id="552471124">
      <w:bodyDiv w:val="1"/>
      <w:marLeft w:val="0"/>
      <w:marRight w:val="0"/>
      <w:marTop w:val="0"/>
      <w:marBottom w:val="0"/>
      <w:divBdr>
        <w:top w:val="none" w:sz="0" w:space="0" w:color="auto"/>
        <w:left w:val="none" w:sz="0" w:space="0" w:color="auto"/>
        <w:bottom w:val="none" w:sz="0" w:space="0" w:color="auto"/>
        <w:right w:val="none" w:sz="0" w:space="0" w:color="auto"/>
      </w:divBdr>
    </w:div>
    <w:div w:id="556667187">
      <w:bodyDiv w:val="1"/>
      <w:marLeft w:val="0"/>
      <w:marRight w:val="0"/>
      <w:marTop w:val="0"/>
      <w:marBottom w:val="0"/>
      <w:divBdr>
        <w:top w:val="none" w:sz="0" w:space="0" w:color="auto"/>
        <w:left w:val="none" w:sz="0" w:space="0" w:color="auto"/>
        <w:bottom w:val="none" w:sz="0" w:space="0" w:color="auto"/>
        <w:right w:val="none" w:sz="0" w:space="0" w:color="auto"/>
      </w:divBdr>
    </w:div>
    <w:div w:id="582253912">
      <w:marLeft w:val="480"/>
      <w:marRight w:val="0"/>
      <w:marTop w:val="0"/>
      <w:marBottom w:val="0"/>
      <w:divBdr>
        <w:top w:val="none" w:sz="0" w:space="0" w:color="auto"/>
        <w:left w:val="none" w:sz="0" w:space="0" w:color="auto"/>
        <w:bottom w:val="none" w:sz="0" w:space="0" w:color="auto"/>
        <w:right w:val="none" w:sz="0" w:space="0" w:color="auto"/>
      </w:divBdr>
    </w:div>
    <w:div w:id="583729492">
      <w:bodyDiv w:val="1"/>
      <w:marLeft w:val="0"/>
      <w:marRight w:val="0"/>
      <w:marTop w:val="0"/>
      <w:marBottom w:val="0"/>
      <w:divBdr>
        <w:top w:val="none" w:sz="0" w:space="0" w:color="auto"/>
        <w:left w:val="none" w:sz="0" w:space="0" w:color="auto"/>
        <w:bottom w:val="none" w:sz="0" w:space="0" w:color="auto"/>
        <w:right w:val="none" w:sz="0" w:space="0" w:color="auto"/>
      </w:divBdr>
    </w:div>
    <w:div w:id="614101870">
      <w:bodyDiv w:val="1"/>
      <w:marLeft w:val="0"/>
      <w:marRight w:val="0"/>
      <w:marTop w:val="0"/>
      <w:marBottom w:val="0"/>
      <w:divBdr>
        <w:top w:val="none" w:sz="0" w:space="0" w:color="auto"/>
        <w:left w:val="none" w:sz="0" w:space="0" w:color="auto"/>
        <w:bottom w:val="none" w:sz="0" w:space="0" w:color="auto"/>
        <w:right w:val="none" w:sz="0" w:space="0" w:color="auto"/>
      </w:divBdr>
    </w:div>
    <w:div w:id="620459647">
      <w:bodyDiv w:val="1"/>
      <w:marLeft w:val="0"/>
      <w:marRight w:val="0"/>
      <w:marTop w:val="0"/>
      <w:marBottom w:val="0"/>
      <w:divBdr>
        <w:top w:val="none" w:sz="0" w:space="0" w:color="auto"/>
        <w:left w:val="none" w:sz="0" w:space="0" w:color="auto"/>
        <w:bottom w:val="none" w:sz="0" w:space="0" w:color="auto"/>
        <w:right w:val="none" w:sz="0" w:space="0" w:color="auto"/>
      </w:divBdr>
    </w:div>
    <w:div w:id="663968381">
      <w:marLeft w:val="480"/>
      <w:marRight w:val="0"/>
      <w:marTop w:val="0"/>
      <w:marBottom w:val="0"/>
      <w:divBdr>
        <w:top w:val="none" w:sz="0" w:space="0" w:color="auto"/>
        <w:left w:val="none" w:sz="0" w:space="0" w:color="auto"/>
        <w:bottom w:val="none" w:sz="0" w:space="0" w:color="auto"/>
        <w:right w:val="none" w:sz="0" w:space="0" w:color="auto"/>
      </w:divBdr>
    </w:div>
    <w:div w:id="691958047">
      <w:bodyDiv w:val="1"/>
      <w:marLeft w:val="0"/>
      <w:marRight w:val="0"/>
      <w:marTop w:val="0"/>
      <w:marBottom w:val="0"/>
      <w:divBdr>
        <w:top w:val="none" w:sz="0" w:space="0" w:color="auto"/>
        <w:left w:val="none" w:sz="0" w:space="0" w:color="auto"/>
        <w:bottom w:val="none" w:sz="0" w:space="0" w:color="auto"/>
        <w:right w:val="none" w:sz="0" w:space="0" w:color="auto"/>
      </w:divBdr>
    </w:div>
    <w:div w:id="760220465">
      <w:bodyDiv w:val="1"/>
      <w:marLeft w:val="0"/>
      <w:marRight w:val="0"/>
      <w:marTop w:val="0"/>
      <w:marBottom w:val="0"/>
      <w:divBdr>
        <w:top w:val="none" w:sz="0" w:space="0" w:color="auto"/>
        <w:left w:val="none" w:sz="0" w:space="0" w:color="auto"/>
        <w:bottom w:val="none" w:sz="0" w:space="0" w:color="auto"/>
        <w:right w:val="none" w:sz="0" w:space="0" w:color="auto"/>
      </w:divBdr>
    </w:div>
    <w:div w:id="798301559">
      <w:bodyDiv w:val="1"/>
      <w:marLeft w:val="0"/>
      <w:marRight w:val="0"/>
      <w:marTop w:val="0"/>
      <w:marBottom w:val="0"/>
      <w:divBdr>
        <w:top w:val="none" w:sz="0" w:space="0" w:color="auto"/>
        <w:left w:val="none" w:sz="0" w:space="0" w:color="auto"/>
        <w:bottom w:val="none" w:sz="0" w:space="0" w:color="auto"/>
        <w:right w:val="none" w:sz="0" w:space="0" w:color="auto"/>
      </w:divBdr>
    </w:div>
    <w:div w:id="849492027">
      <w:bodyDiv w:val="1"/>
      <w:marLeft w:val="0"/>
      <w:marRight w:val="0"/>
      <w:marTop w:val="0"/>
      <w:marBottom w:val="0"/>
      <w:divBdr>
        <w:top w:val="none" w:sz="0" w:space="0" w:color="auto"/>
        <w:left w:val="none" w:sz="0" w:space="0" w:color="auto"/>
        <w:bottom w:val="none" w:sz="0" w:space="0" w:color="auto"/>
        <w:right w:val="none" w:sz="0" w:space="0" w:color="auto"/>
      </w:divBdr>
    </w:div>
    <w:div w:id="853808592">
      <w:bodyDiv w:val="1"/>
      <w:marLeft w:val="0"/>
      <w:marRight w:val="0"/>
      <w:marTop w:val="0"/>
      <w:marBottom w:val="0"/>
      <w:divBdr>
        <w:top w:val="none" w:sz="0" w:space="0" w:color="auto"/>
        <w:left w:val="none" w:sz="0" w:space="0" w:color="auto"/>
        <w:bottom w:val="none" w:sz="0" w:space="0" w:color="auto"/>
        <w:right w:val="none" w:sz="0" w:space="0" w:color="auto"/>
      </w:divBdr>
    </w:div>
    <w:div w:id="858156009">
      <w:bodyDiv w:val="1"/>
      <w:marLeft w:val="0"/>
      <w:marRight w:val="0"/>
      <w:marTop w:val="0"/>
      <w:marBottom w:val="0"/>
      <w:divBdr>
        <w:top w:val="none" w:sz="0" w:space="0" w:color="auto"/>
        <w:left w:val="none" w:sz="0" w:space="0" w:color="auto"/>
        <w:bottom w:val="none" w:sz="0" w:space="0" w:color="auto"/>
        <w:right w:val="none" w:sz="0" w:space="0" w:color="auto"/>
      </w:divBdr>
    </w:div>
    <w:div w:id="883954749">
      <w:bodyDiv w:val="1"/>
      <w:marLeft w:val="0"/>
      <w:marRight w:val="0"/>
      <w:marTop w:val="0"/>
      <w:marBottom w:val="0"/>
      <w:divBdr>
        <w:top w:val="none" w:sz="0" w:space="0" w:color="auto"/>
        <w:left w:val="none" w:sz="0" w:space="0" w:color="auto"/>
        <w:bottom w:val="none" w:sz="0" w:space="0" w:color="auto"/>
        <w:right w:val="none" w:sz="0" w:space="0" w:color="auto"/>
      </w:divBdr>
    </w:div>
    <w:div w:id="922379511">
      <w:bodyDiv w:val="1"/>
      <w:marLeft w:val="0"/>
      <w:marRight w:val="0"/>
      <w:marTop w:val="0"/>
      <w:marBottom w:val="0"/>
      <w:divBdr>
        <w:top w:val="none" w:sz="0" w:space="0" w:color="auto"/>
        <w:left w:val="none" w:sz="0" w:space="0" w:color="auto"/>
        <w:bottom w:val="none" w:sz="0" w:space="0" w:color="auto"/>
        <w:right w:val="none" w:sz="0" w:space="0" w:color="auto"/>
      </w:divBdr>
    </w:div>
    <w:div w:id="928081752">
      <w:bodyDiv w:val="1"/>
      <w:marLeft w:val="0"/>
      <w:marRight w:val="0"/>
      <w:marTop w:val="0"/>
      <w:marBottom w:val="0"/>
      <w:divBdr>
        <w:top w:val="none" w:sz="0" w:space="0" w:color="auto"/>
        <w:left w:val="none" w:sz="0" w:space="0" w:color="auto"/>
        <w:bottom w:val="none" w:sz="0" w:space="0" w:color="auto"/>
        <w:right w:val="none" w:sz="0" w:space="0" w:color="auto"/>
      </w:divBdr>
    </w:div>
    <w:div w:id="934478948">
      <w:bodyDiv w:val="1"/>
      <w:marLeft w:val="0"/>
      <w:marRight w:val="0"/>
      <w:marTop w:val="0"/>
      <w:marBottom w:val="0"/>
      <w:divBdr>
        <w:top w:val="none" w:sz="0" w:space="0" w:color="auto"/>
        <w:left w:val="none" w:sz="0" w:space="0" w:color="auto"/>
        <w:bottom w:val="none" w:sz="0" w:space="0" w:color="auto"/>
        <w:right w:val="none" w:sz="0" w:space="0" w:color="auto"/>
      </w:divBdr>
    </w:div>
    <w:div w:id="935484049">
      <w:bodyDiv w:val="1"/>
      <w:marLeft w:val="0"/>
      <w:marRight w:val="0"/>
      <w:marTop w:val="0"/>
      <w:marBottom w:val="0"/>
      <w:divBdr>
        <w:top w:val="none" w:sz="0" w:space="0" w:color="auto"/>
        <w:left w:val="none" w:sz="0" w:space="0" w:color="auto"/>
        <w:bottom w:val="none" w:sz="0" w:space="0" w:color="auto"/>
        <w:right w:val="none" w:sz="0" w:space="0" w:color="auto"/>
      </w:divBdr>
    </w:div>
    <w:div w:id="939532512">
      <w:marLeft w:val="480"/>
      <w:marRight w:val="0"/>
      <w:marTop w:val="0"/>
      <w:marBottom w:val="0"/>
      <w:divBdr>
        <w:top w:val="none" w:sz="0" w:space="0" w:color="auto"/>
        <w:left w:val="none" w:sz="0" w:space="0" w:color="auto"/>
        <w:bottom w:val="none" w:sz="0" w:space="0" w:color="auto"/>
        <w:right w:val="none" w:sz="0" w:space="0" w:color="auto"/>
      </w:divBdr>
      <w:divsChild>
        <w:div w:id="395058212">
          <w:marLeft w:val="0"/>
          <w:marRight w:val="0"/>
          <w:marTop w:val="0"/>
          <w:marBottom w:val="0"/>
          <w:divBdr>
            <w:top w:val="none" w:sz="0" w:space="0" w:color="auto"/>
            <w:left w:val="none" w:sz="0" w:space="0" w:color="auto"/>
            <w:bottom w:val="none" w:sz="0" w:space="0" w:color="auto"/>
            <w:right w:val="none" w:sz="0" w:space="0" w:color="auto"/>
          </w:divBdr>
          <w:divsChild>
            <w:div w:id="1462769415">
              <w:marLeft w:val="480"/>
              <w:marRight w:val="0"/>
              <w:marTop w:val="0"/>
              <w:marBottom w:val="0"/>
              <w:divBdr>
                <w:top w:val="none" w:sz="0" w:space="0" w:color="auto"/>
                <w:left w:val="none" w:sz="0" w:space="0" w:color="auto"/>
                <w:bottom w:val="none" w:sz="0" w:space="0" w:color="auto"/>
                <w:right w:val="none" w:sz="0" w:space="0" w:color="auto"/>
              </w:divBdr>
            </w:div>
            <w:div w:id="1807162399">
              <w:marLeft w:val="480"/>
              <w:marRight w:val="0"/>
              <w:marTop w:val="0"/>
              <w:marBottom w:val="0"/>
              <w:divBdr>
                <w:top w:val="none" w:sz="0" w:space="0" w:color="auto"/>
                <w:left w:val="none" w:sz="0" w:space="0" w:color="auto"/>
                <w:bottom w:val="none" w:sz="0" w:space="0" w:color="auto"/>
                <w:right w:val="none" w:sz="0" w:space="0" w:color="auto"/>
              </w:divBdr>
            </w:div>
            <w:div w:id="1515731525">
              <w:marLeft w:val="480"/>
              <w:marRight w:val="0"/>
              <w:marTop w:val="0"/>
              <w:marBottom w:val="0"/>
              <w:divBdr>
                <w:top w:val="none" w:sz="0" w:space="0" w:color="auto"/>
                <w:left w:val="none" w:sz="0" w:space="0" w:color="auto"/>
                <w:bottom w:val="none" w:sz="0" w:space="0" w:color="auto"/>
                <w:right w:val="none" w:sz="0" w:space="0" w:color="auto"/>
              </w:divBdr>
            </w:div>
            <w:div w:id="1189181480">
              <w:marLeft w:val="480"/>
              <w:marRight w:val="0"/>
              <w:marTop w:val="0"/>
              <w:marBottom w:val="0"/>
              <w:divBdr>
                <w:top w:val="none" w:sz="0" w:space="0" w:color="auto"/>
                <w:left w:val="none" w:sz="0" w:space="0" w:color="auto"/>
                <w:bottom w:val="none" w:sz="0" w:space="0" w:color="auto"/>
                <w:right w:val="none" w:sz="0" w:space="0" w:color="auto"/>
              </w:divBdr>
            </w:div>
            <w:div w:id="652832546">
              <w:marLeft w:val="480"/>
              <w:marRight w:val="0"/>
              <w:marTop w:val="0"/>
              <w:marBottom w:val="0"/>
              <w:divBdr>
                <w:top w:val="none" w:sz="0" w:space="0" w:color="auto"/>
                <w:left w:val="none" w:sz="0" w:space="0" w:color="auto"/>
                <w:bottom w:val="none" w:sz="0" w:space="0" w:color="auto"/>
                <w:right w:val="none" w:sz="0" w:space="0" w:color="auto"/>
              </w:divBdr>
            </w:div>
            <w:div w:id="1076903923">
              <w:marLeft w:val="480"/>
              <w:marRight w:val="0"/>
              <w:marTop w:val="0"/>
              <w:marBottom w:val="0"/>
              <w:divBdr>
                <w:top w:val="none" w:sz="0" w:space="0" w:color="auto"/>
                <w:left w:val="none" w:sz="0" w:space="0" w:color="auto"/>
                <w:bottom w:val="none" w:sz="0" w:space="0" w:color="auto"/>
                <w:right w:val="none" w:sz="0" w:space="0" w:color="auto"/>
              </w:divBdr>
            </w:div>
            <w:div w:id="586962894">
              <w:marLeft w:val="480"/>
              <w:marRight w:val="0"/>
              <w:marTop w:val="0"/>
              <w:marBottom w:val="0"/>
              <w:divBdr>
                <w:top w:val="none" w:sz="0" w:space="0" w:color="auto"/>
                <w:left w:val="none" w:sz="0" w:space="0" w:color="auto"/>
                <w:bottom w:val="none" w:sz="0" w:space="0" w:color="auto"/>
                <w:right w:val="none" w:sz="0" w:space="0" w:color="auto"/>
              </w:divBdr>
            </w:div>
            <w:div w:id="1806116036">
              <w:marLeft w:val="480"/>
              <w:marRight w:val="0"/>
              <w:marTop w:val="0"/>
              <w:marBottom w:val="0"/>
              <w:divBdr>
                <w:top w:val="none" w:sz="0" w:space="0" w:color="auto"/>
                <w:left w:val="none" w:sz="0" w:space="0" w:color="auto"/>
                <w:bottom w:val="none" w:sz="0" w:space="0" w:color="auto"/>
                <w:right w:val="none" w:sz="0" w:space="0" w:color="auto"/>
              </w:divBdr>
            </w:div>
            <w:div w:id="1503348883">
              <w:marLeft w:val="480"/>
              <w:marRight w:val="0"/>
              <w:marTop w:val="0"/>
              <w:marBottom w:val="0"/>
              <w:divBdr>
                <w:top w:val="none" w:sz="0" w:space="0" w:color="auto"/>
                <w:left w:val="none" w:sz="0" w:space="0" w:color="auto"/>
                <w:bottom w:val="none" w:sz="0" w:space="0" w:color="auto"/>
                <w:right w:val="none" w:sz="0" w:space="0" w:color="auto"/>
              </w:divBdr>
            </w:div>
            <w:div w:id="575242011">
              <w:marLeft w:val="480"/>
              <w:marRight w:val="0"/>
              <w:marTop w:val="0"/>
              <w:marBottom w:val="0"/>
              <w:divBdr>
                <w:top w:val="none" w:sz="0" w:space="0" w:color="auto"/>
                <w:left w:val="none" w:sz="0" w:space="0" w:color="auto"/>
                <w:bottom w:val="none" w:sz="0" w:space="0" w:color="auto"/>
                <w:right w:val="none" w:sz="0" w:space="0" w:color="auto"/>
              </w:divBdr>
            </w:div>
            <w:div w:id="1875196683">
              <w:marLeft w:val="480"/>
              <w:marRight w:val="0"/>
              <w:marTop w:val="0"/>
              <w:marBottom w:val="0"/>
              <w:divBdr>
                <w:top w:val="none" w:sz="0" w:space="0" w:color="auto"/>
                <w:left w:val="none" w:sz="0" w:space="0" w:color="auto"/>
                <w:bottom w:val="none" w:sz="0" w:space="0" w:color="auto"/>
                <w:right w:val="none" w:sz="0" w:space="0" w:color="auto"/>
              </w:divBdr>
            </w:div>
            <w:div w:id="1777864908">
              <w:marLeft w:val="480"/>
              <w:marRight w:val="0"/>
              <w:marTop w:val="0"/>
              <w:marBottom w:val="0"/>
              <w:divBdr>
                <w:top w:val="none" w:sz="0" w:space="0" w:color="auto"/>
                <w:left w:val="none" w:sz="0" w:space="0" w:color="auto"/>
                <w:bottom w:val="none" w:sz="0" w:space="0" w:color="auto"/>
                <w:right w:val="none" w:sz="0" w:space="0" w:color="auto"/>
              </w:divBdr>
            </w:div>
            <w:div w:id="925454504">
              <w:marLeft w:val="480"/>
              <w:marRight w:val="0"/>
              <w:marTop w:val="0"/>
              <w:marBottom w:val="0"/>
              <w:divBdr>
                <w:top w:val="none" w:sz="0" w:space="0" w:color="auto"/>
                <w:left w:val="none" w:sz="0" w:space="0" w:color="auto"/>
                <w:bottom w:val="none" w:sz="0" w:space="0" w:color="auto"/>
                <w:right w:val="none" w:sz="0" w:space="0" w:color="auto"/>
              </w:divBdr>
            </w:div>
          </w:divsChild>
        </w:div>
      </w:divsChild>
    </w:div>
    <w:div w:id="991325598">
      <w:bodyDiv w:val="1"/>
      <w:marLeft w:val="0"/>
      <w:marRight w:val="0"/>
      <w:marTop w:val="0"/>
      <w:marBottom w:val="0"/>
      <w:divBdr>
        <w:top w:val="none" w:sz="0" w:space="0" w:color="auto"/>
        <w:left w:val="none" w:sz="0" w:space="0" w:color="auto"/>
        <w:bottom w:val="none" w:sz="0" w:space="0" w:color="auto"/>
        <w:right w:val="none" w:sz="0" w:space="0" w:color="auto"/>
      </w:divBdr>
    </w:div>
    <w:div w:id="998966223">
      <w:marLeft w:val="480"/>
      <w:marRight w:val="0"/>
      <w:marTop w:val="0"/>
      <w:marBottom w:val="0"/>
      <w:divBdr>
        <w:top w:val="none" w:sz="0" w:space="0" w:color="auto"/>
        <w:left w:val="none" w:sz="0" w:space="0" w:color="auto"/>
        <w:bottom w:val="none" w:sz="0" w:space="0" w:color="auto"/>
        <w:right w:val="none" w:sz="0" w:space="0" w:color="auto"/>
      </w:divBdr>
    </w:div>
    <w:div w:id="1001661008">
      <w:bodyDiv w:val="1"/>
      <w:marLeft w:val="0"/>
      <w:marRight w:val="0"/>
      <w:marTop w:val="0"/>
      <w:marBottom w:val="0"/>
      <w:divBdr>
        <w:top w:val="none" w:sz="0" w:space="0" w:color="auto"/>
        <w:left w:val="none" w:sz="0" w:space="0" w:color="auto"/>
        <w:bottom w:val="none" w:sz="0" w:space="0" w:color="auto"/>
        <w:right w:val="none" w:sz="0" w:space="0" w:color="auto"/>
      </w:divBdr>
    </w:div>
    <w:div w:id="1056970803">
      <w:bodyDiv w:val="1"/>
      <w:marLeft w:val="0"/>
      <w:marRight w:val="0"/>
      <w:marTop w:val="0"/>
      <w:marBottom w:val="0"/>
      <w:divBdr>
        <w:top w:val="none" w:sz="0" w:space="0" w:color="auto"/>
        <w:left w:val="none" w:sz="0" w:space="0" w:color="auto"/>
        <w:bottom w:val="none" w:sz="0" w:space="0" w:color="auto"/>
        <w:right w:val="none" w:sz="0" w:space="0" w:color="auto"/>
      </w:divBdr>
    </w:div>
    <w:div w:id="1134248408">
      <w:bodyDiv w:val="1"/>
      <w:marLeft w:val="0"/>
      <w:marRight w:val="0"/>
      <w:marTop w:val="0"/>
      <w:marBottom w:val="0"/>
      <w:divBdr>
        <w:top w:val="none" w:sz="0" w:space="0" w:color="auto"/>
        <w:left w:val="none" w:sz="0" w:space="0" w:color="auto"/>
        <w:bottom w:val="none" w:sz="0" w:space="0" w:color="auto"/>
        <w:right w:val="none" w:sz="0" w:space="0" w:color="auto"/>
      </w:divBdr>
    </w:div>
    <w:div w:id="1140683941">
      <w:bodyDiv w:val="1"/>
      <w:marLeft w:val="0"/>
      <w:marRight w:val="0"/>
      <w:marTop w:val="0"/>
      <w:marBottom w:val="0"/>
      <w:divBdr>
        <w:top w:val="none" w:sz="0" w:space="0" w:color="auto"/>
        <w:left w:val="none" w:sz="0" w:space="0" w:color="auto"/>
        <w:bottom w:val="none" w:sz="0" w:space="0" w:color="auto"/>
        <w:right w:val="none" w:sz="0" w:space="0" w:color="auto"/>
      </w:divBdr>
    </w:div>
    <w:div w:id="1163543097">
      <w:bodyDiv w:val="1"/>
      <w:marLeft w:val="0"/>
      <w:marRight w:val="0"/>
      <w:marTop w:val="0"/>
      <w:marBottom w:val="0"/>
      <w:divBdr>
        <w:top w:val="none" w:sz="0" w:space="0" w:color="auto"/>
        <w:left w:val="none" w:sz="0" w:space="0" w:color="auto"/>
        <w:bottom w:val="none" w:sz="0" w:space="0" w:color="auto"/>
        <w:right w:val="none" w:sz="0" w:space="0" w:color="auto"/>
      </w:divBdr>
    </w:div>
    <w:div w:id="1179541006">
      <w:bodyDiv w:val="1"/>
      <w:marLeft w:val="0"/>
      <w:marRight w:val="0"/>
      <w:marTop w:val="0"/>
      <w:marBottom w:val="0"/>
      <w:divBdr>
        <w:top w:val="none" w:sz="0" w:space="0" w:color="auto"/>
        <w:left w:val="none" w:sz="0" w:space="0" w:color="auto"/>
        <w:bottom w:val="none" w:sz="0" w:space="0" w:color="auto"/>
        <w:right w:val="none" w:sz="0" w:space="0" w:color="auto"/>
      </w:divBdr>
    </w:div>
    <w:div w:id="1184436119">
      <w:bodyDiv w:val="1"/>
      <w:marLeft w:val="0"/>
      <w:marRight w:val="0"/>
      <w:marTop w:val="0"/>
      <w:marBottom w:val="0"/>
      <w:divBdr>
        <w:top w:val="none" w:sz="0" w:space="0" w:color="auto"/>
        <w:left w:val="none" w:sz="0" w:space="0" w:color="auto"/>
        <w:bottom w:val="none" w:sz="0" w:space="0" w:color="auto"/>
        <w:right w:val="none" w:sz="0" w:space="0" w:color="auto"/>
      </w:divBdr>
    </w:div>
    <w:div w:id="1206793822">
      <w:bodyDiv w:val="1"/>
      <w:marLeft w:val="0"/>
      <w:marRight w:val="0"/>
      <w:marTop w:val="0"/>
      <w:marBottom w:val="0"/>
      <w:divBdr>
        <w:top w:val="none" w:sz="0" w:space="0" w:color="auto"/>
        <w:left w:val="none" w:sz="0" w:space="0" w:color="auto"/>
        <w:bottom w:val="none" w:sz="0" w:space="0" w:color="auto"/>
        <w:right w:val="none" w:sz="0" w:space="0" w:color="auto"/>
      </w:divBdr>
    </w:div>
    <w:div w:id="1210149086">
      <w:marLeft w:val="480"/>
      <w:marRight w:val="0"/>
      <w:marTop w:val="0"/>
      <w:marBottom w:val="0"/>
      <w:divBdr>
        <w:top w:val="none" w:sz="0" w:space="0" w:color="auto"/>
        <w:left w:val="none" w:sz="0" w:space="0" w:color="auto"/>
        <w:bottom w:val="none" w:sz="0" w:space="0" w:color="auto"/>
        <w:right w:val="none" w:sz="0" w:space="0" w:color="auto"/>
      </w:divBdr>
    </w:div>
    <w:div w:id="1213663405">
      <w:bodyDiv w:val="1"/>
      <w:marLeft w:val="0"/>
      <w:marRight w:val="0"/>
      <w:marTop w:val="0"/>
      <w:marBottom w:val="0"/>
      <w:divBdr>
        <w:top w:val="none" w:sz="0" w:space="0" w:color="auto"/>
        <w:left w:val="none" w:sz="0" w:space="0" w:color="auto"/>
        <w:bottom w:val="none" w:sz="0" w:space="0" w:color="auto"/>
        <w:right w:val="none" w:sz="0" w:space="0" w:color="auto"/>
      </w:divBdr>
    </w:div>
    <w:div w:id="1258750227">
      <w:bodyDiv w:val="1"/>
      <w:marLeft w:val="0"/>
      <w:marRight w:val="0"/>
      <w:marTop w:val="0"/>
      <w:marBottom w:val="0"/>
      <w:divBdr>
        <w:top w:val="none" w:sz="0" w:space="0" w:color="auto"/>
        <w:left w:val="none" w:sz="0" w:space="0" w:color="auto"/>
        <w:bottom w:val="none" w:sz="0" w:space="0" w:color="auto"/>
        <w:right w:val="none" w:sz="0" w:space="0" w:color="auto"/>
      </w:divBdr>
    </w:div>
    <w:div w:id="1299914189">
      <w:bodyDiv w:val="1"/>
      <w:marLeft w:val="0"/>
      <w:marRight w:val="0"/>
      <w:marTop w:val="0"/>
      <w:marBottom w:val="0"/>
      <w:divBdr>
        <w:top w:val="none" w:sz="0" w:space="0" w:color="auto"/>
        <w:left w:val="none" w:sz="0" w:space="0" w:color="auto"/>
        <w:bottom w:val="none" w:sz="0" w:space="0" w:color="auto"/>
        <w:right w:val="none" w:sz="0" w:space="0" w:color="auto"/>
      </w:divBdr>
    </w:div>
    <w:div w:id="1332871793">
      <w:bodyDiv w:val="1"/>
      <w:marLeft w:val="0"/>
      <w:marRight w:val="0"/>
      <w:marTop w:val="0"/>
      <w:marBottom w:val="0"/>
      <w:divBdr>
        <w:top w:val="none" w:sz="0" w:space="0" w:color="auto"/>
        <w:left w:val="none" w:sz="0" w:space="0" w:color="auto"/>
        <w:bottom w:val="none" w:sz="0" w:space="0" w:color="auto"/>
        <w:right w:val="none" w:sz="0" w:space="0" w:color="auto"/>
      </w:divBdr>
    </w:div>
    <w:div w:id="1338800914">
      <w:bodyDiv w:val="1"/>
      <w:marLeft w:val="0"/>
      <w:marRight w:val="0"/>
      <w:marTop w:val="0"/>
      <w:marBottom w:val="0"/>
      <w:divBdr>
        <w:top w:val="none" w:sz="0" w:space="0" w:color="auto"/>
        <w:left w:val="none" w:sz="0" w:space="0" w:color="auto"/>
        <w:bottom w:val="none" w:sz="0" w:space="0" w:color="auto"/>
        <w:right w:val="none" w:sz="0" w:space="0" w:color="auto"/>
      </w:divBdr>
    </w:div>
    <w:div w:id="1351949734">
      <w:marLeft w:val="480"/>
      <w:marRight w:val="0"/>
      <w:marTop w:val="0"/>
      <w:marBottom w:val="0"/>
      <w:divBdr>
        <w:top w:val="none" w:sz="0" w:space="0" w:color="auto"/>
        <w:left w:val="none" w:sz="0" w:space="0" w:color="auto"/>
        <w:bottom w:val="none" w:sz="0" w:space="0" w:color="auto"/>
        <w:right w:val="none" w:sz="0" w:space="0" w:color="auto"/>
      </w:divBdr>
    </w:div>
    <w:div w:id="1381857138">
      <w:bodyDiv w:val="1"/>
      <w:marLeft w:val="0"/>
      <w:marRight w:val="0"/>
      <w:marTop w:val="0"/>
      <w:marBottom w:val="0"/>
      <w:divBdr>
        <w:top w:val="none" w:sz="0" w:space="0" w:color="auto"/>
        <w:left w:val="none" w:sz="0" w:space="0" w:color="auto"/>
        <w:bottom w:val="none" w:sz="0" w:space="0" w:color="auto"/>
        <w:right w:val="none" w:sz="0" w:space="0" w:color="auto"/>
      </w:divBdr>
    </w:div>
    <w:div w:id="1442340742">
      <w:bodyDiv w:val="1"/>
      <w:marLeft w:val="0"/>
      <w:marRight w:val="0"/>
      <w:marTop w:val="0"/>
      <w:marBottom w:val="0"/>
      <w:divBdr>
        <w:top w:val="none" w:sz="0" w:space="0" w:color="auto"/>
        <w:left w:val="none" w:sz="0" w:space="0" w:color="auto"/>
        <w:bottom w:val="none" w:sz="0" w:space="0" w:color="auto"/>
        <w:right w:val="none" w:sz="0" w:space="0" w:color="auto"/>
      </w:divBdr>
    </w:div>
    <w:div w:id="1493373538">
      <w:marLeft w:val="480"/>
      <w:marRight w:val="0"/>
      <w:marTop w:val="0"/>
      <w:marBottom w:val="0"/>
      <w:divBdr>
        <w:top w:val="none" w:sz="0" w:space="0" w:color="auto"/>
        <w:left w:val="none" w:sz="0" w:space="0" w:color="auto"/>
        <w:bottom w:val="none" w:sz="0" w:space="0" w:color="auto"/>
        <w:right w:val="none" w:sz="0" w:space="0" w:color="auto"/>
      </w:divBdr>
    </w:div>
    <w:div w:id="1529564919">
      <w:bodyDiv w:val="1"/>
      <w:marLeft w:val="0"/>
      <w:marRight w:val="0"/>
      <w:marTop w:val="0"/>
      <w:marBottom w:val="0"/>
      <w:divBdr>
        <w:top w:val="none" w:sz="0" w:space="0" w:color="auto"/>
        <w:left w:val="none" w:sz="0" w:space="0" w:color="auto"/>
        <w:bottom w:val="none" w:sz="0" w:space="0" w:color="auto"/>
        <w:right w:val="none" w:sz="0" w:space="0" w:color="auto"/>
      </w:divBdr>
    </w:div>
    <w:div w:id="1618178229">
      <w:marLeft w:val="480"/>
      <w:marRight w:val="0"/>
      <w:marTop w:val="0"/>
      <w:marBottom w:val="0"/>
      <w:divBdr>
        <w:top w:val="none" w:sz="0" w:space="0" w:color="auto"/>
        <w:left w:val="none" w:sz="0" w:space="0" w:color="auto"/>
        <w:bottom w:val="none" w:sz="0" w:space="0" w:color="auto"/>
        <w:right w:val="none" w:sz="0" w:space="0" w:color="auto"/>
      </w:divBdr>
    </w:div>
    <w:div w:id="1637637200">
      <w:bodyDiv w:val="1"/>
      <w:marLeft w:val="0"/>
      <w:marRight w:val="0"/>
      <w:marTop w:val="0"/>
      <w:marBottom w:val="0"/>
      <w:divBdr>
        <w:top w:val="none" w:sz="0" w:space="0" w:color="auto"/>
        <w:left w:val="none" w:sz="0" w:space="0" w:color="auto"/>
        <w:bottom w:val="none" w:sz="0" w:space="0" w:color="auto"/>
        <w:right w:val="none" w:sz="0" w:space="0" w:color="auto"/>
      </w:divBdr>
    </w:div>
    <w:div w:id="1681160856">
      <w:bodyDiv w:val="1"/>
      <w:marLeft w:val="0"/>
      <w:marRight w:val="0"/>
      <w:marTop w:val="0"/>
      <w:marBottom w:val="0"/>
      <w:divBdr>
        <w:top w:val="none" w:sz="0" w:space="0" w:color="auto"/>
        <w:left w:val="none" w:sz="0" w:space="0" w:color="auto"/>
        <w:bottom w:val="none" w:sz="0" w:space="0" w:color="auto"/>
        <w:right w:val="none" w:sz="0" w:space="0" w:color="auto"/>
      </w:divBdr>
    </w:div>
    <w:div w:id="1691954789">
      <w:bodyDiv w:val="1"/>
      <w:marLeft w:val="0"/>
      <w:marRight w:val="0"/>
      <w:marTop w:val="0"/>
      <w:marBottom w:val="0"/>
      <w:divBdr>
        <w:top w:val="none" w:sz="0" w:space="0" w:color="auto"/>
        <w:left w:val="none" w:sz="0" w:space="0" w:color="auto"/>
        <w:bottom w:val="none" w:sz="0" w:space="0" w:color="auto"/>
        <w:right w:val="none" w:sz="0" w:space="0" w:color="auto"/>
      </w:divBdr>
    </w:div>
    <w:div w:id="1736853301">
      <w:bodyDiv w:val="1"/>
      <w:marLeft w:val="0"/>
      <w:marRight w:val="0"/>
      <w:marTop w:val="0"/>
      <w:marBottom w:val="0"/>
      <w:divBdr>
        <w:top w:val="none" w:sz="0" w:space="0" w:color="auto"/>
        <w:left w:val="none" w:sz="0" w:space="0" w:color="auto"/>
        <w:bottom w:val="none" w:sz="0" w:space="0" w:color="auto"/>
        <w:right w:val="none" w:sz="0" w:space="0" w:color="auto"/>
      </w:divBdr>
    </w:div>
    <w:div w:id="1766463936">
      <w:bodyDiv w:val="1"/>
      <w:marLeft w:val="0"/>
      <w:marRight w:val="0"/>
      <w:marTop w:val="0"/>
      <w:marBottom w:val="0"/>
      <w:divBdr>
        <w:top w:val="none" w:sz="0" w:space="0" w:color="auto"/>
        <w:left w:val="none" w:sz="0" w:space="0" w:color="auto"/>
        <w:bottom w:val="none" w:sz="0" w:space="0" w:color="auto"/>
        <w:right w:val="none" w:sz="0" w:space="0" w:color="auto"/>
      </w:divBdr>
    </w:div>
    <w:div w:id="1786389258">
      <w:bodyDiv w:val="1"/>
      <w:marLeft w:val="0"/>
      <w:marRight w:val="0"/>
      <w:marTop w:val="0"/>
      <w:marBottom w:val="0"/>
      <w:divBdr>
        <w:top w:val="none" w:sz="0" w:space="0" w:color="auto"/>
        <w:left w:val="none" w:sz="0" w:space="0" w:color="auto"/>
        <w:bottom w:val="none" w:sz="0" w:space="0" w:color="auto"/>
        <w:right w:val="none" w:sz="0" w:space="0" w:color="auto"/>
      </w:divBdr>
    </w:div>
    <w:div w:id="1787580615">
      <w:bodyDiv w:val="1"/>
      <w:marLeft w:val="0"/>
      <w:marRight w:val="0"/>
      <w:marTop w:val="0"/>
      <w:marBottom w:val="0"/>
      <w:divBdr>
        <w:top w:val="none" w:sz="0" w:space="0" w:color="auto"/>
        <w:left w:val="none" w:sz="0" w:space="0" w:color="auto"/>
        <w:bottom w:val="none" w:sz="0" w:space="0" w:color="auto"/>
        <w:right w:val="none" w:sz="0" w:space="0" w:color="auto"/>
      </w:divBdr>
    </w:div>
    <w:div w:id="1801411303">
      <w:bodyDiv w:val="1"/>
      <w:marLeft w:val="0"/>
      <w:marRight w:val="0"/>
      <w:marTop w:val="0"/>
      <w:marBottom w:val="0"/>
      <w:divBdr>
        <w:top w:val="none" w:sz="0" w:space="0" w:color="auto"/>
        <w:left w:val="none" w:sz="0" w:space="0" w:color="auto"/>
        <w:bottom w:val="none" w:sz="0" w:space="0" w:color="auto"/>
        <w:right w:val="none" w:sz="0" w:space="0" w:color="auto"/>
      </w:divBdr>
    </w:div>
    <w:div w:id="1837264406">
      <w:marLeft w:val="480"/>
      <w:marRight w:val="0"/>
      <w:marTop w:val="0"/>
      <w:marBottom w:val="0"/>
      <w:divBdr>
        <w:top w:val="none" w:sz="0" w:space="0" w:color="auto"/>
        <w:left w:val="none" w:sz="0" w:space="0" w:color="auto"/>
        <w:bottom w:val="none" w:sz="0" w:space="0" w:color="auto"/>
        <w:right w:val="none" w:sz="0" w:space="0" w:color="auto"/>
      </w:divBdr>
    </w:div>
    <w:div w:id="1851289808">
      <w:marLeft w:val="480"/>
      <w:marRight w:val="0"/>
      <w:marTop w:val="0"/>
      <w:marBottom w:val="0"/>
      <w:divBdr>
        <w:top w:val="none" w:sz="0" w:space="0" w:color="auto"/>
        <w:left w:val="none" w:sz="0" w:space="0" w:color="auto"/>
        <w:bottom w:val="none" w:sz="0" w:space="0" w:color="auto"/>
        <w:right w:val="none" w:sz="0" w:space="0" w:color="auto"/>
      </w:divBdr>
    </w:div>
    <w:div w:id="1912765217">
      <w:bodyDiv w:val="1"/>
      <w:marLeft w:val="0"/>
      <w:marRight w:val="0"/>
      <w:marTop w:val="0"/>
      <w:marBottom w:val="0"/>
      <w:divBdr>
        <w:top w:val="none" w:sz="0" w:space="0" w:color="auto"/>
        <w:left w:val="none" w:sz="0" w:space="0" w:color="auto"/>
        <w:bottom w:val="none" w:sz="0" w:space="0" w:color="auto"/>
        <w:right w:val="none" w:sz="0" w:space="0" w:color="auto"/>
      </w:divBdr>
    </w:div>
    <w:div w:id="1917520047">
      <w:bodyDiv w:val="1"/>
      <w:marLeft w:val="0"/>
      <w:marRight w:val="0"/>
      <w:marTop w:val="0"/>
      <w:marBottom w:val="0"/>
      <w:divBdr>
        <w:top w:val="none" w:sz="0" w:space="0" w:color="auto"/>
        <w:left w:val="none" w:sz="0" w:space="0" w:color="auto"/>
        <w:bottom w:val="none" w:sz="0" w:space="0" w:color="auto"/>
        <w:right w:val="none" w:sz="0" w:space="0" w:color="auto"/>
      </w:divBdr>
    </w:div>
    <w:div w:id="1918515940">
      <w:bodyDiv w:val="1"/>
      <w:marLeft w:val="0"/>
      <w:marRight w:val="0"/>
      <w:marTop w:val="0"/>
      <w:marBottom w:val="0"/>
      <w:divBdr>
        <w:top w:val="none" w:sz="0" w:space="0" w:color="auto"/>
        <w:left w:val="none" w:sz="0" w:space="0" w:color="auto"/>
        <w:bottom w:val="none" w:sz="0" w:space="0" w:color="auto"/>
        <w:right w:val="none" w:sz="0" w:space="0" w:color="auto"/>
      </w:divBdr>
    </w:div>
    <w:div w:id="1970277355">
      <w:bodyDiv w:val="1"/>
      <w:marLeft w:val="0"/>
      <w:marRight w:val="0"/>
      <w:marTop w:val="0"/>
      <w:marBottom w:val="0"/>
      <w:divBdr>
        <w:top w:val="none" w:sz="0" w:space="0" w:color="auto"/>
        <w:left w:val="none" w:sz="0" w:space="0" w:color="auto"/>
        <w:bottom w:val="none" w:sz="0" w:space="0" w:color="auto"/>
        <w:right w:val="none" w:sz="0" w:space="0" w:color="auto"/>
      </w:divBdr>
    </w:div>
    <w:div w:id="1984768270">
      <w:bodyDiv w:val="1"/>
      <w:marLeft w:val="0"/>
      <w:marRight w:val="0"/>
      <w:marTop w:val="0"/>
      <w:marBottom w:val="0"/>
      <w:divBdr>
        <w:top w:val="none" w:sz="0" w:space="0" w:color="auto"/>
        <w:left w:val="none" w:sz="0" w:space="0" w:color="auto"/>
        <w:bottom w:val="none" w:sz="0" w:space="0" w:color="auto"/>
        <w:right w:val="none" w:sz="0" w:space="0" w:color="auto"/>
      </w:divBdr>
    </w:div>
    <w:div w:id="2002388986">
      <w:bodyDiv w:val="1"/>
      <w:marLeft w:val="0"/>
      <w:marRight w:val="0"/>
      <w:marTop w:val="0"/>
      <w:marBottom w:val="0"/>
      <w:divBdr>
        <w:top w:val="none" w:sz="0" w:space="0" w:color="auto"/>
        <w:left w:val="none" w:sz="0" w:space="0" w:color="auto"/>
        <w:bottom w:val="none" w:sz="0" w:space="0" w:color="auto"/>
        <w:right w:val="none" w:sz="0" w:space="0" w:color="auto"/>
      </w:divBdr>
    </w:div>
    <w:div w:id="2003192280">
      <w:marLeft w:val="480"/>
      <w:marRight w:val="0"/>
      <w:marTop w:val="0"/>
      <w:marBottom w:val="0"/>
      <w:divBdr>
        <w:top w:val="none" w:sz="0" w:space="0" w:color="auto"/>
        <w:left w:val="none" w:sz="0" w:space="0" w:color="auto"/>
        <w:bottom w:val="none" w:sz="0" w:space="0" w:color="auto"/>
        <w:right w:val="none" w:sz="0" w:space="0" w:color="auto"/>
      </w:divBdr>
    </w:div>
    <w:div w:id="2012676403">
      <w:bodyDiv w:val="1"/>
      <w:marLeft w:val="0"/>
      <w:marRight w:val="0"/>
      <w:marTop w:val="0"/>
      <w:marBottom w:val="0"/>
      <w:divBdr>
        <w:top w:val="none" w:sz="0" w:space="0" w:color="auto"/>
        <w:left w:val="none" w:sz="0" w:space="0" w:color="auto"/>
        <w:bottom w:val="none" w:sz="0" w:space="0" w:color="auto"/>
        <w:right w:val="none" w:sz="0" w:space="0" w:color="auto"/>
      </w:divBdr>
    </w:div>
    <w:div w:id="2108496285">
      <w:bodyDiv w:val="1"/>
      <w:marLeft w:val="0"/>
      <w:marRight w:val="0"/>
      <w:marTop w:val="0"/>
      <w:marBottom w:val="0"/>
      <w:divBdr>
        <w:top w:val="none" w:sz="0" w:space="0" w:color="auto"/>
        <w:left w:val="none" w:sz="0" w:space="0" w:color="auto"/>
        <w:bottom w:val="none" w:sz="0" w:space="0" w:color="auto"/>
        <w:right w:val="none" w:sz="0" w:space="0" w:color="auto"/>
      </w:divBdr>
    </w:div>
    <w:div w:id="2142843092">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webSettings" Target="webSettings.xml"/><Relationship Id="rId13" Type="http://schemas.openxmlformats.org/officeDocument/2006/relationships/hyperlink" Target="https://doi.org/10.1029/2024JH000272" TargetMode="External"/><Relationship Id="rId18" Type="http://schemas.openxmlformats.org/officeDocument/2006/relationships/hyperlink" Target="https://www.ipcc.ch/report/ar6/wg1/about/how-to-cite-this-report/" TargetMode="External"/><Relationship Id="rId26" Type="http://schemas.openxmlformats.org/officeDocument/2006/relationships/header" Target="header1.xml"/><Relationship Id="rId3" Type="http://schemas.openxmlformats.org/officeDocument/2006/relationships/customXml" Target="../customXml/item3.xml"/><Relationship Id="rId21" Type="http://schemas.openxmlformats.org/officeDocument/2006/relationships/hyperlink" Target="https://glodap.info/index.php/fair-data-use-statement/" TargetMode="External"/><Relationship Id="rId7" Type="http://schemas.openxmlformats.org/officeDocument/2006/relationships/settings" Target="settings.xml"/><Relationship Id="rId12" Type="http://schemas.openxmlformats.org/officeDocument/2006/relationships/hyperlink" Target="https://doi.org/10.1111/gcb.13152" TargetMode="External"/><Relationship Id="rId17" Type="http://schemas.openxmlformats.org/officeDocument/2006/relationships/hyperlink" Target="https://doi.org/10.5194/essd-15-4481-2023" TargetMode="External"/><Relationship Id="rId25" Type="http://schemas.openxmlformats.org/officeDocument/2006/relationships/hyperlink" Target="https://earth-system-biogeochemistry.net/wp-content/uploads/2021/05/Hain_et_al_2014_ToG.pdf" TargetMode="External"/><Relationship Id="rId2" Type="http://schemas.openxmlformats.org/officeDocument/2006/relationships/customXml" Target="../customXml/item2.xml"/><Relationship Id="rId16" Type="http://schemas.openxmlformats.org/officeDocument/2006/relationships/hyperlink" Target="https://doi.org/https://doi.org/10.1016/j.pocean.2009.03.004" TargetMode="External"/><Relationship Id="rId20" Type="http://schemas.openxmlformats.org/officeDocument/2006/relationships/hyperlink" Target="https://doi.org/10.1126/sciadv.1601545" TargetMode="External"/><Relationship Id="rId29" Type="http://schemas.openxmlformats.org/officeDocument/2006/relationships/fontTable" Target="fontTable.xml"/><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image" Target="media/image1.PNG"/><Relationship Id="rId24" Type="http://schemas.openxmlformats.org/officeDocument/2006/relationships/hyperlink" Target="https://doi.org/10.1146/annurev-marine-040722-115226" TargetMode="External"/><Relationship Id="rId5" Type="http://schemas.openxmlformats.org/officeDocument/2006/relationships/numbering" Target="numbering.xml"/><Relationship Id="rId15" Type="http://schemas.openxmlformats.org/officeDocument/2006/relationships/hyperlink" Target="https://doi.org/10.17882/103915" TargetMode="External"/><Relationship Id="rId23" Type="http://schemas.openxmlformats.org/officeDocument/2006/relationships/hyperlink" Target="https://doi.org/10.1186/s40645-020-00338-y" TargetMode="External"/><Relationship Id="rId28" Type="http://schemas.openxmlformats.org/officeDocument/2006/relationships/footer" Target="footer2.xml"/><Relationship Id="rId10" Type="http://schemas.openxmlformats.org/officeDocument/2006/relationships/endnotes" Target="endnotes.xml"/><Relationship Id="rId19" Type="http://schemas.openxmlformats.org/officeDocument/2006/relationships/hyperlink" Target="https://doi.org/10.1029/2012GL051106" TargetMode="External"/><Relationship Id="rId4" Type="http://schemas.openxmlformats.org/officeDocument/2006/relationships/customXml" Target="../customXml/item4.xml"/><Relationship Id="rId9" Type="http://schemas.openxmlformats.org/officeDocument/2006/relationships/footnotes" Target="footnotes.xml"/><Relationship Id="rId14" Type="http://schemas.openxmlformats.org/officeDocument/2006/relationships/hyperlink" Target="https://doi.org/10.1029/2024GB008371" TargetMode="External"/><Relationship Id="rId22" Type="http://schemas.openxmlformats.org/officeDocument/2006/relationships/hyperlink" Target="https://doi.org/10.1038/nature21399" TargetMode="External"/><Relationship Id="rId27" Type="http://schemas.openxmlformats.org/officeDocument/2006/relationships/footer" Target="footer1.xml"/><Relationship Id="rId30" Type="http://schemas.openxmlformats.org/officeDocument/2006/relationships/theme" Target="theme/theme1.xml"/></Relationships>
</file>

<file path=word/theme/theme1.xml><?xml version="1.0" encoding="utf-8"?>
<a:theme xmlns:a="http://schemas.openxmlformats.org/drawingml/2006/main" name="Kantoorthema">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word/webextensions/_rels/taskpanes.xml.rels><?xml version="1.0" encoding="UTF-8" standalone="yes"?>
<Relationships xmlns="http://schemas.openxmlformats.org/package/2006/relationships"><Relationship Id="rId1" Type="http://schemas.microsoft.com/office/2011/relationships/webextension" Target="webextension1.xml"/></Relationships>
</file>

<file path=word/webextensions/taskpanes.xml><?xml version="1.0" encoding="utf-8"?>
<wetp:taskpanes xmlns:wetp="http://schemas.microsoft.com/office/webextensions/taskpanes/2010/11">
  <wetp:taskpane dockstate="right" visibility="0" width="350" row="2">
    <wetp:webextensionref xmlns:r="http://schemas.openxmlformats.org/officeDocument/2006/relationships" r:id="rId1"/>
  </wetp:taskpane>
</wetp:taskpanes>
</file>

<file path=word/webextensions/webextension1.xml><?xml version="1.0" encoding="utf-8"?>
<we:webextension xmlns:we="http://schemas.microsoft.com/office/webextensions/webextension/2010/11" id="{4FEED918-E5D1-452D-AA67-9E8F2B499CA1}">
  <we:reference id="f78a3046-9e99-4300-aa2b-5814002b01a2" version="1.55.1.0" store="EXCatalog" storeType="EXCatalog"/>
  <we:alternateReferences>
    <we:reference id="WA104382081" version="1.55.1.0" store="en-US" storeType="OMEX"/>
  </we:alternateReferences>
  <we:properties>
    <we:property name="MENDELEY_BIBLIOGRAPHY_IS_DIRTY" value="true"/>
    <we:property name="MENDELEY_BIBLIOGRAPHY_LAST_MODIFIED" value="1764326162567"/>
    <we:property name="MENDELEY_CITATIONS" value="[{&quot;citationID&quot;:&quot;MENDELEY_CITATION_9db9d89d-f27f-4645-92bb-712c9e3225c1&quot;,&quot;properties&quot;:{&quot;noteIndex&quot;:0},&quot;isEdited&quot;:false,&quot;manualOverride&quot;:{&quot;isManuallyOverridden&quot;:false,&quot;citeprocText&quot;:&quot;(Baker et al., 2018; Grassle et al., 1988; Luo et al., 2023; Putra et al., 2025; Snelgrove et al., 1992, 1996)&quot;,&quot;manualOverrideText&quot;:&quot;&quot;},&quot;citationTag&quot;:&quot;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&quot;,&quot;citationItems&quot;:[{&quot;id&quot;:&quot;62fcb49d-50cc-35fb-b806-fa6ccd6df520&quot;,&quot;itemData&quot;:{&quot;type&quot;:&quot;book&quot;,&quot;id&quot;:&quot;62fcb49d-50cc-35fb-b806-fa6ccd6df520&quot;,&quot;title&quot;:&quot;Global Venting, Midwater, and Benthic Ecological Processes&quot;,&quot;author&quot;:[{&quot;family&quot;:&quot;Grassle&quot;,&quot;given&quot;:&quot;J. Frederick&quot;,&quot;parse-names&quot;:false,&quot;dropping-particle&quot;:&quot;&quot;,&quot;non-dropping-particle&quot;:&quot;&quot;},{&quot;family&quot;:&quot;Snelgrove&quot;,&quot;given&quot;:&quot;Paul V. R.&quot;,&quot;parse-names&quot;:false,&quot;dropping-particle&quot;:&quot;&quot;,&quot;non-dropping-particle&quot;:&quot;&quot;},{&quot;family&quot;:&quot;Weinberg&quot;,&quot;given&quot;:&quot;James R&quot;,&quot;parse-names&quot;:false,&quot;dropping-particle&quot;:&quot;&quot;,&quot;non-dropping-particle&quot;:&quot;&quot;},{&quot;family&quot;:&quot;Whitlatch&quot;,&quot;given&quot;:&quot;Robert B.&quot;,&quot;parse-names&quot;:false,&quot;dropping-particle&quot;:&quot;&quot;,&quot;non-dropping-particle&quot;:&quot;&quot;}],&quot;editor&quot;:[{&quot;family&quot;:&quot;Luca&quot;,&quot;given&quot;:&quot;Michael P&quot;,&quot;parse-names&quot;:false,&quot;dropping-particle&quot;:&quot;&quot;,&quot;non-dropping-particle&quot;:&quot;De&quot;},{&quot;family&quot;:&quot;Babb&quot;,&quot;given&quot;:&quot;Ivar&quot;,&quot;parse-names&quot;:false,&quot;dropping-particle&quot;:&quot;&quot;,&quot;non-dropping-particle&quot;:&quot;&quot;}],&quot;issued&quot;:{&quot;date-parts&quot;:[[1988]]},&quot;number-of-pages&quot;:&quot;283-289&quot;,&quot;publisher&quot;:&quot;US Department of Commerce, National Oceanic and Atmospheric Administration, Oceanic and Atmospheric Research, Office of Undersea Research.&quot;,&quot;volume&quot;:&quot;88, No. 4&quot;,&quot;container-title-short&quot;:&quot;&quot;},&quot;isTemporary&quot;:false},{&quot;id&quot;:&quot;d80e5535-8e5e-3b80-ac5d-84ce0a27bb3d&quot;,&quot;itemData&quot;:{&quot;type&quot;:&quot;article-journal&quot;,&quot;id&quot;:&quot;d80e5535-8e5e-3b80-ac5d-84ce0a27bb3d&quot;,&quot;title&quot;:&quot;The role of food patches in maintaining high deep-sea diversity: Field experiments with hydrodynamically unbiased colonization trays&quot;,&quot;author&quot;:[{&quot;family&quot;:&quot;Snelgrove&quot;,&quot;given&quot;:&quot;P V R&quot;,&quot;parse-names&quot;:false,&quot;dropping-particle&quot;:&quot;&quot;,&quot;non-dropping-particle&quot;:&quot;&quot;},{&quot;family&quot;:&quot;Grassle&quot;,&quot;given&quot;:&quot;J F&quot;,&quot;parse-names&quot;:false,&quot;dropping-particle&quot;:&quot;&quot;,&quot;non-dropping-particle&quot;:&quot;&quot;},{&quot;family&quot;:&quot;Petrecca&quot;,&quot;given&quot;:&quot;R F&quot;,&quot;parse-names&quot;:false,&quot;dropping-particle&quot;:&quot;&quot;,&quot;non-dropping-particle&quot;:&quot;&quot;}],&quot;container-title&quot;:&quot;Limnology and Oceanography&quot;,&quot;container-title-short&quot;:&quot;Limnol Oceanogr&quot;,&quot;DOI&quot;:&quot;https://doi.org/10.4319/lo.1992.37.7.1543&quot;,&quot;ISSN&quot;:&quot;0024-3590&quot;,&quot;URL&quot;:&quot;https://doi.org/10.4319/lo.1992.37.7.1543&quot;,&quot;issued&quot;:{&quot;date-parts&quot;:[[1992,11,1]]},&quot;page&quot;:&quot;1543-1550&quot;,&quot;abstract&quot;:&quot;To test whether deep-sea macrofaunal diversity is enhanced by specialization on small-scale food patches, we deployed colonization trays by submersible at 900-m depth for 23 d. Trays were buried flush with the seafloor to minimize potential hydrodynamic bias. Treatments included prefrozen, natural sediment that was unenriched or enriched with either Thalassiosira sp. or Sargassum sp. Density comparisons and rarefaction analysis indicate that Thalassiosira sp. attracted high densities of several taxa of juvenile opportunists, and Sargassum sp. trays were colonized by fewer individuals of a more diverse fauna. Ambient faunal diversity was higher and densities lower than enrichment treatments, although unenriched trays did not attain ambient densities. Results suggest that juveniles, rather than adults, specialize on specific patch types, thus contributing to high deep-sea diversity; this bottleneck may be fundamentally different from less diverse, shallow-water macrofaunal assemblages.&quot;,&quot;publisher&quot;:&quot;John Wiley &amp; Sons, Ltd&quot;,&quot;issue&quot;:&quot;7&quot;,&quot;volume&quot;:&quot;37&quot;},&quot;isTemporary&quot;:false},{&quot;id&quot;:&quot;d6ee8831-c66d-3fb4-a4a5-f460cbf9b207&quot;,&quot;itemData&quot;:{&quot;type&quot;:&quot;article-journal&quot;,&quot;id&quot;:&quot;d6ee8831-c66d-3fb4-a4a5-f460cbf9b207&quot;,&quot;title&quot;:&quot;Experimental evidence for aging food patches as a factor contributing to high deep-sea macrofaunal diversity&quot;,&quot;author&quot;:[{&quot;family&quot;:&quot;Snelgrove&quot;,&quot;given&quot;:&quot;Paul V R&quot;,&quot;parse-names&quot;:false,&quot;dropping-particle&quot;:&quot;&quot;,&quot;non-dropping-particle&quot;:&quot;&quot;},{&quot;family&quot;:&quot;Grassle&quot;,&quot;given&quot;:&quot;J Frederick&quot;,&quot;parse-names&quot;:false,&quot;dropping-particle&quot;:&quot;&quot;,&quot;non-dropping-particle&quot;:&quot;&quot;},{&quot;family&quot;:&quot;Petrecca&quot;,&quot;given&quot;:&quot;Rosemarie F&quot;,&quot;parse-names&quot;:false,&quot;dropping-particle&quot;:&quot;&quot;,&quot;non-dropping-particle&quot;:&quot;&quot;}],&quot;container-title&quot;:&quot;Limnology and Oceanography&quot;,&quot;container-title-short&quot;:&quot;Limnol Oceanogr&quot;,&quot;DOI&quot;:&quot;https://doi.org/10.4319/lo.1996.41.4.0605&quot;,&quot;ISSN&quot;:&quot;0024-3590&quot;,&quot;URL&quot;:&quot;https://doi.org/10.4319/lo.1996.41.4.0605&quot;,&quot;issued&quot;:{&quot;date-parts&quot;:[[1996,6,1]]},&quot;page&quot;:&quot;605-614&quot;,&quot;abstract&quot;:&quot;To determine whether deep-sea macrofaunal succession is observed in response to small-scale patches, we deployed colonization trays at 900-m depth for 23 d and 28 months. Treatments included sediment that was unenriched or enriched with Sargassum natans. Short-term Sargassum trays contained significantly higher and short-term unenriched trays significantly lower total densities than the ambient sediment. Both Sargassum treatments attracted high densities of a low-diversity fauna, but they differed in species composition. Short-term, unenriched trays attracted low densities of a high-diversity fauna, and long-term unenriched trays attracted high densities of a moderately diverse fauna. All treatments showed low faunal affinity with the ambient community. In a 19-d experiment with S. natans incubated in situ or in sterilized seawater, different species dominated. Thus, differences between 23-d and 28-month Sargassum trays may have been related to changes in the food source; a succession of different species colonize aging patches, indicating that patch age may be an important source of microheterogeneity for deep-sea macrofauna.&quot;,&quot;publisher&quot;:&quot;John Wiley &amp; Sons, Ltd&quot;,&quot;issue&quot;:&quot;4&quot;,&quot;volume&quot;:&quot;41&quot;},&quot;isTemporary&quot;:false},{&quot;id&quot;:&quot;dfa0b123-0b74-3a22-8139-ecfc764c1356&quot;,&quot;itemData&quot;:{&quot;type&quot;:&quot;article-journal&quot;,&quot;id&quot;:&quot;dfa0b123-0b74-3a22-8139-ecfc764c1356&quot;,&quot;title&quot;:&quot;Potential contribution of surface-dwelling Sargassum algae to deep-sea ecosystems in the southern North Atlantic&quot;,&quot;author&quot;:[{&quot;family&quot;:&quot;Baker&quot;,&quot;given&quot;:&quot;Philip&quot;,&quot;parse-names&quot;:false,&quot;dropping-particle&quot;:&quot;&quot;,&quot;non-dropping-particle&quot;:&quot;&quot;},{&quot;family&quot;:&quot;Minzlaff&quot;,&quot;given&quot;:&quot;Ulrike&quot;,&quot;parse-names&quot;:false,&quot;dropping-particle&quot;:&quot;&quot;,&quot;non-dropping-particle&quot;:&quot;&quot;},{&quot;family&quot;:&quot;Schoenle&quot;,&quot;given&quot;:&quot;Alexandra&quot;,&quot;parse-names&quot;:false,&quot;dropping-particle&quot;:&quot;&quot;,&quot;non-dropping-particle&quot;:&quot;&quot;},{&quot;family&quot;:&quot;Schwabe&quot;,&quot;given&quot;:&quot;Enrico&quot;,&quot;parse-names&quot;:false,&quot;dropping-particle&quot;:&quot;&quot;,&quot;non-dropping-particle&quot;:&quot;&quot;},{&quot;family&quot;:&quot;Hohlfeld&quot;,&quot;given&quot;:&quot;Manon&quot;,&quot;parse-names&quot;:false,&quot;dropping-particle&quot;:&quot;&quot;,&quot;non-dropping-particle&quot;:&quot;&quot;},{&quot;family&quot;:&quot;Jeuck&quot;,&quot;given&quot;:&quot;Alexandra&quot;,&quot;parse-names&quot;:false,&quot;dropping-particle&quot;:&quot;&quot;,&quot;non-dropping-particle&quot;:&quot;&quot;},{&quot;family&quot;:&quot;Brenke&quot;,&quot;given&quot;:&quot;Nils&quot;,&quot;parse-names&quot;:false,&quot;dropping-particle&quot;:&quot;&quot;,&quot;non-dropping-particle&quot;:&quot;&quot;},{&quot;family&quot;:&quot;Prausse&quot;,&quot;given&quot;:&quot;Dennis&quot;,&quot;parse-names&quot;:false,&quot;dropping-particle&quot;:&quot;&quot;,&quot;non-dropping-particle&quot;:&quot;&quot;},{&quot;family&quot;:&quot;Rothenbeck&quot;,&quot;given&quot;:&quot;Marcel&quot;,&quot;parse-names&quot;:false,&quot;dropping-particle&quot;:&quot;&quot;,&quot;non-dropping-particle&quot;:&quot;&quot;},{&quot;family&quot;:&quot;Brix&quot;,&quot;given&quot;:&quot;Saskia&quot;,&quot;parse-names&quot;:false,&quot;dropping-particle&quot;:&quot;&quot;,&quot;non-dropping-particle&quot;:&quot;&quot;},{&quot;family&quot;:&quot;Frutos&quot;,&quot;given&quot;:&quot;Inmaculada&quot;,&quot;parse-names&quot;:false,&quot;dropping-particle&quot;:&quot;&quot;,&quot;non-dropping-particle&quot;:&quot;&quot;},{&quot;family&quot;:&quot;Jörger&quot;,&quot;given&quot;:&quot;Katharina M&quot;,&quot;parse-names&quot;:false,&quot;dropping-particle&quot;:&quot;&quot;,&quot;non-dropping-particle&quot;:&quot;&quot;},{&quot;family&quot;:&quot;Neusser&quot;,&quot;given&quot;:&quot;Timea P&quot;,&quot;parse-names&quot;:false,&quot;dropping-particle&quot;:&quot;&quot;,&quot;non-dropping-particle&quot;:&quot;&quot;},{&quot;family&quot;:&quot;Koppelmann&quot;,&quot;given&quot;:&quot;Rolf&quot;,&quot;parse-names&quot;:false,&quot;dropping-particle&quot;:&quot;&quot;,&quot;non-dropping-particle&quot;:&quot;&quot;},{&quot;family&quot;:&quot;Devey&quot;,&quot;given&quot;:&quot;Colin&quot;,&quot;parse-names&quot;:false,&quot;dropping-particle&quot;:&quot;&quot;,&quot;non-dropping-particle&quot;:&quot;&quot;},{&quot;family&quot;:&quot;Brandt&quot;,&quot;given&quot;:&quot;Angelika&quot;,&quot;parse-names&quot;:false,&quot;dropping-particle&quot;:&quot;&quot;,&quot;non-dropping-particle&quot;:&quot;&quot;},{&quot;family&quot;:&quot;Arndt&quot;,&quot;given&quot;:&quot;Hartmut&quot;,&quot;parse-names&quot;:false,&quot;dropping-particle&quot;:&quot;&quot;,&quot;non-dropping-particle&quot;:&quot;&quot;}],&quot;container-title&quot;:&quot;Deep Sea Research Part II: Topical Studies in Oceanography&quot;,&quot;DOI&quot;:&quot;https://doi.org/10.1016/j.dsr2.2017.10.002&quot;,&quot;ISSN&quot;:&quot;0967-0645&quot;,&quot;URL&quot;:&quot;https://www.sciencedirect.com/science/article/pii/S0967064516304283&quot;,&quot;issued&quot;:{&quot;date-parts&quot;:[[2018]]},&quot;page&quot;:&quot;21-34&quot;,&quot;abstract&quot;:&quot;Deep-sea ecosystems, limited by their inability to use primary production as a source of carbon, rely on other sources to maintain life. Sedimentation of organic carbon into the deep sea has been previously studied, however, the high biomass of sedimented Sargassum algae discovered during the VEMA Transit expedition in 2014/2015 to the southern North Atlantic, and its potential as a regular carbon input, has been an underestimated phenomenon. To determine the potential for this carbon flux, a literature survey of previous studies that estimated the abundance of surface water Sargassum was conducted. We compared these estimates with quantitative analyses of sedimented Sargassum appearing on photos taken with an autonomous underwater vehicle (AUV) directly above the abyssal sediment during the expedition. Organismal communities associated to Sargassum fluitans from surface waters were investigated and Sargassum samples collected from surface waters and the deep sea were biochemically analyzed (fatty acids, stable isotopes, C:N ratios) to determine degradation potential and the trophic significance within deep-sea communities. The estimated Sargassum biomass (fresh weight) in the deep sea (0.07–3.75g/m2) was several times higher than that estimated from surface waters in the North Atlantic (0.024–0.84g/m2). Biochemical analysis showed degradation of Sargassum occurring during sedimentation or in the deep sea, however, fatty acid and stable isotope analysis did not indicate direct trophic interactions between the algae and benthic organisms. Thus, it is assumed that components of the deep-sea microbial food web form an important link between the macroalgae and larger benthic organisms. Evaluation of the epifauna showed a diverse nano- micro-, meio, and macrofauna on surface Sargassum and maybe transported across the Atlantic, but we had no evidence for a vertical exchange of fauna components. The large-scale sedimentation of Sargassum forms an important trophic link between surface and benthic production and has to be further considered in the future as a regular carbon input to the deep-sea floor in the North Atlantic.&quot;,&quot;volume&quot;:&quot;148&quot;,&quot;container-title-short&quot;:&quot;&quot;},&quot;isTemporary&quot;:false},{&quot;id&quot;:&quot;3c20d116-d8ba-3c81-9379-9e548795fe38&quot;,&quot;itemData&quot;:{&quot;type&quot;:&quot;article-journal&quot;,&quot;id&quot;:&quot;3c20d116-d8ba-3c81-9379-9e548795fe38&quot;,&quot;title&quot;:&quot;Carbon retention in the stipe of kelp Eisenia bicyclis revealed by underwater decomposition experiments&quot;,&quot;author&quot;:[{&quot;family&quot;:&quot;Putra&quot;,&quot;given&quot;:&quot;Delta&quot;,&quot;parse-names&quot;:false,&quot;dropping-particle&quot;:&quot;&quot;,&quot;non-dropping-particle&quot;:&quot;&quot;},{&quot;family&quot;:&quot;Suzuki&quot;,&quot;given&quot;:&quot;Haruka&quot;,&quot;parse-names&quot;:false,&quot;dropping-particle&quot;:&quot;&quot;,&quot;non-dropping-particle&quot;:&quot;&quot;},{&quot;family&quot;:&quot;Aoki&quot;,&quot;given&quot;:&quot;Masakazu N&quot;,&quot;parse-names&quot;:false,&quot;dropping-particle&quot;:&quot;&quot;,&quot;non-dropping-particle&quot;:&quot;&quot;}],&quot;container-title&quot;:&quot;Journal of Applied Phycology&quot;,&quot;container-title-short&quot;:&quot;J Appl Phycol&quot;,&quot;DOI&quot;:&quot;10.1007/s10811-025-03532-x&quot;,&quot;ISSN&quot;:&quot;1573-5176&quot;,&quot;URL&quot;:&quot;https://doi.org/10.1007/s10811-025-03532-x&quot;,&quot;issued&quot;:{&quot;date-parts&quot;:[[2025]]},&quot;page&quot;:&quot;2821-2828&quot;,&quot;abstract&quot;:&quot;Coastal macroalgae are important for global warming mitigation due to their high carbon fixation efficiency. Stipitate laminarian kelps provide a large sink of carbon storage that consists of different thallus parts: blades, stipe and holdfast, where susceptibility to decomposition mainly depends on thallus rigidity. In this study, carbon retention was investigated in the stipe of the stipitate kelp Eisenia bicyclis by field decomposition experiments at three different times of the year. Stipes were examined with respect to their rigidity compared with blades and holdfasts. Cut pieces of stipe were suspended in the water column to prevent consumption by benthic grazers for the duration of the experiments. Stipe decomposition rate was found to be lower at lower water temperatures. Warm water temperatures accelerated the decomposition rate of the stipe and reduced the effectiveness of its function as carbon sink. Stipes of stipitate kelp (as the most rigid structure of marine algae) can function as a long-term carbon sink, but warming of the coastal environment may reduce the effectiveness of this potential function.&quot;,&quot;issue&quot;:&quot;4&quot;,&quot;volume&quot;:&quot;37&quot;},&quot;isTemporary&quot;:false},{&quot;id&quot;:&quot;91efb5b4-8d73-3910-81a9-d915a9f62230&quot;,&quot;itemData&quot;:{&quot;type&quot;:&quot;article-journal&quot;,&quot;id&quot;:&quot;91efb5b4-8d73-3910-81a9-d915a9f62230&quot;,&quot;title&quot;:&quot;The ecological effect of large-scale coastal natural and cultivated seaweed litter decay processes: An overview and perspective&quot;,&quot;author&quot;:[{&quot;family&quot;:&quot;Luo&quot;,&quot;given&quot;:&quot;Hongtian&quot;,&quot;parse-names&quot;:false,&quot;dropping-particle&quot;:&quot;&quot;,&quot;non-dropping-particle&quot;:&quot;&quot;},{&quot;family&quot;:&quot;Yang&quot;,&quot;given&quot;:&quot;Yufeng&quot;,&quot;parse-names&quot;:false,&quot;dropping-particle&quot;:&quot;&quot;,&quot;non-dropping-particle&quot;:&quot;&quot;},{&quot;family&quot;:&quot;Xie&quot;,&quot;given&quot;:&quot;Songguang&quot;,&quot;parse-names&quot;:false,&quot;dropping-particle&quot;:&quot;&quot;,&quot;non-dropping-particle&quot;:&quot;&quot;}],&quot;container-title&quot;:&quot;Journal of Environmental Management&quot;,&quot;container-title-short&quot;:&quot;J Environ Manage&quot;,&quot;DOI&quot;:&quot;https://doi.org/10.1016/j.jenvman.2023.118091&quot;,&quot;ISSN&quot;:&quot;0301-4797&quot;,&quot;URL&quot;:&quot;https://www.sciencedirect.com/science/article/pii/S0301479723008794&quot;,&quot;issued&quot;:{&quot;date-parts&quot;:[[2023]]},&quot;page&quot;:&quot;118091&quot;,&quot;abstract&quot;:&quot;Seaweeds are important components of marine ecosystems and can form a large biomass in a few months. The decomposition of seaweed litter provides energy and material for primary producers and consumers and is an important link between material circulation and energy flow in the ecosystem. However, during the growth process, part of the seaweed is deposited on the sediment surface in the form of litter. Under the joint action of the environment and organisms, elements enriched in seaweed can be released back into the environment in a short time, causing pollution problems. The cultivation yield of seaweed worldwide reached 34.7 million tons in 2019, but the litter produced during the growth and harvest process has become a vital bottleneck that restricts the further improvement of production and sustainable development of the seaweed cultivation industry. Seaweed outbreaks worldwide occur frequently, producing a mass of litter and resulting in environmental pollution on coasts and economic losses, which have negative effects on coastal ecosystems. The objective of this review is to discuss the decomposition process and ecological environmental effects of seaweed litter from the aspects of the research progress on seaweed litter; the impact of seaweed litter on the environment; and its interaction with organisms. Understanding the decomposition process and environmental impact of seaweed litter can provide theoretical support for coastal environmental protection, seaweed resource conservation and sustainable development of the seaweed cultivation industry worldwide. This review suggests that in the process of large-scale seaweed cultivation and seaweed outbreaks, ageing or falling litter should be cleared in a timely manner, mature seaweed should be harvested in stages, and dried seaweed produced after harvest and washed up on shore should be handled properly to ensure the benefits of environmental protection provided by seaweed growth and sustainable seaweed resource development.&quot;,&quot;volume&quot;:&quot;341&quot;},&quot;isTemporary&quot;:false}]},{&quot;citationID&quot;:&quot;MENDELEY_CITATION_50a024ac-09a9-4a8c-8235-218be52cba02&quot;,&quot;properties&quot;:{&quot;noteIndex&quot;:0},&quot;isEdited&quot;:false,&quot;manualOverride&quot;:{&quot;isManuallyOverridden&quot;:false,&quot;citeprocText&quot;:&quot;(Miyamoto et al., 2019)&quot;,&quot;manualOverrideText&quot;:&quot;&quot;},&quot;citationTag&quot;:&quot;MENDELEY_CITATION_v3_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&quot;,&quot;citationItems&quot;:[{&quot;id&quot;:&quot;79a8c91a-8078-332d-a7c9-86e1823f4a2e&quot;,&quot;itemData&quot;:{&quot;type&quot;:&quot;article-journal&quot;,&quot;id&quot;:&quot;79a8c91a-8078-332d-a7c9-86e1823f4a2e&quot;,&quot;title&quot;:&quot;Combined Effects of Drift Macroalgal Bloom and Warming on Occurrence and Intensity of Diel-Cycling Hypoxia in a Eutrophic Coastal Lagoon&quot;,&quot;author&quot;:[{&quot;family&quot;:&quot;Miyamoto&quot;,&quot;given&quot;:&quot;Yasushi&quot;,&quot;parse-names&quot;:false,&quot;dropping-particle&quot;:&quot;&quot;,&quot;non-dropping-particle&quot;:&quot;&quot;},{&quot;family&quot;:&quot;Nakano&quot;,&quot;given&quot;:&quot;Tadashi&quot;,&quot;parse-names&quot;:false,&quot;dropping-particle&quot;:&quot;&quot;,&quot;non-dropping-particle&quot;:&quot;&quot;},{&quot;family&quot;:&quot;Yamada&quot;,&quot;given&quot;:&quot;Katsumasa&quot;,&quot;parse-names&quot;:false,&quot;dropping-particle&quot;:&quot;&quot;,&quot;non-dropping-particle&quot;:&quot;&quot;},{&quot;family&quot;:&quot;Hatakeyama&quot;,&quot;given&quot;:&quot;Keisuke&quot;,&quot;parse-names&quot;:false,&quot;dropping-particle&quot;:&quot;&quot;,&quot;non-dropping-particle&quot;:&quot;&quot;},{&quot;family&quot;:&quot;Hamaguchi&quot;,&quot;given&quot;:&quot;Masami&quot;,&quot;parse-names&quot;:false,&quot;dropping-particle&quot;:&quot;&quot;,&quot;non-dropping-particle&quot;:&quot;&quot;}],&quot;container-title&quot;:&quot;Estuaries and Coasts&quot;,&quot;ISSN&quot;:&quot;15592723, 15592731&quot;,&quot;URL&quot;:&quot;https://www-jstor-org.ezproxy.library.wur.nl/stable/48703137&quot;,&quot;issued&quot;:{&quot;date-parts&quot;:[[2019]]},&quot;page&quot;:&quot;494-503&quot;,&quot;abstract&quot;:&quot;[Recently, eutrophication-induced macroalgal bloom and elevating temperature caused by climate change have become major threats to benthic organisms by causing coastal hypoxia. However, combined effects of drift macroalgae and warming on the occurrence and intensity of hypoxia are not well understood, although these anthropogenic stressors have co-occurred. We conducted 10 seasonally replicated 7-day algal enclosure/exclosure experiments at a shallow coastal zone in the eutrophic Nakaumi Lagoon, western Japan, to evaluate the combined effects of drift algae and water warming on occurrence and intensity of diel-cycling hypoxia. Experimental units were 1 × 1 m plots of the sandy bottom fenced within 1 m height with plastic mesh that excluded or included drift algae, with automated dissolved oxygen (DO) sensors deployed at the sediment surface. DO fluctuated over a diel cycle for both algal treatments, and algal presence and elevated temperature additively amplified the diel DO cycle. Algal presence and elevated temperature synergistically increased the occurrence and intensity of diel-cycling hypoxia. The occurrence of hypoxia, including anoxia, increased non-linearly in the presence of algae when mean water temperature exceeded ~25 °C, whereas such drastic increase in the hypoxia occurrence was not observed in the absence of algae. Furthermore, the daily minimum DO declined more steeply with warming under algal presence than the absence of algae. These results suggest that coastal areas in the lagoon are now seriously threatened by simultaneous progressions of eutrophication linking to algal bloom and global warming.]&quot;,&quot;publisher&quot;:&quot;Springer&quot;,&quot;issue&quot;:&quot;2&quot;,&quot;volume&quot;:&quot;42&quot;,&quot;container-title-short&quot;:&quot;&quot;},&quot;isTemporary&quot;:false,&quot;suppress-author&quot;:false,&quot;composite&quot;:false,&quot;author-only&quot;:false}]},{&quot;citationID&quot;:&quot;MENDELEY_CITATION_5df7c6ff-12cd-46a6-8157-ead5da0d3899&quot;,&quot;properties&quot;:{&quot;noteIndex&quot;:0},&quot;isEdited&quot;:false,&quot;manualOverride&quot;:{&quot;isManuallyOverridden&quot;:false,&quot;citeprocText&quot;:&quot;(de Bettignies et al., 2020)&quot;,&quot;manualOverrideText&quot;:&quot;&quot;},&quot;citationTag&quot;:&quot;MENDELEY_CITATION_v3_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&quot;,&quot;citationItems&quot;:[{&quot;id&quot;:&quot;f6e1d3f0-8848-3512-aa8c-d57c62cab341&quot;,&quot;itemData&quot;:{&quot;type&quot;:&quot;article-journal&quot;,&quot;id&quot;:&quot;f6e1d3f0-8848-3512-aa8c-d57c62cab341&quot;,&quot;title&quot;:&quot;Degradation dynamics and processes associated with the accumulation of Laminaria hyperborea (Phaeophyceae) kelp fragments: an in situ experimental approach&quot;,&quot;author&quot;:[{&quot;family&quot;:&quot;Bettignies&quot;,&quot;given&quot;:&quot;Florian&quot;,&quot;parse-names&quot;:false,&quot;dropping-particle&quot;:&quot;&quot;,&quot;non-dropping-particle&quot;:&quot;de&quot;},{&quot;family&quot;:&quot;Dauby&quot;,&quot;given&quot;:&quot;Patrick&quot;,&quot;parse-names&quot;:false,&quot;dropping-particle&quot;:&quot;&quot;,&quot;non-dropping-particle&quot;:&quot;&quot;},{&quot;family&quot;:&quot;Thomas&quot;,&quot;given&quot;:&quot;François&quot;,&quot;parse-names&quot;:false,&quot;dropping-particle&quot;:&quot;&quot;,&quot;non-dropping-particle&quot;:&quot;&quot;},{&quot;family&quot;:&quot;Gobet&quot;,&quot;given&quot;:&quot;Angélique&quot;,&quot;parse-names&quot;:false,&quot;dropping-particle&quot;:&quot;&quot;,&quot;non-dropping-particle&quot;:&quot;&quot;},{&quot;family&quot;:&quot;Delage&quot;,&quot;given&quot;:&quot;Ludovic&quot;,&quot;parse-names&quot;:false,&quot;dropping-particle&quot;:&quot;&quot;,&quot;non-dropping-particle&quot;:&quot;&quot;},{&quot;family&quot;:&quot;Bohner&quot;,&quot;given&quot;:&quot;Olivier&quot;,&quot;parse-names&quot;:false,&quot;dropping-particle&quot;:&quot;&quot;,&quot;non-dropping-particle&quot;:&quot;&quot;},{&quot;family&quot;:&quot;Loisel&quot;,&quot;given&quot;:&quot;Stéphane&quot;,&quot;parse-names&quot;:false,&quot;dropping-particle&quot;:&quot;&quot;,&quot;non-dropping-particle&quot;:&quot;&quot;},{&quot;family&quot;:&quot;Davoult&quot;,&quot;given&quot;:&quot;Dominique&quot;,&quot;parse-names&quot;:false,&quot;dropping-particle&quot;:&quot;&quot;,&quot;non-dropping-particle&quot;:&quot;&quot;}],&quot;container-title&quot;:&quot;Journal of Phycology&quot;,&quot;container-title-short&quot;:&quot;J Phycol&quot;,&quot;DOI&quot;:&quot;https://doi.org/10.1111/jpy.13041&quot;,&quot;ISSN&quot;:&quot;0022-3646&quot;,&quot;URL&quot;:&quot;https://doi.org/10.1111/jpy.13041&quot;,&quot;issued&quot;:{&quot;date-parts&quot;:[[2020,12,1]]},&quot;page&quot;:&quot;1481-1492&quot;,&quot;abstract&quot;:&quot;A high proportion of the kelp Laminaria hyperborea production is exported from kelp forests following seasonal storms or natural annual old blade loss. Transport of drifting kelp fragments can lead to temporary accumulations in benthic subtidal habitats. We investigated the degradation processes of L. hyperborea in a low subtidal sandy bottom ecosystem by setting up a 6-month cage experiment to simulate accumulations of kelp fragments on the seafloor. We monitored temporal changes in biomass, nutritional quality (C:N ratio), respiration, quantum efficiency of photosystem II (Fv/Fm), bacterial colonization, and chemical defense concentrations. Biomass decomposition started after 2 weeks and followed a classic negative exponential pattern, leading to 50% degradation after 8 weeks. The degradation process seemed to reach a critical step after 11 weeks, with an increase in respiration rate and phlorotannin concentration in the tissues. These results likely reflect an increase in bacterial activity and a weakening of the kelp cell wall. After 25 weeks of degradation, only 16% of the initial biomass persisted, but the remaining large fragments looked intact. Furthermore, photosystems were still responding to light stimuli, indicating that photosynthesis persisted over time. Reproductive tissues appeared on some fragments after 20 weeks of degradation, showing a capacity to maintain the reproductive function. Our results indicate that L. hyperborea fragments degrade slowly. As they maintain major physiological functions (photosynthesis, reproduction, etc.) and accumulate on adjacent ecosystems, they may play a long-term ecological role in coastal ecosystem dynamics.&quot;,&quot;publisher&quot;:&quot;John Wiley &amp; Sons, Ltd&quot;,&quot;issue&quot;:&quot;6&quot;,&quot;volume&quot;:&quot;56&quot;},&quot;isTemporary&quot;:false,&quot;suppress-author&quot;:false,&quot;composite&quot;:false,&quot;author-only&quot;:false}]},{&quot;citationID&quot;:&quot;MENDELEY_CITATION_51e75d66-4712-40f8-ab00-76b0224e9a84&quot;,&quot;properties&quot;:{&quot;noteIndex&quot;:0},&quot;isEdited&quot;:false,&quot;manualOverride&quot;:{&quot;isManuallyOverridden&quot;:true,&quot;citeprocText&quot;:&quot;(Filbee-Dexter et al., 2020)&quot;,&quot;manualOverrideText&quot;:&quot;Filbee-Dexter et al., 2020)&quot;},&quot;citationTag&quot;:&quot;MENDELEY_CITATION_v3_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&quot;,&quot;citationItems&quot;:[{&quot;id&quot;:&quot;98d6cb08-39ec-3e29-922d-b786881d57c2&quot;,&quot;itemData&quot;:{&quot;type&quot;:&quot;article-journal&quot;,&quot;id&quot;:&quot;98d6cb08-39ec-3e29-922d-b786881d57c2&quot;,&quot;title&quot;:&quot;Carbon export is facilitated by sea urchins transforming kelp detritus&quot;,&quot;author&quot;:[{&quot;family&quot;:&quot;Filbee-Dexter&quot;,&quot;given&quot;:&quot;Karen&quot;,&quot;parse-names&quot;:false,&quot;dropping-particle&quot;:&quot;&quot;,&quot;non-dropping-particle&quot;:&quot;&quot;},{&quot;family&quot;:&quot;Pedersen&quot;,&quot;given&quot;:&quot;Morten Foldager&quot;,&quot;parse-names&quot;:false,&quot;dropping-particle&quot;:&quot;&quot;,&quot;non-dropping-particle&quot;:&quot;&quot;},{&quot;family&quot;:&quot;Fredriksen&quot;,&quot;given&quot;:&quot;Stein&quot;,&quot;parse-names&quot;:false,&quot;dropping-particle&quot;:&quot;&quot;,&quot;non-dropping-particle&quot;:&quot;&quot;},{&quot;family&quot;:&quot;Norderhaug&quot;,&quot;given&quot;:&quot;Kjell Magnus&quot;,&quot;parse-names&quot;:false,&quot;dropping-particle&quot;:&quot;&quot;,&quot;non-dropping-particle&quot;:&quot;&quot;},{&quot;family&quot;:&quot;Rinde&quot;,&quot;given&quot;:&quot;Eli&quot;,&quot;parse-names&quot;:false,&quot;dropping-particle&quot;:&quot;&quot;,&quot;non-dropping-particle&quot;:&quot;&quot;},{&quot;family&quot;:&quot;Kristiansen&quot;,&quot;given&quot;:&quot;Trond&quot;,&quot;parse-names&quot;:false,&quot;dropping-particle&quot;:&quot;&quot;,&quot;non-dropping-particle&quot;:&quot;&quot;},{&quot;family&quot;:&quot;Albretsen&quot;,&quot;given&quot;:&quot;Jon&quot;,&quot;parse-names&quot;:false,&quot;dropping-particle&quot;:&quot;&quot;,&quot;non-dropping-particle&quot;:&quot;&quot;},{&quot;family&quot;:&quot;Wernberg&quot;,&quot;given&quot;:&quot;Thomas&quot;,&quot;parse-names&quot;:false,&quot;dropping-particle&quot;:&quot;&quot;,&quot;non-dropping-particle&quot;:&quot;&quot;}],&quot;container-title&quot;:&quot;Oecologia&quot;,&quot;container-title-short&quot;:&quot;Oecologia&quot;,&quot;DOI&quot;:&quot;10.1007/s00442-019-04571-1&quot;,&quot;ISSN&quot;:&quot;1432-1939&quot;,&quot;URL&quot;:&quot;https://doi.org/10.1007/s00442-019-04571-1&quot;,&quot;issued&quot;:{&quot;date-parts&quot;:[[2020]]},&quot;page&quot;:&quot;213-225&quot;,&quot;abstract&quot;:&quot;With the increasing imperative for societies to act to curb climate change by increasing carbon stores and sinks, it has become critical to understand how organic carbon is produced, released, transformed, transported, and sequestered within and across ecosystems. In freshwater and open-ocean systems, shredders play a significant and well-known role in transforming and mobilizing carbon, but their role in the carbon cycle of coastal ecosystems is largely unknown. Marine plants such as kelps produce vast amounts of detritus, which can be captured and consumed by shedders as it traverses the seafloor. We measured capture and consumption rates of kelp detritus by sea urchins across four sampling periods and over a range of kelp detritus production rates and sea urchin densities, in northern Norway. When sea urchin densities exceeded 4 m−2, the sea urchins captured and consumed a high percentage (ca. 80%) of kelp detritus on shallow reefs. We calculated that between 1.3 and 10.8 kg of kelp m−2 are shredded annually from these reefs. We used a hydrodynamic dispersal model to show that transformation of kelp blades to sea urchin feces increased its export distance fourfold. Our findings show that sea urchins can accelerate and extend the export of carbon to neighboring areas. This collector–shredder pathway could represent a significant flow of small particulate carbon from kelp forests to deep-sea areas, where it can subsidize benthic communities or contribute to the global carbon sink.&quot;,&quot;issue&quot;:&quot;1&quot;,&quot;volume&quot;:&quot;192&quot;},&quot;isTemporary&quot;:false,&quot;suppress-author&quot;:false,&quot;composite&quot;:false,&quot;author-only&quot;:false}]},{&quot;citationID&quot;:&quot;MENDELEY_CITATION_9027a36d-f4c9-4440-9a5b-21e944feda03&quot;,&quot;properties&quot;:{&quot;noteIndex&quot;:0},&quot;isEdited&quot;:false,&quot;manualOverride&quot;:{&quot;isManuallyOverridden&quot;:false,&quot;citeprocText&quot;:&quot;(Cowie &amp;#38; Levin, 2009; Vaquer-Sunyer &amp;#38; Duarte, 2008)&quot;,&quot;manualOverrideText&quot;:&quot;&quot;},&quot;citationTag&quot;:&quot;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&quot;,&quot;citationItems&quot;:[{&quot;id&quot;:&quot;934dc4d7-db25-344a-9e73-861a3397b7c6&quot;,&quot;itemData&quot;:{&quot;type&quot;:&quot;article-journal&quot;,&quot;id&quot;:&quot;934dc4d7-db25-344a-9e73-861a3397b7c6&quot;,&quot;title&quot;:&quot;Thresholds of hypoxia for marine biodiversity&quot;,&quot;author&quot;:[{&quot;family&quot;:&quot;Vaquer-Sunyer&quot;,&quot;given&quot;:&quot;Raquel&quot;,&quot;parse-names&quot;:false,&quot;dropping-particle&quot;:&quot;&quot;,&quot;non-dropping-particle&quot;:&quot;&quot;},{&quot;family&quot;:&quot;Duarte&quot;,&quot;given&quot;:&quot;Carlos M&quot;,&quot;parse-names&quot;:false,&quot;dropping-particle&quot;:&quot;&quot;,&quot;non-dropping-particle&quot;:&quot;&quot;}],&quot;container-title&quot;:&quot;Proceedings of the National Academy of Sciences&quot;,&quot;DOI&quot;:&quot;10.1073/pnas.0803833105&quot;,&quot;URL&quot;:&quot;https://doi.org/10.1073/pnas.0803833105&quot;,&quot;issued&quot;:{&quot;date-parts&quot;:[[2008,10,7]]},&quot;page&quot;:&quot;15452-15457&quot;,&quot;abstract&quot;:&quot;Hypoxia is a mounting problem affecting the world's coastal waters, with severe consequences for marine life, including death and catastrophic changes. Hypoxia is forecast to increase owing to the combined effects of the continued spread of coastal eutrophication and global warming. A broad comparative analysis across a range of contrasting marine benthic organisms showed that hypoxia thresholds vary greatly across marine benthic organisms and that the conventional definition of 2 mg O2/liter to designate waters as hypoxic is below the empirical sublethal and lethal O2 thresholds for half of the species tested. These results imply that the number and area of coastal ecosystems affected by hypoxia and the future extent of hypoxia impacts on marine life have been generally underestimated.&quot;,&quot;publisher&quot;:&quot;Proceedings of the National Academy of Sciences&quot;,&quot;issue&quot;:&quot;40&quot;,&quot;volume&quot;:&quot;105&quot;,&quot;container-title-short&quot;:&quot;&quot;},&quot;isTemporary&quot;:false},{&quot;id&quot;:&quot;6c426d69-11cd-36ab-9f12-dfaf72c8cfaa&quot;,&quot;itemData&quot;:{&quot;type&quot;:&quot;article-journal&quot;,&quot;id&quot;:&quot;6c426d69-11cd-36ab-9f12-dfaf72c8cfaa&quot;,&quot;title&quot;:&quot;Benthic biological and biogeochemical patterns and processes across an oxygen minimum zone (Pakistan margin, NE Arabian Sea)&quot;,&quot;author&quot;:[{&quot;family&quot;:&quot;Cowie&quot;,&quot;given&quot;:&quot;Gregory L&quot;,&quot;parse-names&quot;:false,&quot;dropping-particle&quot;:&quot;&quot;,&quot;non-dropping-particle&quot;:&quot;&quot;},{&quot;family&quot;:&quot;Levin&quot;,&quot;given&quot;:&quot;Lisa A&quot;,&quot;parse-names&quot;:false,&quot;dropping-particle&quot;:&quot;&quot;,&quot;non-dropping-particle&quot;:&quot;&quot;}],&quot;container-title&quot;:&quot;Deep Sea Research Part II: Topical Studies in Oceanography&quot;,&quot;DOI&quot;:&quot;https://doi.org/10.1016/j.dsr2.2008.10.001&quot;,&quot;ISSN&quot;:&quot;0967-0645&quot;,&quot;URL&quot;:&quot;https://www.sciencedirect.com/science/article/pii/S0967064508003019&quot;,&quot;issued&quot;:{&quot;date-parts&quot;:[[2009]]},&quot;page&quot;:&quot;261-270&quot;,&quot;abstract&quot;:&quot;Oxygen minimum zones (OMZs) impinging on continental margins present sharp gradients ideal for testing environmental factors thought to influence C cycling and other benthic processes, and for identifying the roles that biota play in these processes. Here we introduce the objectives and initial results of a multinational research program designed to address the influences of water depth, the OMZ (∼150–1300m), and organic matter (OM) availability on benthic communities and processes across the Pakistan Margin of the Arabian Sea. Hydrologic, sediment, and faunal characterizations were combined with in-situ and shipboard experiments to quantify and compare biogeochemical processes and fluxes, OM burial efficiency, and the contributions of benthic communities, across the OMZ. In this introductory paper, we briefly review previous related work in the Arabian Sea, building the rationale for integrative biogeochemical and ecological process studies. This is followed by a summary of individual volume contributions and a brief synthesis of results. Five primary stations were studied, at 140, 300, 940, 1200 and 1850m water depth, with sampling in March–May (intermonsoon) and August–October (late-to-postmonsoon) 2003. Taken together, the contributed papers demonstrate distinct cross-margin gradients, not only in oxygenation and sediment OM content, but in benthic community structure and function, including microbial processes, the extent of bioturbation, and faunal roles in C cycling. Hydrographic studies demonstrated changes in the intensity and extent of the OMZ during the SW monsoon, with a shoaling of the upper OMZ boundary that engulfed the previously oxygenated 140-m site. Oxygen profiling and microbial process rate determinations demonstrated dramatic differences in oxygen penetration and consumption across the margin, and in the relative importance of anaerobic processes, but surprisingly little seasonal change. A broad maximum in sediment OM content occurred on the upper slope, roughly coincident with the OMZ; but the otherwise poor correlation with bottom-water oxygen concentrations indicated that other factors are important in determining sediment OM distributions. Downcore profiles generally showed little clear evidence of in-situ OM alteration, and there was little sign of OM enrichment resulting from the southwest monsoon in sediments collected in the late-to-postmonsoon sampling. This is interpreted to be due to rapid cycling of labile OM. Organic geochemical studies confirmed that sediment OM is overwhelmingly of marine origin across the margin, but also that it is heavily altered, with only small changes in degradation state across the OMZ. More negative stable C isotopic compositions in surficial sediments at hypoxic sites within the OMZ core are attributed to a chemosynthetic bacterial imprint. Dramatic changes in benthic community structure occurred across the lower OMZ transition, apparently related to OM availability and quality as well as to DO concentrations. High-resolution sampling, biomarkers and isotope tracer studies revealed that oxygen availability appears to exert threshold-type controls on benthic community structure and early faunal C processing. Biomarker studies also provided evidence of faunal influence on sediment OM composition. Together, the results offer strong evidence that benthic fauna at sites across the margin play important roles in the early cycling of sediment OM through differential feeding and bioturbation activities.&quot;,&quot;issue&quot;:&quot;6&quot;,&quot;volume&quot;:&quot;56&quot;,&quot;container-title-short&quot;:&quot;&quot;},&quot;isTemporary&quot;:false}]},{&quot;citationID&quot;:&quot;MENDELEY_CITATION_a742b1b5-b9af-42e4-b714-53372745059c&quot;,&quot;properties&quot;:{&quot;noteIndex&quot;:0},&quot;isEdited&quot;:false,&quot;manualOverride&quot;:{&quot;isManuallyOverridden&quot;:false,&quot;citeprocText&quot;:&quot;(Azad et al., 2011; Scheibling &amp;#38; Hatcher, 2013)&quot;,&quot;manualOverrideText&quot;:&quot;&quot;},&quot;citationTag&quot;:&quot;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&quot;,&quot;citationItems&quot;:[{&quot;id&quot;:&quot;4d12e2c7-5d28-3e84-b0cd-3f32fb665ed3&quot;,&quot;itemData&quot;:{&quot;type&quot;:&quot;article-journal&quot;,&quot;id&quot;:&quot;4d12e2c7-5d28-3e84-b0cd-3f32fb665ed3&quot;,&quot;title&quot;:&quot;Effects of diet and temperature on ingestion, absorption, assimilation, gonad yield, and gonad quality of the purple sea urchin (Strongylocentrotus purpuratus)&quot;,&quot;author&quot;:[{&quot;family&quot;:&quot;Azad&quot;,&quot;given&quot;:&quot;A Kalam&quot;,&quot;parse-names&quot;:false,&quot;dropping-particle&quot;:&quot;&quot;,&quot;non-dropping-particle&quot;:&quot;&quot;},{&quot;family&quot;:&quot;Pearce&quot;,&quot;given&quot;:&quot;Christopher M&quot;,&quot;parse-names&quot;:false,&quot;dropping-particle&quot;:&quot;&quot;,&quot;non-dropping-particle&quot;:&quot;&quot;},{&quot;family&quot;:&quot;McKinley&quot;,&quot;given&quot;:&quot;R Scott&quot;,&quot;parse-names&quot;:false,&quot;dropping-particle&quot;:&quot;&quot;,&quot;non-dropping-particle&quot;:&quot;&quot;}],&quot;container-title&quot;:&quot;Aquaculture&quot;,&quot;DOI&quot;:&quot;https://doi.org/10.1016/j.aquaculture.2011.03.019&quot;,&quot;ISSN&quot;:&quot;0044-8486&quot;,&quot;URL&quot;:&quot;https://www.sciencedirect.com/science/article/pii/S0044848611002377&quot;,&quot;issued&quot;:{&quot;date-parts&quot;:[[2011]]},&quot;page&quot;:&quot;187-196&quot;,&quot;abstract&quot;:&quot;Sea-urchin ingestion rate, absorption, gonad yield, and gonad quality can be influenced by a variety of factors, including food quantity, food quality, and various environmental conditions. We examined the combined effects of two factors (diet and temperature) on ingestion rate, absorption, assimilation efficiency, and gonad enhancement of the purple sea urchin, Strongylocentrotus purpuratus, over a 12-week period. Four diets [three kelp species (Macrocystis integrifolia, Nereocystis luetkeana, and Saccharina latissima) and one prepared feed] and three temperatures (8.0±0.4, 12.3±0.3, and 16.2±0.4°C: mean±SD) were tested in a completely crossed factorial design. Ingestion rate, gravimetric absorption, and assimilation efficiency of urchins fed the various diets were calculated at weeks 6 and 12. In addition, a number of gonad attributes were quantified at the beginning and end of the experiment including wet weight, percent water content, gonad index, texture, firmness, colour, and flavour. Ingestion rate, gravimetric absorption, and assimilation efficiency were generally significantly affected by both temperature and diet. Wet-weight ingestion rates were significantly higher with the three kelp treatments than with the prepared diet at both weeks 6 and 12. This particular dietary difference was not apparent, however, when ingestion rates were expressed on a dry-weight basis. The highest ingestion rates were recorded for animals held at 12°C at week 6 and at 16°C at week 12. Absorption rates and assimilation efficiencies were significantly higher at 16°C than at 8°C at week 6 and significantly higher at 16°C than at the other two temperatures at week 12. Final gonad weight and gonad index were significantly greater in urchins fed the prepared diet than in those fed any of the three kelp species, with little difference among the kelp treatments. Final gonad weight was significantly affected by temperature, but this effect was dependent on diet; temperature had little impact on gonad weight (and index) in the three kelp treatments, but 12 and 16°C produced significantly heavier gonads than 8°C for urchins fed the prepared diet. Gonads of urchins fed kelps had more (significantly more in the case of M. integrifolia and N. luetkeana) water than those fed the prepared diet. Gonad colour, texture, and firmness were generally not significantly affected by temperature, diet, or the interaction of these two factors. Gonad flavour was generally (sometimes significantly) better in urchins fed the prepared diet than in those fed the three kelp species. Taking all the measured variables into consideration, we recommend that culture operations utilise a prepared diet at 12°C to optimise gonad production of S. purpuratus.&quot;,&quot;issue&quot;:&quot;1&quot;,&quot;volume&quot;:&quot;317&quot;,&quot;container-title-short&quot;:&quot;&quot;},&quot;isTemporary&quot;:false},{&quot;id&quot;:&quot;f7cc5ace-6c4e-3e3a-a4bf-9f018a8b5cd7&quot;,&quot;itemData&quot;:{&quot;type&quot;:&quot;chapter&quot;,&quot;id&quot;:&quot;f7cc5ace-6c4e-3e3a-a4bf-9f018a8b5cd7&quot;,&quot;title&quot;:&quot;Chapter 26 - Strongylocentrotus droebachiensis&quot;,&quot;author&quot;:[{&quot;family&quot;:&quot;Scheibling&quot;,&quot;given&quot;:&quot;Robert E&quot;,&quot;parse-names&quot;:false,&quot;dropping-particle&quot;:&quot;&quot;,&quot;non-dropping-particle&quot;:&quot;&quot;},{&quot;family&quot;:&quot;Hatcher&quot;,&quot;given&quot;:&quot;Bruce G&quot;,&quot;parse-names&quot;:false,&quot;dropping-particle&quot;:&quot;&quot;,&quot;non-dropping-particle&quot;:&quot;&quot;}],&quot;container-title&quot;:&quot;Developments in Aquaculture and Fisheries Science&quot;,&quot;editor&quot;:[{&quot;family&quot;:&quot;Lawrence&quot;,&quot;given&quot;:&quot;John M&quot;,&quot;parse-names&quot;:false,&quot;dropping-particle&quot;:&quot;&quot;,&quot;non-dropping-particle&quot;:&quot;&quot;}],&quot;DOI&quot;:&quot;https://doi.org/10.1016/B978-0-12-396491-5.00026-5&quot;,&quot;ISBN&quot;:&quot;0167-9309&quot;,&quot;URL&quot;:&quot;https://www.sciencedirect.com/science/article/pii/B9780123964915000265&quot;,&quot;issued&quot;:{&quot;date-parts&quot;:[[2013]]},&quot;page&quot;:&quot;381-412&quot;,&quot;abstract&quot;:&quot;Strongylocentrotus droebachiensis, the green sea urchin, has a broad Arctic-boreal distribution and is commonly associated with laminarian kelp. As an omnivorous grazer, its feeding capabilities and preferences have profound effects on the structure and dynamics of benthic communities. It exhibits an annual reproductive cycle and has planktrophic larval development. Growth and reproductive rates are largely dependent on the quantity and quality of available food. Larval behavior can influence patterns of dispersal in the plankton and settlement on the seabed, but the importance of predation or other agents of mortality at early life history stages is poorly understood. Fish and decapod crustaceans are major predators of larger juveniles and adults and may play an important role in population regulation. Strongylocentrotus droebachiensis is susceptible to acute and chronic infections by microbial pathogens and parasitic nematodes. In the northwest Atlantic, mass mortality during outbreaks of an amoebic disease can have profound impacts on sea urchin populations and ecosystem state. Green sea urchins have been extensively fished or cultured for roe since the late 1980s. Aquaculture research is contributing new knowledge of the nutritional and reproductive physiology of the species.&quot;,&quot;publisher&quot;:&quot;Elsevier&quot;,&quot;volume&quot;:&quot;38&quot;,&quot;container-title-short&quot;:&quot;&quot;},&quot;isTemporary&quot;:false}]},{&quot;citationID&quot;:&quot;MENDELEY_CITATION_21c8ddc1-81c3-44f1-868f-7246feb477ed&quot;,&quot;properties&quot;:{&quot;noteIndex&quot;:0},&quot;isEdited&quot;:false,&quot;manualOverride&quot;:{&quot;isManuallyOverridden&quot;:false,&quot;citeprocText&quot;:&quot;(Miyamoto et al., 2019)&quot;,&quot;manualOverrideText&quot;:&quot;&quot;},&quot;citationTag&quot;:&quot;MENDELEY_CITATION_v3_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&quot;,&quot;citationItems&quot;:[{&quot;id&quot;:&quot;79a8c91a-8078-332d-a7c9-86e1823f4a2e&quot;,&quot;itemData&quot;:{&quot;type&quot;:&quot;article-journal&quot;,&quot;id&quot;:&quot;79a8c91a-8078-332d-a7c9-86e1823f4a2e&quot;,&quot;title&quot;:&quot;Combined Effects of Drift Macroalgal Bloom and Warming on Occurrence and Intensity of Diel-Cycling Hypoxia in a Eutrophic Coastal Lagoon&quot;,&quot;author&quot;:[{&quot;family&quot;:&quot;Miyamoto&quot;,&quot;given&quot;:&quot;Yasushi&quot;,&quot;parse-names&quot;:false,&quot;dropping-particle&quot;:&quot;&quot;,&quot;non-dropping-particle&quot;:&quot;&quot;},{&quot;family&quot;:&quot;Nakano&quot;,&quot;given&quot;:&quot;Tadashi&quot;,&quot;parse-names&quot;:false,&quot;dropping-particle&quot;:&quot;&quot;,&quot;non-dropping-particle&quot;:&quot;&quot;},{&quot;family&quot;:&quot;Yamada&quot;,&quot;given&quot;:&quot;Katsumasa&quot;,&quot;parse-names&quot;:false,&quot;dropping-particle&quot;:&quot;&quot;,&quot;non-dropping-particle&quot;:&quot;&quot;},{&quot;family&quot;:&quot;Hatakeyama&quot;,&quot;given&quot;:&quot;Keisuke&quot;,&quot;parse-names&quot;:false,&quot;dropping-particle&quot;:&quot;&quot;,&quot;non-dropping-particle&quot;:&quot;&quot;},{&quot;family&quot;:&quot;Hamaguchi&quot;,&quot;given&quot;:&quot;Masami&quot;,&quot;parse-names&quot;:false,&quot;dropping-particle&quot;:&quot;&quot;,&quot;non-dropping-particle&quot;:&quot;&quot;}],&quot;container-title&quot;:&quot;Estuaries and Coasts&quot;,&quot;ISSN&quot;:&quot;15592723, 15592731&quot;,&quot;URL&quot;:&quot;https://www-jstor-org.ezproxy.library.wur.nl/stable/48703137&quot;,&quot;issued&quot;:{&quot;date-parts&quot;:[[2019]]},&quot;page&quot;:&quot;494-503&quot;,&quot;abstract&quot;:&quot;[Recently, eutrophication-induced macroalgal bloom and elevating temperature caused by climate change have become major threats to benthic organisms by causing coastal hypoxia. However, combined effects of drift macroalgae and warming on the occurrence and intensity of hypoxia are not well understood, although these anthropogenic stressors have co-occurred. We conducted 10 seasonally replicated 7-day algal enclosure/exclosure experiments at a shallow coastal zone in the eutrophic Nakaumi Lagoon, western Japan, to evaluate the combined effects of drift algae and water warming on occurrence and intensity of diel-cycling hypoxia. Experimental units were 1 × 1 m plots of the sandy bottom fenced within 1 m height with plastic mesh that excluded or included drift algae, with automated dissolved oxygen (DO) sensors deployed at the sediment surface. DO fluctuated over a diel cycle for both algal treatments, and algal presence and elevated temperature additively amplified the diel DO cycle. Algal presence and elevated temperature synergistically increased the occurrence and intensity of diel-cycling hypoxia. The occurrence of hypoxia, including anoxia, increased non-linearly in the presence of algae when mean water temperature exceeded ~25 °C, whereas such drastic increase in the hypoxia occurrence was not observed in the absence of algae. Furthermore, the daily minimum DO declined more steeply with warming under algal presence than the absence of algae. These results suggest that coastal areas in the lagoon are now seriously threatened by simultaneous progressions of eutrophication linking to algal bloom and global warming.]&quot;,&quot;publisher&quot;:&quot;Springer&quot;,&quot;issue&quot;:&quot;2&quot;,&quot;volume&quot;:&quot;42&quot;,&quot;container-title-short&quot;:&quot;&quot;},&quot;isTemporary&quot;:false,&quot;suppress-author&quot;:false,&quot;composite&quot;:false,&quot;author-only&quot;:false}]},{&quot;citationID&quot;:&quot;MENDELEY_CITATION_7a15e57f-ef95-4ecb-88b4-9f68d4f6b74a&quot;,&quot;properties&quot;:{&quot;noteIndex&quot;:0},&quot;isEdited&quot;:false,&quot;manualOverride&quot;:{&quot;isManuallyOverridden&quot;:false,&quot;citeprocText&quot;:&quot;(Grassle et al., 1988; Snelgrove et al., 1992, 1996)&quot;,&quot;manualOverrideText&quot;:&quot;&quot;},&quot;citationTag&quot;:&quot;MENDELEY_CITATION_v3_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&quot;,&quot;citationItems&quot;:[{&quot;id&quot;:&quot;62fcb49d-50cc-35fb-b806-fa6ccd6df520&quot;,&quot;itemData&quot;:{&quot;type&quot;:&quot;book&quot;,&quot;id&quot;:&quot;62fcb49d-50cc-35fb-b806-fa6ccd6df520&quot;,&quot;title&quot;:&quot;Global Venting, Midwater, and Benthic Ecological Processes&quot;,&quot;author&quot;:[{&quot;family&quot;:&quot;Grassle&quot;,&quot;given&quot;:&quot;J. Frederick&quot;,&quot;parse-names&quot;:false,&quot;dropping-particle&quot;:&quot;&quot;,&quot;non-dropping-particle&quot;:&quot;&quot;},{&quot;family&quot;:&quot;Snelgrove&quot;,&quot;given&quot;:&quot;Paul V. R.&quot;,&quot;parse-names&quot;:false,&quot;dropping-particle&quot;:&quot;&quot;,&quot;non-dropping-particle&quot;:&quot;&quot;},{&quot;family&quot;:&quot;Weinberg&quot;,&quot;given&quot;:&quot;James R&quot;,&quot;parse-names&quot;:false,&quot;dropping-particle&quot;:&quot;&quot;,&quot;non-dropping-particle&quot;:&quot;&quot;},{&quot;family&quot;:&quot;Whitlatch&quot;,&quot;given&quot;:&quot;Robert B.&quot;,&quot;parse-names&quot;:false,&quot;dropping-particle&quot;:&quot;&quot;,&quot;non-dropping-particle&quot;:&quot;&quot;}],&quot;editor&quot;:[{&quot;family&quot;:&quot;Luca&quot;,&quot;given&quot;:&quot;Michael P&quot;,&quot;parse-names&quot;:false,&quot;dropping-particle&quot;:&quot;&quot;,&quot;non-dropping-particle&quot;:&quot;De&quot;},{&quot;family&quot;:&quot;Babb&quot;,&quot;given&quot;:&quot;Ivar&quot;,&quot;parse-names&quot;:false,&quot;dropping-particle&quot;:&quot;&quot;,&quot;non-dropping-particle&quot;:&quot;&quot;}],&quot;issued&quot;:{&quot;date-parts&quot;:[[1988]]},&quot;number-of-pages&quot;:&quot;283-289&quot;,&quot;publisher&quot;:&quot;US Department of Commerce, National Oceanic and Atmospheric Administration, Oceanic and Atmospheric Research, Office of Undersea Research.&quot;,&quot;volume&quot;:&quot;88, No. 4&quot;,&quot;container-title-short&quot;:&quot;&quot;},&quot;isTemporary&quot;:false},{&quot;id&quot;:&quot;d6ee8831-c66d-3fb4-a4a5-f460cbf9b207&quot;,&quot;itemData&quot;:{&quot;type&quot;:&quot;article-journal&quot;,&quot;id&quot;:&quot;d6ee8831-c66d-3fb4-a4a5-f460cbf9b207&quot;,&quot;title&quot;:&quot;Experimental evidence for aging food patches as a factor contributing to high deep-sea macrofaunal diversity&quot;,&quot;author&quot;:[{&quot;family&quot;:&quot;Snelgrove&quot;,&quot;given&quot;:&quot;Paul V R&quot;,&quot;parse-names&quot;:false,&quot;dropping-particle&quot;:&quot;&quot;,&quot;non-dropping-particle&quot;:&quot;&quot;},{&quot;family&quot;:&quot;Grassle&quot;,&quot;given&quot;:&quot;J Frederick&quot;,&quot;parse-names&quot;:false,&quot;dropping-particle&quot;:&quot;&quot;,&quot;non-dropping-particle&quot;:&quot;&quot;},{&quot;family&quot;:&quot;Petrecca&quot;,&quot;given&quot;:&quot;Rosemarie F&quot;,&quot;parse-names&quot;:false,&quot;dropping-particle&quot;:&quot;&quot;,&quot;non-dropping-particle&quot;:&quot;&quot;}],&quot;container-title&quot;:&quot;Limnology and Oceanography&quot;,&quot;container-title-short&quot;:&quot;Limnol Oceanogr&quot;,&quot;DOI&quot;:&quot;https://doi.org/10.4319/lo.1996.41.4.0605&quot;,&quot;ISSN&quot;:&quot;0024-3590&quot;,&quot;URL&quot;:&quot;https://doi.org/10.4319/lo.1996.41.4.0605&quot;,&quot;issued&quot;:{&quot;date-parts&quot;:[[1996,6,1]]},&quot;page&quot;:&quot;605-614&quot;,&quot;abstract&quot;:&quot;To determine whether deep-sea macrofaunal succession is observed in response to small-scale patches, we deployed colonization trays at 900-m depth for 23 d and 28 months. Treatments included sediment that was unenriched or enriched with Sargassum natans. Short-term Sargassum trays contained significantly higher and short-term unenriched trays significantly lower total densities than the ambient sediment. Both Sargassum treatments attracted high densities of a low-diversity fauna, but they differed in species composition. Short-term, unenriched trays attracted low densities of a high-diversity fauna, and long-term unenriched trays attracted high densities of a moderately diverse fauna. All treatments showed low faunal affinity with the ambient community. In a 19-d experiment with S. natans incubated in situ or in sterilized seawater, different species dominated. Thus, differences between 23-d and 28-month Sargassum trays may have been related to changes in the food source; a succession of different species colonize aging patches, indicating that patch age may be an important source of microheterogeneity for deep-sea macrofauna.&quot;,&quot;publisher&quot;:&quot;John Wiley &amp; Sons, Ltd&quot;,&quot;issue&quot;:&quot;4&quot;,&quot;volume&quot;:&quot;41&quot;},&quot;isTemporary&quot;:false},{&quot;id&quot;:&quot;d80e5535-8e5e-3b80-ac5d-84ce0a27bb3d&quot;,&quot;itemData&quot;:{&quot;type&quot;:&quot;article-journal&quot;,&quot;id&quot;:&quot;d80e5535-8e5e-3b80-ac5d-84ce0a27bb3d&quot;,&quot;title&quot;:&quot;The role of food patches in maintaining high deep-sea diversity: Field experiments with hydrodynamically unbiased colonization trays&quot;,&quot;author&quot;:[{&quot;family&quot;:&quot;Snelgrove&quot;,&quot;given&quot;:&quot;P V R&quot;,&quot;parse-names&quot;:false,&quot;dropping-particle&quot;:&quot;&quot;,&quot;non-dropping-particle&quot;:&quot;&quot;},{&quot;family&quot;:&quot;Grassle&quot;,&quot;given&quot;:&quot;J F&quot;,&quot;parse-names&quot;:false,&quot;dropping-particle&quot;:&quot;&quot;,&quot;non-dropping-particle&quot;:&quot;&quot;},{&quot;family&quot;:&quot;Petrecca&quot;,&quot;given&quot;:&quot;R F&quot;,&quot;parse-names&quot;:false,&quot;dropping-particle&quot;:&quot;&quot;,&quot;non-dropping-particle&quot;:&quot;&quot;}],&quot;container-title&quot;:&quot;Limnology and Oceanography&quot;,&quot;container-title-short&quot;:&quot;Limnol Oceanogr&quot;,&quot;DOI&quot;:&quot;https://doi.org/10.4319/lo.1992.37.7.1543&quot;,&quot;ISSN&quot;:&quot;0024-3590&quot;,&quot;URL&quot;:&quot;https://doi.org/10.4319/lo.1992.37.7.1543&quot;,&quot;issued&quot;:{&quot;date-parts&quot;:[[1992,11,1]]},&quot;page&quot;:&quot;1543-1550&quot;,&quot;abstract&quot;:&quot;To test whether deep-sea macrofaunal diversity is enhanced by specialization on small-scale food patches, we deployed colonization trays by submersible at 900-m depth for 23 d. Trays were buried flush with the seafloor to minimize potential hydrodynamic bias. Treatments included prefrozen, natural sediment that was unenriched or enriched with either Thalassiosira sp. or Sargassum sp. Density comparisons and rarefaction analysis indicate that Thalassiosira sp. attracted high densities of several taxa of juvenile opportunists, and Sargassum sp. trays were colonized by fewer individuals of a more diverse fauna. Ambient faunal diversity was higher and densities lower than enrichment treatments, although unenriched trays did not attain ambient densities. Results suggest that juveniles, rather than adults, specialize on specific patch types, thus contributing to high deep-sea diversity; this bottleneck may be fundamentally different from less diverse, shallow-water macrofaunal assemblages.&quot;,&quot;publisher&quot;:&quot;John Wiley &amp; Sons, Ltd&quot;,&quot;issue&quot;:&quot;7&quot;,&quot;volume&quot;:&quot;37&quot;},&quot;isTemporary&quot;:false}]}]"/>
    <we:property name="MENDELEY_CITATIONS_STYLE" value="{&quot;id&quot;:&quot;https://www.zotero.org/styles/apa&quot;,&quot;title&quot;:&quot;American Psychological Association 7th edition&quot;,&quot;format&quot;:&quot;author-date&quot;,&quot;defaultLocale&quot;:null,&quot;isLocaleCodeValid&quot;:true}"/>
  </we:properties>
  <we:bindings/>
  <we:snapshot xmlns:r="http://schemas.openxmlformats.org/officeDocument/2006/relationships"/>
</we:webextension>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ct:contentTypeSchema xmlns:ct="http://schemas.microsoft.com/office/2006/metadata/contentType" xmlns:ma="http://schemas.microsoft.com/office/2006/metadata/properties/metaAttributes" ct:_="" ma:_="" ma:contentTypeName="Document" ma:contentTypeID="0x0101002EF1B78C5CE9C2479D171599CE9FF5B3" ma:contentTypeVersion="15" ma:contentTypeDescription="Een nieuw document maken." ma:contentTypeScope="" ma:versionID="cc09935fb4cdb1d28054dc3e9415f5ba">
  <xsd:schema xmlns:xsd="http://www.w3.org/2001/XMLSchema" xmlns:xs="http://www.w3.org/2001/XMLSchema" xmlns:p="http://schemas.microsoft.com/office/2006/metadata/properties" xmlns:ns3="67f31bb4-1eab-4aa5-a541-aa2525ab9ade" xmlns:ns4="83187e7e-1e79-4cf3-bf47-d6c41e065f5b" targetNamespace="http://schemas.microsoft.com/office/2006/metadata/properties" ma:root="true" ma:fieldsID="8a603ea118cd48ea9f03e1830a5d0355" ns3:_="" ns4:_="">
    <xsd:import namespace="67f31bb4-1eab-4aa5-a541-aa2525ab9ade"/>
    <xsd:import namespace="83187e7e-1e79-4cf3-bf47-d6c41e065f5b"/>
    <xsd:element name="properties">
      <xsd:complexType>
        <xsd:sequence>
          <xsd:element name="documentManagement">
            <xsd:complexType>
              <xsd:all>
                <xsd:element ref="ns3:MediaServiceMetadata" minOccurs="0"/>
                <xsd:element ref="ns3:MediaServiceFastMetadata" minOccurs="0"/>
                <xsd:element ref="ns3:MediaServiceObjectDetectorVersions" minOccurs="0"/>
                <xsd:element ref="ns3:_activity" minOccurs="0"/>
                <xsd:element ref="ns4:SharedWithUsers" minOccurs="0"/>
                <xsd:element ref="ns4:SharedWithDetails" minOccurs="0"/>
                <xsd:element ref="ns4:SharingHintHash" minOccurs="0"/>
                <xsd:element ref="ns3:MediaServiceAutoTags" minOccurs="0"/>
                <xsd:element ref="ns3:MediaServiceOCR" minOccurs="0"/>
                <xsd:element ref="ns3:MediaServiceGenerationTime" minOccurs="0"/>
                <xsd:element ref="ns3:MediaServiceEventHashCode" minOccurs="0"/>
                <xsd:element ref="ns3:MediaServiceSystemTags" minOccurs="0"/>
                <xsd:element ref="ns3:MediaServiceDateTaken" minOccurs="0"/>
                <xsd:element ref="ns3:MediaServiceSearchProperties" minOccurs="0"/>
                <xsd:element ref="ns3:MediaLengthInSecond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67f31bb4-1eab-4aa5-a541-aa2525ab9ade"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ObjectDetectorVersions" ma:index="10" nillable="true" ma:displayName="MediaServiceObjectDetectorVersions" ma:hidden="true" ma:indexed="true" ma:internalName="MediaServiceObjectDetectorVersions" ma:readOnly="true">
      <xsd:simpleType>
        <xsd:restriction base="dms:Text"/>
      </xsd:simpleType>
    </xsd:element>
    <xsd:element name="_activity" ma:index="11" nillable="true" ma:displayName="_activity" ma:hidden="true" ma:internalName="_activity">
      <xsd:simpleType>
        <xsd:restriction base="dms:Note"/>
      </xsd:simpleType>
    </xsd:element>
    <xsd:element name="MediaServiceAutoTags" ma:index="15" nillable="true" ma:displayName="Tags" ma:internalName="MediaServiceAutoTags" ma:readOnly="true">
      <xsd:simpleType>
        <xsd:restriction base="dms:Text"/>
      </xsd:simpleType>
    </xsd:element>
    <xsd:element name="MediaServiceOCR" ma:index="16" nillable="true" ma:displayName="Extracted Text" ma:internalName="MediaServiceOCR" ma:readOnly="true">
      <xsd:simpleType>
        <xsd:restriction base="dms:Note">
          <xsd:maxLength value="255"/>
        </xsd:restriction>
      </xsd:simpleType>
    </xsd:element>
    <xsd:element name="MediaServiceGenerationTime" ma:index="17" nillable="true" ma:displayName="MediaServiceGenerationTime" ma:hidden="true" ma:internalName="MediaServiceGenerationTime" ma:readOnly="true">
      <xsd:simpleType>
        <xsd:restriction base="dms:Text"/>
      </xsd:simpleType>
    </xsd:element>
    <xsd:element name="MediaServiceEventHashCode" ma:index="18" nillable="true" ma:displayName="MediaServiceEventHashCode" ma:hidden="true" ma:internalName="MediaServiceEventHashCode" ma:readOnly="true">
      <xsd:simpleType>
        <xsd:restriction base="dms:Text"/>
      </xsd:simpleType>
    </xsd:element>
    <xsd:element name="MediaServiceSystemTags" ma:index="19" nillable="true" ma:displayName="MediaServiceSystemTags" ma:hidden="true" ma:internalName="MediaServiceSystemTags" ma:readOnly="true">
      <xsd:simpleType>
        <xsd:restriction base="dms:Note"/>
      </xsd:simpleType>
    </xsd:element>
    <xsd:element name="MediaServiceDateTaken" ma:index="20" nillable="true" ma:displayName="MediaServiceDateTaken" ma:hidden="true" ma:indexed="true" ma:internalName="MediaServiceDateTaken" ma:readOnly="true">
      <xsd:simpleType>
        <xsd:restriction base="dms:Text"/>
      </xsd:simpleType>
    </xsd:element>
    <xsd:element name="MediaServiceSearchProperties" ma:index="21" nillable="true" ma:displayName="MediaServiceSearchProperties" ma:hidden="true" ma:internalName="MediaServiceSearchProperties" ma:readOnly="true">
      <xsd:simpleType>
        <xsd:restriction base="dms:Note"/>
      </xsd:simpleType>
    </xsd:element>
    <xsd:element name="MediaLengthInSeconds" ma:index="22" nillable="true" ma:displayName="MediaLengthInSeconds" ma:hidden="true" ma:internalName="MediaLengthInSeconds" ma:readOnly="true">
      <xsd:simpleType>
        <xsd:restriction base="dms:Unknown"/>
      </xsd:simpleType>
    </xsd:element>
  </xsd:schema>
  <xsd:schema xmlns:xsd="http://www.w3.org/2001/XMLSchema" xmlns:xs="http://www.w3.org/2001/XMLSchema" xmlns:dms="http://schemas.microsoft.com/office/2006/documentManagement/types" xmlns:pc="http://schemas.microsoft.com/office/infopath/2007/PartnerControls" targetNamespace="83187e7e-1e79-4cf3-bf47-d6c41e065f5b" elementFormDefault="qualified">
    <xsd:import namespace="http://schemas.microsoft.com/office/2006/documentManagement/types"/>
    <xsd:import namespace="http://schemas.microsoft.com/office/infopath/2007/PartnerControls"/>
    <xsd:element name="SharedWithUsers" ma:index="12" nillable="true" ma:displayName="Gedeeld met"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13" nillable="true" ma:displayName="Gedeeld met details" ma:internalName="SharedWithDetails" ma:readOnly="true">
      <xsd:simpleType>
        <xsd:restriction base="dms:Note">
          <xsd:maxLength value="255"/>
        </xsd:restriction>
      </xsd:simpleType>
    </xsd:element>
    <xsd:element name="SharingHintHash" ma:index="14" nillable="true" ma:displayName="Hint-hash delen" ma:hidden="true" ma:internalName="SharingHintHash" ma:readOnly="true">
      <xsd:simpleType>
        <xsd:restriction base="dms:Text"/>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Inhoudstype"/>
        <xsd:element ref="dc:title" minOccurs="0" maxOccurs="1" ma:index="4" ma:displayName="Titel"/>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p:properties xmlns:p="http://schemas.microsoft.com/office/2006/metadata/properties" xmlns:xsi="http://www.w3.org/2001/XMLSchema-instance" xmlns:pc="http://schemas.microsoft.com/office/infopath/2007/PartnerControls">
  <documentManagement>
    <_activity xmlns="67f31bb4-1eab-4aa5-a541-aa2525ab9ade" xsi:nil="true"/>
  </documentManagement>
</p:properties>
</file>

<file path=customXml/item3.xml><?xml version="1.0" encoding="utf-8"?>
<b:Sources xmlns:b="http://schemas.openxmlformats.org/officeDocument/2006/bibliography" xmlns="http://schemas.openxmlformats.org/officeDocument/2006/bibliography" SelectedStyle="\APASixthEditionOfficeOnline.xsl" StyleName="APA" Version="6"/>
</file>

<file path=customXml/item4.xml><?xml version="1.0" encoding="utf-8"?>
<?mso-contentType ?>
<FormTemplates xmlns="http://schemas.microsoft.com/sharepoint/v3/contenttype/forms">
  <Display>DocumentLibraryForm</Display>
  <Edit>DocumentLibraryForm</Edit>
  <New>DocumentLibraryForm</New>
</FormTemplates>
</file>

<file path=customXml/itemProps1.xml><?xml version="1.0" encoding="utf-8"?>
<ds:datastoreItem xmlns:ds="http://schemas.openxmlformats.org/officeDocument/2006/customXml" ds:itemID="{7C40AC0E-7C59-422A-BF7B-C3D58340CDCA}">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67f31bb4-1eab-4aa5-a541-aa2525ab9ade"/>
    <ds:schemaRef ds:uri="83187e7e-1e79-4cf3-bf47-d6c41e065f5b"/>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2.xml><?xml version="1.0" encoding="utf-8"?>
<ds:datastoreItem xmlns:ds="http://schemas.openxmlformats.org/officeDocument/2006/customXml" ds:itemID="{FA256032-6E32-4AEB-9BC7-443B9DF6FEFD}">
  <ds:schemaRefs>
    <ds:schemaRef ds:uri="http://schemas.microsoft.com/office/2006/metadata/properties"/>
    <ds:schemaRef ds:uri="http://schemas.microsoft.com/office/infopath/2007/PartnerControls"/>
    <ds:schemaRef ds:uri="67f31bb4-1eab-4aa5-a541-aa2525ab9ade"/>
  </ds:schemaRefs>
</ds:datastoreItem>
</file>

<file path=customXml/itemProps3.xml><?xml version="1.0" encoding="utf-8"?>
<ds:datastoreItem xmlns:ds="http://schemas.openxmlformats.org/officeDocument/2006/customXml" ds:itemID="{A7D32CA5-7A6D-431F-B278-CBC289417817}">
  <ds:schemaRefs>
    <ds:schemaRef ds:uri="http://schemas.openxmlformats.org/officeDocument/2006/bibliography"/>
  </ds:schemaRefs>
</ds:datastoreItem>
</file>

<file path=customXml/itemProps4.xml><?xml version="1.0" encoding="utf-8"?>
<ds:datastoreItem xmlns:ds="http://schemas.openxmlformats.org/officeDocument/2006/customXml" ds:itemID="{5F23DD79-5DFD-45CB-B524-ACB00F2F195B}">
  <ds:schemaRefs>
    <ds:schemaRef ds:uri="http://schemas.microsoft.com/sharepoint/v3/contenttype/forms"/>
  </ds:schemaRefs>
</ds:datastoreItem>
</file>

<file path=docMetadata/LabelInfo.xml><?xml version="1.0" encoding="utf-8"?>
<clbl:labelList xmlns:clbl="http://schemas.microsoft.com/office/2020/mipLabelMetadata">
  <clbl:label id="{9a1651bf-58af-435b-86a8-3e9334b4b732}" enabled="0" method="" siteId="{9a1651bf-58af-435b-86a8-3e9334b4b732}" removed="1"/>
</clbl:labelList>
</file>

<file path=docProps/app.xml><?xml version="1.0" encoding="utf-8"?>
<Properties xmlns="http://schemas.openxmlformats.org/officeDocument/2006/extended-properties" xmlns:vt="http://schemas.openxmlformats.org/officeDocument/2006/docPropsVTypes">
  <Template>Normal.dotm</Template>
  <TotalTime>246</TotalTime>
  <Pages>28</Pages>
  <Words>13111</Words>
  <Characters>74733</Characters>
  <Application>Microsoft Office Word</Application>
  <DocSecurity>0</DocSecurity>
  <Lines>622</Lines>
  <Paragraphs>175</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87669</CharactersWithSpaces>
  <SharedDoc>false</SharedDoc>
  <HLinks>
    <vt:vector size="42" baseType="variant">
      <vt:variant>
        <vt:i4>7929900</vt:i4>
      </vt:variant>
      <vt:variant>
        <vt:i4>21</vt:i4>
      </vt:variant>
      <vt:variant>
        <vt:i4>0</vt:i4>
      </vt:variant>
      <vt:variant>
        <vt:i4>5</vt:i4>
      </vt:variant>
      <vt:variant>
        <vt:lpwstr>https://eur03.safelinks.protection.outlook.com/?url=https%3A%2F%2Furldefense.com%2Fv3%2F__https%3A%2F%2Fdoi.org%2F10.528%2Fzenodo.15222020__%3B!!NLFGqXoFfo8MMQ!qdAISwA3MAsazpjAxDmqcuJNQQUboHLaN6En2GB7d3_9_VjP1htNVhJyXEdOZfBCxzDTj335SEF6IaOtLlzjW7GAx2dSGEk%24&amp;data=05%7C02%7Cmerel.lanjouw%40wur.nl%7Cbc6123312f794537776d08ddf9b31954%7C27d137e5761f4dc1af88d26430abb18f%7C0%7C0%7C638941269840530042%7CUnknown%7CTWFpbGZsb3d8eyJFbXB0eU1hcGkiOnRydWUsIlYiOiIwLjAuMDAwMCIsIlAiOiJXaW4zMiIsIkFOIjoiTWFpbCIsIldUIjoyfQ%3D%3D%7C0%7C%7C%7C&amp;sdata=sniGO1kWoCtWbo0FEQ2nWRW9HLLH9XWs3RZ8o0ThS00%3D&amp;reserved=0</vt:lpwstr>
      </vt:variant>
      <vt:variant>
        <vt:lpwstr/>
      </vt:variant>
      <vt:variant>
        <vt:i4>7929970</vt:i4>
      </vt:variant>
      <vt:variant>
        <vt:i4>18</vt:i4>
      </vt:variant>
      <vt:variant>
        <vt:i4>0</vt:i4>
      </vt:variant>
      <vt:variant>
        <vt:i4>5</vt:i4>
      </vt:variant>
      <vt:variant>
        <vt:lpwstr>https://eur03.safelinks.protection.outlook.com/?url=https%3A%2F%2Furldefense.com%2Fv3%2F__https%3A%2F%2Fdoi.org%2F10.5194%2Fesd-14-185-2023__%3B!!NLFGqXoFfo8MMQ!qdAISwA3MAsazpjAxDmqcuJNQQUboHLaN6En2GB7d3_9_VjP1htNVhJyXEdOZfBCxzDTj335SEF6IaOtLlzjW7GAoNuWni0%24&amp;data=05%7C02%7Cmerel.lanjouw%40wur.nl%7Cbc6123312f794537776d08ddf9b31954%7C27d137e5761f4dc1af88d26430abb18f%7C0%7C0%7C638941269840510824%7CUnknown%7CTWFpbGZsb3d8eyJFbXB0eU1hcGkiOnRydWUsIlYiOiIwLjAuMDAwMCIsIlAiOiJXaW4zMiIsIkFOIjoiTWFpbCIsIldUIjoyfQ%3D%3D%7C0%7C%7C%7C&amp;sdata=eNBSZnwNYZ078yQEYzX4BoRLW2ZnAh2D8aX0m5C%2F82I%3D&amp;reserved=0</vt:lpwstr>
      </vt:variant>
      <vt:variant>
        <vt:lpwstr/>
      </vt:variant>
      <vt:variant>
        <vt:i4>7471224</vt:i4>
      </vt:variant>
      <vt:variant>
        <vt:i4>15</vt:i4>
      </vt:variant>
      <vt:variant>
        <vt:i4>0</vt:i4>
      </vt:variant>
      <vt:variant>
        <vt:i4>5</vt:i4>
      </vt:variant>
      <vt:variant>
        <vt:lpwstr>https://eur03.safelinks.protection.outlook.com/?url=https%3A%2F%2Furldefense.com%2Fv3%2F__https%3A%2F%2Fdoi.org%2F10.4319%2Flo.1996.41.4.0605__%3B!!NLFGqXoFfo8MMQ!qdAISwA3MAsazpjAxDmqcuJNQQUboHLaN6En2GB7d3_9_VjP1htNVhJyXEdOZfBCxzDTj335SEF6IaOtLlzjW7GA0MdLub4%24&amp;data=05%7C02%7Cmerel.lanjouw%40wur.nl%7Cbc6123312f794537776d08ddf9b31954%7C27d137e5761f4dc1af88d26430abb18f%7C0%7C0%7C638941269840491475%7CUnknown%7CTWFpbGZsb3d8eyJFbXB0eU1hcGkiOnRydWUsIlYiOiIwLjAuMDAwMCIsIlAiOiJXaW4zMiIsIkFOIjoiTWFpbCIsIldUIjoyfQ%3D%3D%7C0%7C%7C%7C&amp;sdata=bSigPnHcIwFdkrM%2FEcmM0nmxjM%2BYD3FynqD95JYzMis%3D&amp;reserved=0</vt:lpwstr>
      </vt:variant>
      <vt:variant>
        <vt:lpwstr/>
      </vt:variant>
      <vt:variant>
        <vt:i4>7602302</vt:i4>
      </vt:variant>
      <vt:variant>
        <vt:i4>12</vt:i4>
      </vt:variant>
      <vt:variant>
        <vt:i4>0</vt:i4>
      </vt:variant>
      <vt:variant>
        <vt:i4>5</vt:i4>
      </vt:variant>
      <vt:variant>
        <vt:lpwstr>https://eur03.safelinks.protection.outlook.com/?url=https%3A%2F%2Furldefense.com%2Fv3%2F__https%3A%2F%2Fdoi.org%2F10.4319%2Flo.1992.37.7.1543__%3B!!NLFGqXoFfo8MMQ!qdAISwA3MAsazpjAxDmqcuJNQQUboHLaN6En2GB7d3_9_VjP1htNVhJyXEdOZfBCxzDTj335SEF6IaOtLlzjW7GA4MFEXcg%24&amp;data=05%7C02%7Cmerel.lanjouw%40wur.nl%7Cbc6123312f794537776d08ddf9b31954%7C27d137e5761f4dc1af88d26430abb18f%7C0%7C0%7C638941269840473208%7CUnknown%7CTWFpbGZsb3d8eyJFbXB0eU1hcGkiOnRydWUsIlYiOiIwLjAuMDAwMCIsIlAiOiJXaW4zMiIsIkFOIjoiTWFpbCIsIldUIjoyfQ%3D%3D%7C0%7C%7C%7C&amp;sdata=6np1JdIuyIblz4YV0WtzWuePeeug%2FM6rxeQnxmdAYsI%3D&amp;reserved=0</vt:lpwstr>
      </vt:variant>
      <vt:variant>
        <vt:lpwstr/>
      </vt:variant>
      <vt:variant>
        <vt:i4>3670055</vt:i4>
      </vt:variant>
      <vt:variant>
        <vt:i4>9</vt:i4>
      </vt:variant>
      <vt:variant>
        <vt:i4>0</vt:i4>
      </vt:variant>
      <vt:variant>
        <vt:i4>5</vt:i4>
      </vt:variant>
      <vt:variant>
        <vt:lpwstr>https://eur03.safelinks.protection.outlook.com/?url=https%3A%2F%2Furldefense.com%2Fv3%2F__https%3A%2F%2Fdoi.org%2F10.1029%2F2023AV000950__%3B!!NLFGqXoFfo8MMQ!qdAISwA3MAsazpjAxDmqcuJNQQUboHLaN6En2GB7d3_9_VjP1htNVhJyXEdOZfBCxzDTj335SEF6IaOtLlzjW7GArthOe1w%24&amp;data=05%7C02%7Cmerel.lanjouw%40wur.nl%7Cbc6123312f794537776d08ddf9b31954%7C27d137e5761f4dc1af88d26430abb18f%7C0%7C0%7C638941269840454060%7CUnknown%7CTWFpbGZsb3d8eyJFbXB0eU1hcGkiOnRydWUsIlYiOiIwLjAuMDAwMCIsIlAiOiJXaW4zMiIsIkFOIjoiTWFpbCIsIldUIjoyfQ%3D%3D%7C0%7C%7C%7C&amp;sdata=qp%2FfROlO2JmA8HfJstgM5CyuJtV9Ha9ncVMBft2n0ss%3D&amp;reserved=0</vt:lpwstr>
      </vt:variant>
      <vt:variant>
        <vt:lpwstr/>
      </vt:variant>
      <vt:variant>
        <vt:i4>3866656</vt:i4>
      </vt:variant>
      <vt:variant>
        <vt:i4>6</vt:i4>
      </vt:variant>
      <vt:variant>
        <vt:i4>0</vt:i4>
      </vt:variant>
      <vt:variant>
        <vt:i4>5</vt:i4>
      </vt:variant>
      <vt:variant>
        <vt:lpwstr>https://eur03.safelinks.protection.outlook.com/?url=https%3A%2F%2Furldefense.com%2Fv3%2F__https%3A%2F%2Fdoi.org%2F10.1038%2Fs42003-023-04962-4__%3B!!NLFGqXoFfo8MMQ!qdAISwA3MAsazpjAxDmqcuJNQQUboHLaN6En2GB7d3_9_VjP1htNVhJyXEdOZfBCxzDTj335SEF6IaOtLlzjW7GA6zdyeWI%24&amp;data=05%7C02%7Cmerel.lanjouw%40wur.nl%7Cbc6123312f794537776d08ddf9b31954%7C27d137e5761f4dc1af88d26430abb18f%7C0%7C0%7C638941269840434077%7CUnknown%7CTWFpbGZsb3d8eyJFbXB0eU1hcGkiOnRydWUsIlYiOiIwLjAuMDAwMCIsIlAiOiJXaW4zMiIsIkFOIjoiTWFpbCIsIldUIjoyfQ%3D%3D%7C0%7C%7C%7C&amp;sdata=p5%2F%2BzhMUBt51cYyjMUepLR8Dme0Ipxr3qa3kDFX19po%3D&amp;reserved=0</vt:lpwstr>
      </vt:variant>
      <vt:variant>
        <vt:lpwstr/>
      </vt:variant>
      <vt:variant>
        <vt:i4>8192113</vt:i4>
      </vt:variant>
      <vt:variant>
        <vt:i4>3</vt:i4>
      </vt:variant>
      <vt:variant>
        <vt:i4>0</vt:i4>
      </vt:variant>
      <vt:variant>
        <vt:i4>5</vt:i4>
      </vt:variant>
      <vt:variant>
        <vt:lpwstr>https://eur03.safelinks.protection.outlook.com/?url=https%3A%2F%2Furldefense.com%2Fv3%2F__https%3A%2F%2Fdoi.org%2F%26__%3B!!NLFGqXoFfo8MMQ!qdAISwA3MAsazpjAxDmqcuJNQQUboHLaN6En2GB7d3_9_VjP1htNVhJyXEdOZfBCxzDTj335SEF6IaOtLlzjW7GAAy3zjaA%24&amp;data=05%7C02%7Cmerel.lanjouw%40wur.nl%7Cbc6123312f794537776d08ddf9b31954%7C27d137e5761f4dc1af88d26430abb18f%7C0%7C0%7C638941269840413605%7CUnknown%7CTWFpbGZsb3d8eyJFbXB0eU1hcGkiOnRydWUsIlYiOiIwLjAuMDAwMCIsIlAiOiJXaW4zMiIsIkFOIjoiTWFpbCIsIldUIjoyfQ%3D%3D%7C0%7C%7C%7C&amp;sdata=ZJU6guQkr9nzDghWqTofg5DyyElHSSuRS5%2FvPahtva0%3D&amp;reserved=0</vt:lpwstr>
      </vt:variant>
      <vt:variant>
        <vt:lpwstr/>
      </vt:variant>
    </vt:vector>
  </HLinks>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Lanjouw, Merel</dc:creator>
  <cp:keywords/>
  <dc:description/>
  <cp:lastModifiedBy>Louise Delaigue</cp:lastModifiedBy>
  <cp:revision>309</cp:revision>
  <cp:lastPrinted>2026-04-07T18:07:00Z</cp:lastPrinted>
  <dcterms:created xsi:type="dcterms:W3CDTF">2026-02-17T14:40:00Z</dcterms:created>
  <dcterms:modified xsi:type="dcterms:W3CDTF">2026-04-08T15:07:00Z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0x0101002EF1B78C5CE9C2479D171599CE9FF5B3</vt:lpwstr>
  </property>
</Properties>
</file>