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12E" w:rsidRDefault="00D0712E" w:rsidP="00D0712E">
      <w:pPr>
        <w:pStyle w:val="Titre1"/>
        <w:jc w:val="center"/>
      </w:pPr>
      <w:bookmarkStart w:id="0" w:name="_Toc531528906"/>
      <w:r>
        <w:t>T</w:t>
      </w:r>
      <w:bookmarkStart w:id="1" w:name="_GoBack"/>
      <w:bookmarkEnd w:id="1"/>
      <w:r>
        <w:t xml:space="preserve">ransfert Learning par extraction de </w:t>
      </w:r>
      <w:proofErr w:type="spellStart"/>
      <w:r>
        <w:t>features</w:t>
      </w:r>
      <w:proofErr w:type="spellEnd"/>
      <w:r>
        <w:t xml:space="preserve"> dans un CNN</w:t>
      </w:r>
      <w:bookmarkEnd w:id="0"/>
    </w:p>
    <w:p w:rsidR="00D0712E" w:rsidRDefault="00D0712E" w:rsidP="00D0712E">
      <w:pPr>
        <w:pStyle w:val="Titre2"/>
        <w:numPr>
          <w:ilvl w:val="0"/>
          <w:numId w:val="1"/>
        </w:numPr>
      </w:pPr>
      <w:r>
        <w:t>Réponses aux questions</w:t>
      </w:r>
    </w:p>
    <w:p w:rsidR="00D0712E" w:rsidRPr="004F1C3B" w:rsidRDefault="00D0712E" w:rsidP="00D0712E">
      <w:r>
        <w:t xml:space="preserve">1. </w:t>
      </w:r>
      <m:oMath>
        <m:r>
          <w:rPr>
            <w:rFonts w:ascii="Cambria Math" w:hAnsi="Cambria Math"/>
          </w:rPr>
          <m:t>7*7*512*4096+ 4096*1000=106 millions</m:t>
        </m:r>
      </m:oMath>
    </w:p>
    <w:p w:rsidR="00D0712E" w:rsidRDefault="00D0712E" w:rsidP="00D0712E">
      <w:r>
        <w:t>VGG16 contient donc plus de 106 millions de paramètres.</w:t>
      </w:r>
    </w:p>
    <w:p w:rsidR="00D0712E" w:rsidRDefault="00D0712E" w:rsidP="00D0712E">
      <w:r>
        <w:t>2. La sortie est un vecteur de taille 1000 correspondant aux 1000 classes d’</w:t>
      </w:r>
      <w:proofErr w:type="spellStart"/>
      <w:r>
        <w:t>ImageNet</w:t>
      </w:r>
      <w:proofErr w:type="spellEnd"/>
      <w:r>
        <w:t>.</w:t>
      </w:r>
    </w:p>
    <w:p w:rsidR="00D0712E" w:rsidRDefault="00D0712E" w:rsidP="00D0712E">
      <w:r>
        <w:t xml:space="preserve">3.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31"/>
        <w:gridCol w:w="2870"/>
        <w:gridCol w:w="2561"/>
      </w:tblGrid>
      <w:tr w:rsidR="00D0712E" w:rsidTr="00EE6146">
        <w:tc>
          <w:tcPr>
            <w:tcW w:w="4005" w:type="dxa"/>
          </w:tcPr>
          <w:p w:rsidR="00D0712E" w:rsidRDefault="00D0712E" w:rsidP="00EE6146">
            <w:pPr>
              <w:jc w:val="center"/>
            </w:pPr>
            <w:r>
              <w:t>Image</w:t>
            </w:r>
          </w:p>
        </w:tc>
        <w:tc>
          <w:tcPr>
            <w:tcW w:w="3416" w:type="dxa"/>
          </w:tcPr>
          <w:p w:rsidR="00D0712E" w:rsidRDefault="00D0712E" w:rsidP="00EE6146">
            <w:pPr>
              <w:jc w:val="center"/>
            </w:pPr>
            <w:r>
              <w:t>Prédiction</w:t>
            </w:r>
          </w:p>
        </w:tc>
        <w:tc>
          <w:tcPr>
            <w:tcW w:w="3035" w:type="dxa"/>
          </w:tcPr>
          <w:p w:rsidR="00D0712E" w:rsidRDefault="00D0712E" w:rsidP="00EE6146">
            <w:pPr>
              <w:jc w:val="center"/>
            </w:pPr>
            <w:r>
              <w:t>Score de confiance</w:t>
            </w:r>
          </w:p>
        </w:tc>
      </w:tr>
      <w:tr w:rsidR="00D0712E" w:rsidTr="00EE6146">
        <w:tc>
          <w:tcPr>
            <w:tcW w:w="4005" w:type="dxa"/>
          </w:tcPr>
          <w:p w:rsidR="00D0712E" w:rsidRDefault="00D0712E" w:rsidP="00EE614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5D2B929" wp14:editId="4016280C">
                  <wp:extent cx="1401149" cy="818515"/>
                  <wp:effectExtent l="0" t="0" r="8890" b="63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harr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7549" cy="85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6" w:type="dxa"/>
            <w:vAlign w:val="center"/>
          </w:tcPr>
          <w:p w:rsidR="00D0712E" w:rsidRDefault="00D0712E" w:rsidP="00EE6146">
            <w:pPr>
              <w:jc w:val="center"/>
            </w:pPr>
            <w:r>
              <w:t>Sweatshirt</w:t>
            </w:r>
          </w:p>
        </w:tc>
        <w:tc>
          <w:tcPr>
            <w:tcW w:w="3035" w:type="dxa"/>
            <w:vAlign w:val="center"/>
          </w:tcPr>
          <w:p w:rsidR="00D0712E" w:rsidRDefault="00D0712E" w:rsidP="00EE6146">
            <w:pPr>
              <w:jc w:val="center"/>
            </w:pPr>
            <w:r>
              <w:t>8.10423</w:t>
            </w:r>
          </w:p>
        </w:tc>
      </w:tr>
      <w:tr w:rsidR="00D0712E" w:rsidTr="00EE6146">
        <w:tc>
          <w:tcPr>
            <w:tcW w:w="4005" w:type="dxa"/>
          </w:tcPr>
          <w:p w:rsidR="00D0712E" w:rsidRDefault="00D0712E" w:rsidP="00EE614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D0B1925" wp14:editId="1DD0708B">
                  <wp:extent cx="1393575" cy="929005"/>
                  <wp:effectExtent l="0" t="0" r="0" b="444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t-siamoi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760" cy="9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6" w:type="dxa"/>
            <w:vAlign w:val="center"/>
          </w:tcPr>
          <w:p w:rsidR="00D0712E" w:rsidRDefault="00D0712E" w:rsidP="00EE6146">
            <w:pPr>
              <w:jc w:val="center"/>
            </w:pPr>
            <w:proofErr w:type="spellStart"/>
            <w:r>
              <w:t>Siamese</w:t>
            </w:r>
            <w:proofErr w:type="spellEnd"/>
            <w:r>
              <w:t xml:space="preserve"> cat</w:t>
            </w:r>
          </w:p>
        </w:tc>
        <w:tc>
          <w:tcPr>
            <w:tcW w:w="3035" w:type="dxa"/>
            <w:vAlign w:val="center"/>
          </w:tcPr>
          <w:p w:rsidR="00D0712E" w:rsidRDefault="00D0712E" w:rsidP="00EE6146">
            <w:pPr>
              <w:jc w:val="center"/>
            </w:pPr>
            <w:r>
              <w:t>19.3628</w:t>
            </w:r>
          </w:p>
        </w:tc>
      </w:tr>
      <w:tr w:rsidR="00D0712E" w:rsidTr="00EE6146">
        <w:tc>
          <w:tcPr>
            <w:tcW w:w="4005" w:type="dxa"/>
          </w:tcPr>
          <w:p w:rsidR="00D0712E" w:rsidRDefault="00D0712E" w:rsidP="00EE614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07A3EA4" wp14:editId="4CC1F19E">
                  <wp:extent cx="1383393" cy="774700"/>
                  <wp:effectExtent l="0" t="0" r="7620" b="635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lage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993" cy="778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6" w:type="dxa"/>
            <w:vAlign w:val="center"/>
          </w:tcPr>
          <w:p w:rsidR="00D0712E" w:rsidRDefault="00D0712E" w:rsidP="00EE6146">
            <w:pPr>
              <w:jc w:val="center"/>
            </w:pPr>
            <w:proofErr w:type="spellStart"/>
            <w:r>
              <w:t>Seashore</w:t>
            </w:r>
            <w:proofErr w:type="spellEnd"/>
          </w:p>
        </w:tc>
        <w:tc>
          <w:tcPr>
            <w:tcW w:w="3035" w:type="dxa"/>
            <w:vAlign w:val="center"/>
          </w:tcPr>
          <w:p w:rsidR="00D0712E" w:rsidRDefault="00D0712E" w:rsidP="00EE6146">
            <w:pPr>
              <w:jc w:val="center"/>
            </w:pPr>
            <w:r>
              <w:t>14.3801</w:t>
            </w:r>
          </w:p>
        </w:tc>
      </w:tr>
    </w:tbl>
    <w:p w:rsidR="00D0712E" w:rsidRDefault="00D0712E" w:rsidP="00D0712E"/>
    <w:p w:rsidR="00D0712E" w:rsidRDefault="00D0712E" w:rsidP="00D0712E">
      <w:r>
        <w:t>On voit bien qu’</w:t>
      </w:r>
      <w:proofErr w:type="spellStart"/>
      <w:r>
        <w:t>ImageNet</w:t>
      </w:r>
      <w:proofErr w:type="spellEnd"/>
      <w:r>
        <w:t xml:space="preserve"> n’a pas été entraîné sur des images contenant des humains car le </w:t>
      </w:r>
      <w:proofErr w:type="spellStart"/>
      <w:r>
        <w:t>classifieur</w:t>
      </w:r>
      <w:proofErr w:type="spellEnd"/>
      <w:r>
        <w:t xml:space="preserve"> s’est concentré sur les objets de l’image notamment les vêtements dans le premier exemple. Cependant sur des images qui ressemblent à des images sur lesquelles il a appris, le </w:t>
      </w:r>
      <w:proofErr w:type="spellStart"/>
      <w:r>
        <w:t>classifieur</w:t>
      </w:r>
      <w:proofErr w:type="spellEnd"/>
      <w:r>
        <w:t xml:space="preserve"> est très bon.</w:t>
      </w:r>
    </w:p>
    <w:p w:rsidR="00D0712E" w:rsidRDefault="00D0712E" w:rsidP="00D0712E">
      <w:r>
        <w:t xml:space="preserve">5. On ne peut pas directement apprendre VGG16 sur les images de 15 </w:t>
      </w:r>
      <w:proofErr w:type="spellStart"/>
      <w:r>
        <w:t>scenes</w:t>
      </w:r>
      <w:proofErr w:type="spellEnd"/>
      <w:r>
        <w:t xml:space="preserve"> car il n’y a pas assez d’images dans cette base de données contrairement à </w:t>
      </w:r>
      <w:proofErr w:type="spellStart"/>
      <w:r>
        <w:t>ImageNet</w:t>
      </w:r>
      <w:proofErr w:type="spellEnd"/>
      <w:r>
        <w:t xml:space="preserve"> qui contient plus d’1 millions d’images, cela  entrainerait un sous-apprentissage.</w:t>
      </w:r>
    </w:p>
    <w:p w:rsidR="00D0712E" w:rsidRDefault="00D0712E" w:rsidP="00D0712E">
      <w:r>
        <w:t xml:space="preserve">6. Le </w:t>
      </w:r>
      <w:proofErr w:type="spellStart"/>
      <w:r>
        <w:t>pré-apprentissage</w:t>
      </w:r>
      <w:proofErr w:type="spellEnd"/>
      <w:r>
        <w:t xml:space="preserve"> sur </w:t>
      </w:r>
      <w:proofErr w:type="spellStart"/>
      <w:r>
        <w:t>ImageNet</w:t>
      </w:r>
      <w:proofErr w:type="spellEnd"/>
      <w:r>
        <w:t xml:space="preserve"> permet d’apprendre des motifs sur les images, ce qui est utile pour obtenir des vecteurs de </w:t>
      </w:r>
      <w:proofErr w:type="spellStart"/>
      <w:r>
        <w:t>feature</w:t>
      </w:r>
      <w:proofErr w:type="spellEnd"/>
      <w:r>
        <w:t xml:space="preserve"> représentant l’image en mettant l’accent sur les caractéristiques de l’image.</w:t>
      </w:r>
    </w:p>
    <w:p w:rsidR="00D0712E" w:rsidRDefault="00D0712E" w:rsidP="00D0712E">
      <w:r>
        <w:t xml:space="preserve">7. Les limites sont que si la nouvelles tâches que l’on souhaite faire et trop éloignée de la tâche que l’on a apprise alors les résultats ne seront pas bons. De plus, les résultats restent moins bons que si on avait pu apprendre sur une grande base de données spécifique à la tâche. Pour finir, plus on s’enfonce dans le réseau plus on spécifique à la base de données d’entrainement il faut donc faire attention à l’endroit où l’on coupe le réseau pour avoir la meilleure </w:t>
      </w:r>
      <w:proofErr w:type="spellStart"/>
      <w:r>
        <w:t>feature</w:t>
      </w:r>
      <w:proofErr w:type="spellEnd"/>
      <w:r>
        <w:t xml:space="preserve"> extraction possible.</w:t>
      </w:r>
    </w:p>
    <w:p w:rsidR="00D0712E" w:rsidRDefault="00D0712E" w:rsidP="00D0712E">
      <w:r>
        <w:t xml:space="preserve">8. Plus la couche à laquelle on extrait les </w:t>
      </w:r>
      <w:proofErr w:type="spellStart"/>
      <w:r>
        <w:t>features</w:t>
      </w:r>
      <w:proofErr w:type="spellEnd"/>
      <w:r>
        <w:t xml:space="preserve"> est profonde dans le réseau plus elle est spécifique aux données d’apprentissage. Il faut donc bien choisir où couper le réseau pour obtenir un vecteur de </w:t>
      </w:r>
      <w:proofErr w:type="spellStart"/>
      <w:r>
        <w:t>feature</w:t>
      </w:r>
      <w:proofErr w:type="spellEnd"/>
      <w:r>
        <w:t xml:space="preserve"> représentant suffisamment bien l’image mais en restant le plus général possible.</w:t>
      </w:r>
    </w:p>
    <w:p w:rsidR="00D0712E" w:rsidRDefault="00D0712E" w:rsidP="00D0712E">
      <w:r>
        <w:lastRenderedPageBreak/>
        <w:t>9. Il faut transformer les images noir et blanc en image RGB, c’est-à-dire qu’il faut passer d’une image à un canal à une image à trois canaux.</w:t>
      </w:r>
    </w:p>
    <w:p w:rsidR="00D0712E" w:rsidRDefault="00D0712E" w:rsidP="00D0712E">
      <w:r>
        <w:t>10.  On obtient 0.99 d’</w:t>
      </w:r>
      <w:proofErr w:type="spellStart"/>
      <w:r>
        <w:t>accuracy</w:t>
      </w:r>
      <w:proofErr w:type="spellEnd"/>
      <w:r>
        <w:t xml:space="preserve"> en train et 0.89 d’</w:t>
      </w:r>
      <w:proofErr w:type="spellStart"/>
      <w:r>
        <w:t>accuracy</w:t>
      </w:r>
      <w:proofErr w:type="spellEnd"/>
      <w:r>
        <w:t xml:space="preserve"> en test alors qu’avec les </w:t>
      </w:r>
      <w:proofErr w:type="spellStart"/>
      <w:r>
        <w:t>BoW</w:t>
      </w:r>
      <w:proofErr w:type="spellEnd"/>
      <w:r>
        <w:t>, nous obtenions 0.71 d’</w:t>
      </w:r>
      <w:proofErr w:type="spellStart"/>
      <w:r>
        <w:t>accuracy</w:t>
      </w:r>
      <w:proofErr w:type="spellEnd"/>
      <w:r>
        <w:t xml:space="preserve"> en train et 0.70 en test. La méthode d’extraction de </w:t>
      </w:r>
      <w:proofErr w:type="spellStart"/>
      <w:r>
        <w:t>features</w:t>
      </w:r>
      <w:proofErr w:type="spellEnd"/>
      <w:r>
        <w:t xml:space="preserve"> est donc meilleure.</w:t>
      </w:r>
    </w:p>
    <w:p w:rsidR="00D0712E" w:rsidRDefault="00D0712E" w:rsidP="00D0712E">
      <w:r>
        <w:t xml:space="preserve">11. Il est possible de remplacer le </w:t>
      </w:r>
      <w:proofErr w:type="spellStart"/>
      <w:r>
        <w:t>classifieur</w:t>
      </w:r>
      <w:proofErr w:type="spellEnd"/>
      <w:r>
        <w:t xml:space="preserve"> indépendant (SVM) par une couche </w:t>
      </w:r>
      <w:proofErr w:type="spellStart"/>
      <w:r>
        <w:t>fully-connected</w:t>
      </w:r>
      <w:proofErr w:type="spellEnd"/>
      <w:r>
        <w:t xml:space="preserve"> ayant pour sorti un vecteur de la taille du nombre de classe à prédire.</w:t>
      </w:r>
    </w:p>
    <w:p w:rsidR="00D0712E" w:rsidRDefault="00D0712E" w:rsidP="00D0712E">
      <w:r>
        <w:t>12. Nous avons testé plusieurs valeurs de C pour SVM</w:t>
      </w:r>
    </w:p>
    <w:tbl>
      <w:tblPr>
        <w:tblStyle w:val="Grilledutableau"/>
        <w:tblpPr w:leftFromText="141" w:rightFromText="141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1831"/>
        <w:gridCol w:w="1831"/>
        <w:gridCol w:w="1831"/>
      </w:tblGrid>
      <w:tr w:rsidR="00D0712E" w:rsidTr="00EE6146">
        <w:trPr>
          <w:trHeight w:val="253"/>
        </w:trPr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Hyper-paramètre C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proofErr w:type="spellStart"/>
            <w:r>
              <w:t>Accuracy</w:t>
            </w:r>
            <w:proofErr w:type="spellEnd"/>
            <w:r>
              <w:t xml:space="preserve"> en train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proofErr w:type="spellStart"/>
            <w:r>
              <w:t>Accuracy</w:t>
            </w:r>
            <w:proofErr w:type="spellEnd"/>
            <w:r>
              <w:t xml:space="preserve"> en test</w:t>
            </w:r>
          </w:p>
        </w:tc>
      </w:tr>
      <w:tr w:rsidR="00D0712E" w:rsidTr="00EE6146">
        <w:trPr>
          <w:trHeight w:val="244"/>
        </w:trPr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100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1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0.88</w:t>
            </w:r>
          </w:p>
        </w:tc>
      </w:tr>
      <w:tr w:rsidR="00D0712E" w:rsidTr="00EE6146">
        <w:trPr>
          <w:trHeight w:val="253"/>
        </w:trPr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30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1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0.88</w:t>
            </w:r>
          </w:p>
        </w:tc>
      </w:tr>
      <w:tr w:rsidR="00D0712E" w:rsidTr="00EE6146">
        <w:trPr>
          <w:trHeight w:val="253"/>
        </w:trPr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10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1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0.88</w:t>
            </w:r>
          </w:p>
        </w:tc>
      </w:tr>
      <w:tr w:rsidR="00D0712E" w:rsidTr="00EE6146">
        <w:trPr>
          <w:trHeight w:val="244"/>
        </w:trPr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1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0.99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0.89</w:t>
            </w:r>
          </w:p>
        </w:tc>
      </w:tr>
      <w:tr w:rsidR="00D0712E" w:rsidTr="00EE6146">
        <w:trPr>
          <w:trHeight w:val="253"/>
        </w:trPr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0 .1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0.92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0.87</w:t>
            </w:r>
          </w:p>
        </w:tc>
      </w:tr>
      <w:tr w:rsidR="00D0712E" w:rsidTr="00EE6146">
        <w:trPr>
          <w:trHeight w:val="244"/>
        </w:trPr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0.01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0.88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0.83</w:t>
            </w:r>
          </w:p>
        </w:tc>
      </w:tr>
      <w:tr w:rsidR="00D0712E" w:rsidTr="00EE6146">
        <w:trPr>
          <w:trHeight w:val="253"/>
        </w:trPr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0.001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0.85</w:t>
            </w:r>
          </w:p>
        </w:tc>
        <w:tc>
          <w:tcPr>
            <w:tcW w:w="1831" w:type="dxa"/>
          </w:tcPr>
          <w:p w:rsidR="00D0712E" w:rsidRDefault="00D0712E" w:rsidP="00EE6146">
            <w:pPr>
              <w:jc w:val="center"/>
            </w:pPr>
            <w:r>
              <w:t>0.82</w:t>
            </w:r>
          </w:p>
        </w:tc>
      </w:tr>
    </w:tbl>
    <w:p w:rsidR="00D0712E" w:rsidRDefault="00D0712E" w:rsidP="00D0712E">
      <w:r>
        <w:rPr>
          <w:noProof/>
          <w:lang w:eastAsia="fr-FR"/>
        </w:rPr>
        <w:drawing>
          <wp:inline distT="0" distB="0" distL="0" distR="0" wp14:anchorId="475F24A6" wp14:editId="280DBD83">
            <wp:extent cx="2885516" cy="1695873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ariation_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78" cy="17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2E" w:rsidRDefault="00D0712E" w:rsidP="00D0712E">
      <w:r>
        <w:t>On peut voir qu’avec un C supérieur à 0.1, le modèle sur-apprend. La valeur optimale de C est 1 car l’</w:t>
      </w:r>
      <w:proofErr w:type="spellStart"/>
      <w:r>
        <w:t>accuracy</w:t>
      </w:r>
      <w:proofErr w:type="spellEnd"/>
      <w:r>
        <w:t xml:space="preserve"> en test est de 0.89.</w:t>
      </w:r>
    </w:p>
    <w:p w:rsidR="00D0712E" w:rsidRDefault="00D0712E" w:rsidP="00D0712E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22C0FD3" wp14:editId="5F67E532">
            <wp:simplePos x="0" y="0"/>
            <wp:positionH relativeFrom="column">
              <wp:posOffset>3645535</wp:posOffset>
            </wp:positionH>
            <wp:positionV relativeFrom="paragraph">
              <wp:posOffset>110490</wp:posOffset>
            </wp:positionV>
            <wp:extent cx="2925445" cy="1719580"/>
            <wp:effectExtent l="0" t="0" r="8255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Net_var_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Nous avons remplacé le réseau pré-entrainé VGG16 par </w:t>
      </w:r>
      <w:proofErr w:type="spellStart"/>
      <w:r>
        <w:t>AlexNet</w:t>
      </w:r>
      <w:proofErr w:type="spellEnd"/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</w:tblGrid>
      <w:tr w:rsidR="00D0712E" w:rsidTr="00EE6146">
        <w:trPr>
          <w:trHeight w:val="253"/>
        </w:trPr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Hyper-paramètre C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proofErr w:type="spellStart"/>
            <w:r>
              <w:t>Accuracy</w:t>
            </w:r>
            <w:proofErr w:type="spellEnd"/>
            <w:r>
              <w:t xml:space="preserve"> en train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proofErr w:type="spellStart"/>
            <w:r>
              <w:t>Accuracy</w:t>
            </w:r>
            <w:proofErr w:type="spellEnd"/>
            <w:r>
              <w:t xml:space="preserve"> en test</w:t>
            </w:r>
          </w:p>
        </w:tc>
      </w:tr>
      <w:tr w:rsidR="00D0712E" w:rsidTr="00EE6146">
        <w:trPr>
          <w:trHeight w:val="253"/>
        </w:trPr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100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1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0.848</w:t>
            </w:r>
          </w:p>
        </w:tc>
      </w:tr>
      <w:tr w:rsidR="00D0712E" w:rsidTr="00EE6146">
        <w:trPr>
          <w:trHeight w:val="262"/>
        </w:trPr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30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0.997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0.854</w:t>
            </w:r>
          </w:p>
        </w:tc>
      </w:tr>
      <w:tr w:rsidR="00D0712E" w:rsidTr="00EE6146">
        <w:trPr>
          <w:trHeight w:val="253"/>
        </w:trPr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10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0.98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0.865</w:t>
            </w:r>
          </w:p>
        </w:tc>
      </w:tr>
      <w:tr w:rsidR="00D0712E" w:rsidTr="00EE6146">
        <w:trPr>
          <w:trHeight w:val="253"/>
        </w:trPr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1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0.928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0.859</w:t>
            </w:r>
          </w:p>
        </w:tc>
      </w:tr>
      <w:tr w:rsidR="00D0712E" w:rsidTr="00EE6146">
        <w:trPr>
          <w:trHeight w:val="253"/>
        </w:trPr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0.1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0.867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0.823</w:t>
            </w:r>
          </w:p>
        </w:tc>
      </w:tr>
      <w:tr w:rsidR="00D0712E" w:rsidTr="00EE6146">
        <w:trPr>
          <w:trHeight w:val="262"/>
        </w:trPr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0.01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0.806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0.7785</w:t>
            </w:r>
          </w:p>
        </w:tc>
      </w:tr>
      <w:tr w:rsidR="00D0712E" w:rsidTr="00EE6146">
        <w:trPr>
          <w:trHeight w:val="253"/>
        </w:trPr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0.001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0.78</w:t>
            </w:r>
          </w:p>
        </w:tc>
        <w:tc>
          <w:tcPr>
            <w:tcW w:w="1850" w:type="dxa"/>
          </w:tcPr>
          <w:p w:rsidR="00D0712E" w:rsidRDefault="00D0712E" w:rsidP="00EE6146">
            <w:pPr>
              <w:jc w:val="center"/>
            </w:pPr>
            <w:r>
              <w:t>0.764</w:t>
            </w:r>
          </w:p>
        </w:tc>
      </w:tr>
    </w:tbl>
    <w:p w:rsidR="00D0712E" w:rsidRDefault="00D0712E" w:rsidP="00D0712E">
      <w:pPr>
        <w:jc w:val="left"/>
      </w:pPr>
    </w:p>
    <w:p w:rsidR="00D0712E" w:rsidRDefault="00D0712E" w:rsidP="00D0712E">
      <w:pPr>
        <w:jc w:val="left"/>
      </w:pPr>
      <w:r>
        <w:t xml:space="preserve">En utilisant le modèle </w:t>
      </w:r>
      <w:proofErr w:type="spellStart"/>
      <w:r>
        <w:t>AlexNet</w:t>
      </w:r>
      <w:proofErr w:type="spellEnd"/>
      <w:r>
        <w:t xml:space="preserve"> nous obtenons des résultats légèrement moins bons, de plus le modèle sur-apprend un peu moins. </w:t>
      </w:r>
    </w:p>
    <w:p w:rsidR="00966E13" w:rsidRDefault="00966E13"/>
    <w:sectPr w:rsidR="00966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C1F30"/>
    <w:multiLevelType w:val="hybridMultilevel"/>
    <w:tmpl w:val="4C8882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2E"/>
    <w:rsid w:val="00741F88"/>
    <w:rsid w:val="00966E13"/>
    <w:rsid w:val="00D04DB1"/>
    <w:rsid w:val="00D0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4FBB0-0F15-4C5F-864D-882ECF93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12E"/>
    <w:pPr>
      <w:spacing w:line="276" w:lineRule="auto"/>
      <w:jc w:val="both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D0712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712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712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0712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table" w:styleId="Grilledutableau">
    <w:name w:val="Table Grid"/>
    <w:basedOn w:val="TableauNormal"/>
    <w:uiPriority w:val="39"/>
    <w:rsid w:val="00D0712E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Marchal</dc:creator>
  <cp:keywords/>
  <dc:description/>
  <cp:lastModifiedBy>Louise Marchal</cp:lastModifiedBy>
  <cp:revision>1</cp:revision>
  <dcterms:created xsi:type="dcterms:W3CDTF">2018-12-12T19:26:00Z</dcterms:created>
  <dcterms:modified xsi:type="dcterms:W3CDTF">2018-12-12T19:26:00Z</dcterms:modified>
</cp:coreProperties>
</file>