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E0F9" w14:textId="77777777" w:rsidR="00833FD7" w:rsidRDefault="00833FD7">
      <w:pPr>
        <w:rPr>
          <w:rFonts w:ascii="Arial" w:hAnsi="Arial" w:cs="Arial"/>
          <w:b/>
          <w:bCs/>
          <w:sz w:val="22"/>
          <w:szCs w:val="22"/>
          <w:lang w:val="en-US"/>
        </w:rPr>
      </w:pPr>
      <w:r w:rsidRPr="00833FD7">
        <w:rPr>
          <w:rFonts w:ascii="Arial" w:hAnsi="Arial" w:cs="Arial"/>
          <w:b/>
          <w:bCs/>
          <w:sz w:val="22"/>
          <w:szCs w:val="22"/>
          <w:lang w:val="en-US"/>
        </w:rPr>
        <w:t>Saliva Cell-Free DNA as a Biomarker for Early Detection of Gastric Cancer</w:t>
      </w:r>
    </w:p>
    <w:p w14:paraId="2F2B06C3" w14:textId="4F05DEEC" w:rsidR="00A03C3B" w:rsidRPr="0062057B" w:rsidRDefault="00A03C3B">
      <w:pPr>
        <w:rPr>
          <w:rFonts w:ascii="Arial" w:hAnsi="Arial" w:cs="Arial"/>
          <w:sz w:val="22"/>
          <w:szCs w:val="22"/>
          <w:vertAlign w:val="superscript"/>
          <w:lang w:val="en-US"/>
        </w:rPr>
      </w:pPr>
      <w:r>
        <w:rPr>
          <w:rFonts w:ascii="Arial" w:hAnsi="Arial" w:cs="Arial"/>
          <w:sz w:val="22"/>
          <w:szCs w:val="22"/>
          <w:lang w:val="en-US"/>
        </w:rPr>
        <w:t>LOUISE OH</w:t>
      </w:r>
      <w:r w:rsidR="0062057B">
        <w:rPr>
          <w:rFonts w:ascii="Arial" w:hAnsi="Arial" w:cs="Arial"/>
          <w:sz w:val="22"/>
          <w:szCs w:val="22"/>
          <w:vertAlign w:val="superscript"/>
          <w:lang w:val="en-US"/>
        </w:rPr>
        <w:t>1</w:t>
      </w:r>
      <w:r>
        <w:rPr>
          <w:rFonts w:ascii="Arial" w:hAnsi="Arial" w:cs="Arial"/>
          <w:sz w:val="22"/>
          <w:szCs w:val="22"/>
          <w:lang w:val="en-US"/>
        </w:rPr>
        <w:t xml:space="preserve">, </w:t>
      </w:r>
      <w:r w:rsidR="00E209CB">
        <w:rPr>
          <w:rFonts w:ascii="Arial" w:hAnsi="Arial" w:cs="Arial"/>
          <w:sz w:val="22"/>
          <w:szCs w:val="22"/>
          <w:lang w:val="en-US"/>
        </w:rPr>
        <w:t>HASSOON SARWAR</w:t>
      </w:r>
      <w:r w:rsidR="00E209CB">
        <w:rPr>
          <w:rFonts w:ascii="Arial" w:hAnsi="Arial" w:cs="Arial"/>
          <w:sz w:val="22"/>
          <w:szCs w:val="22"/>
          <w:vertAlign w:val="superscript"/>
          <w:lang w:val="en-US"/>
        </w:rPr>
        <w:t>1</w:t>
      </w:r>
      <w:r w:rsidR="00E209CB">
        <w:rPr>
          <w:rFonts w:ascii="Arial" w:hAnsi="Arial" w:cs="Arial"/>
          <w:sz w:val="22"/>
          <w:szCs w:val="22"/>
          <w:lang w:val="en-US"/>
        </w:rPr>
        <w:t xml:space="preserve">, </w:t>
      </w:r>
      <w:r w:rsidRPr="00A03C3B">
        <w:rPr>
          <w:rFonts w:ascii="Arial" w:hAnsi="Arial" w:cs="Arial"/>
          <w:sz w:val="22"/>
          <w:szCs w:val="22"/>
          <w:lang w:val="en-US"/>
        </w:rPr>
        <w:t>Aaron Zander</w:t>
      </w:r>
      <w:r w:rsidR="0062057B">
        <w:rPr>
          <w:rFonts w:ascii="Arial" w:hAnsi="Arial" w:cs="Arial"/>
          <w:sz w:val="22"/>
          <w:szCs w:val="22"/>
          <w:vertAlign w:val="superscript"/>
          <w:lang w:val="en-US"/>
        </w:rPr>
        <w:t>1</w:t>
      </w:r>
      <w:r w:rsidRPr="00A03C3B">
        <w:rPr>
          <w:rFonts w:ascii="Arial" w:hAnsi="Arial" w:cs="Arial"/>
          <w:sz w:val="22"/>
          <w:szCs w:val="22"/>
          <w:lang w:val="en-US"/>
        </w:rPr>
        <w:t>, Dev Trivedi</w:t>
      </w:r>
      <w:r w:rsidR="0062057B">
        <w:rPr>
          <w:rFonts w:ascii="Arial" w:hAnsi="Arial" w:cs="Arial"/>
          <w:sz w:val="22"/>
          <w:szCs w:val="22"/>
          <w:vertAlign w:val="superscript"/>
          <w:lang w:val="en-US"/>
        </w:rPr>
        <w:t>1</w:t>
      </w:r>
      <w:r w:rsidRPr="00A03C3B">
        <w:rPr>
          <w:rFonts w:ascii="Arial" w:hAnsi="Arial" w:cs="Arial"/>
          <w:sz w:val="22"/>
          <w:szCs w:val="22"/>
          <w:lang w:val="en-US"/>
        </w:rPr>
        <w:t>, Irene Choi</w:t>
      </w:r>
      <w:r w:rsidR="0062057B">
        <w:rPr>
          <w:rFonts w:ascii="Arial" w:hAnsi="Arial" w:cs="Arial"/>
          <w:sz w:val="22"/>
          <w:szCs w:val="22"/>
          <w:vertAlign w:val="superscript"/>
          <w:lang w:val="en-US"/>
        </w:rPr>
        <w:t>2</w:t>
      </w:r>
      <w:r w:rsidRPr="00A03C3B">
        <w:rPr>
          <w:rFonts w:ascii="Arial" w:hAnsi="Arial" w:cs="Arial"/>
          <w:sz w:val="22"/>
          <w:szCs w:val="22"/>
          <w:lang w:val="en-US"/>
        </w:rPr>
        <w:t>, Neeti Swarup</w:t>
      </w:r>
      <w:r w:rsidR="0062057B">
        <w:rPr>
          <w:rFonts w:ascii="Arial" w:hAnsi="Arial" w:cs="Arial"/>
          <w:sz w:val="22"/>
          <w:szCs w:val="22"/>
          <w:vertAlign w:val="superscript"/>
          <w:lang w:val="en-US"/>
        </w:rPr>
        <w:t>2</w:t>
      </w:r>
      <w:r w:rsidRPr="00A03C3B">
        <w:rPr>
          <w:rFonts w:ascii="Arial" w:hAnsi="Arial" w:cs="Arial"/>
          <w:sz w:val="22"/>
          <w:szCs w:val="22"/>
          <w:lang w:val="en-US"/>
        </w:rPr>
        <w:t>, Mohammed Aziz</w:t>
      </w:r>
      <w:r w:rsidR="0062057B">
        <w:rPr>
          <w:rFonts w:ascii="Arial" w:hAnsi="Arial" w:cs="Arial"/>
          <w:sz w:val="22"/>
          <w:szCs w:val="22"/>
          <w:vertAlign w:val="superscript"/>
          <w:lang w:val="en-US"/>
        </w:rPr>
        <w:t>2</w:t>
      </w:r>
      <w:r w:rsidRPr="00A03C3B">
        <w:rPr>
          <w:rFonts w:ascii="Arial" w:hAnsi="Arial" w:cs="Arial"/>
          <w:sz w:val="22"/>
          <w:szCs w:val="22"/>
          <w:lang w:val="en-US"/>
        </w:rPr>
        <w:t>, David T.W. Wong</w:t>
      </w:r>
      <w:r w:rsidR="0062057B">
        <w:rPr>
          <w:rFonts w:ascii="Arial" w:hAnsi="Arial" w:cs="Arial"/>
          <w:sz w:val="22"/>
          <w:szCs w:val="22"/>
          <w:vertAlign w:val="superscript"/>
          <w:lang w:val="en-US"/>
        </w:rPr>
        <w:t>2</w:t>
      </w:r>
    </w:p>
    <w:p w14:paraId="5612CFC0" w14:textId="77777777" w:rsidR="00166C00" w:rsidRDefault="0062057B">
      <w:pPr>
        <w:rPr>
          <w:rFonts w:ascii="Arial" w:hAnsi="Arial" w:cs="Arial"/>
          <w:sz w:val="22"/>
          <w:szCs w:val="22"/>
          <w:lang w:val="en-US"/>
        </w:rPr>
      </w:pPr>
      <w:r>
        <w:rPr>
          <w:rFonts w:ascii="Arial" w:hAnsi="Arial" w:cs="Arial"/>
          <w:sz w:val="22"/>
          <w:szCs w:val="22"/>
          <w:vertAlign w:val="superscript"/>
          <w:lang w:val="en-US"/>
        </w:rPr>
        <w:t>1</w:t>
      </w:r>
      <w:r w:rsidR="00166C00">
        <w:rPr>
          <w:rFonts w:ascii="Arial" w:hAnsi="Arial" w:cs="Arial"/>
          <w:sz w:val="22"/>
          <w:szCs w:val="22"/>
          <w:vertAlign w:val="superscript"/>
          <w:lang w:val="en-US"/>
        </w:rPr>
        <w:t xml:space="preserve"> </w:t>
      </w:r>
      <w:r w:rsidR="00A03C3B" w:rsidRPr="00A03C3B">
        <w:rPr>
          <w:rFonts w:ascii="Arial" w:hAnsi="Arial" w:cs="Arial"/>
          <w:sz w:val="22"/>
          <w:szCs w:val="22"/>
          <w:lang w:val="en-US"/>
        </w:rPr>
        <w:t>BIG Summer Program, Institute for Quantitative and Computational Biosciences, UCLA</w:t>
      </w:r>
    </w:p>
    <w:p w14:paraId="37FDF912" w14:textId="78CFC704" w:rsidR="005C50C9" w:rsidRDefault="0062057B">
      <w:pPr>
        <w:rPr>
          <w:rFonts w:ascii="Arial" w:hAnsi="Arial" w:cs="Arial"/>
          <w:sz w:val="22"/>
          <w:szCs w:val="22"/>
          <w:lang w:val="en-US"/>
        </w:rPr>
      </w:pPr>
      <w:r>
        <w:rPr>
          <w:rFonts w:ascii="Arial" w:hAnsi="Arial" w:cs="Arial"/>
          <w:sz w:val="22"/>
          <w:szCs w:val="22"/>
          <w:vertAlign w:val="superscript"/>
          <w:lang w:val="en-US"/>
        </w:rPr>
        <w:t>2</w:t>
      </w:r>
      <w:r w:rsidR="00166C00">
        <w:rPr>
          <w:rFonts w:ascii="Arial" w:hAnsi="Arial" w:cs="Arial"/>
          <w:sz w:val="22"/>
          <w:szCs w:val="22"/>
          <w:vertAlign w:val="superscript"/>
          <w:lang w:val="en-US"/>
        </w:rPr>
        <w:t xml:space="preserve"> </w:t>
      </w:r>
      <w:r w:rsidR="005C50C9">
        <w:rPr>
          <w:rFonts w:ascii="Arial" w:hAnsi="Arial" w:cs="Arial"/>
          <w:sz w:val="22"/>
          <w:szCs w:val="22"/>
          <w:lang w:val="en-US"/>
        </w:rPr>
        <w:t>School of Dentistry, UCLA</w:t>
      </w:r>
    </w:p>
    <w:p w14:paraId="240376B5" w14:textId="65DE5C1C" w:rsidR="00A03C3B" w:rsidRPr="00A03C3B" w:rsidRDefault="00C945E9">
      <w:pPr>
        <w:rPr>
          <w:rFonts w:ascii="Arial" w:hAnsi="Arial" w:cs="Arial"/>
          <w:sz w:val="22"/>
          <w:szCs w:val="22"/>
          <w:lang w:val="en-US"/>
        </w:rPr>
      </w:pPr>
      <w:r w:rsidRPr="00C945E9">
        <w:rPr>
          <w:rFonts w:ascii="Arial" w:hAnsi="Arial" w:cs="Arial"/>
          <w:sz w:val="22"/>
          <w:szCs w:val="22"/>
          <w:lang w:val="en-US"/>
        </w:rPr>
        <w:t xml:space="preserve">Gastric cancer (GC) is one of the leading causes of cancer death annually and due to its disease heterogeneity, it is difficult to detect during early stages. The tumor microenvironment (TME) includes various molecular components, such as immune cells, that favor tumor progression. Previous studies have utilized salivary cell-free DNA (cfDNA) as a non-invasive means to guide early cancer detection. This project explores non-mutational analyses of cfDNA and considers the TME of GC to investigate the underlying genetic differences between healthy and cancer patients. We employed a low-coverage single-stranded library NGS pipeline on saliva samples of the two cohorts to study cfDNA characteristics including </w:t>
      </w:r>
      <w:proofErr w:type="spellStart"/>
      <w:r w:rsidRPr="00C945E9">
        <w:rPr>
          <w:rFonts w:ascii="Arial" w:hAnsi="Arial" w:cs="Arial"/>
          <w:sz w:val="22"/>
          <w:szCs w:val="22"/>
          <w:lang w:val="en-US"/>
        </w:rPr>
        <w:t>fragmentomics</w:t>
      </w:r>
      <w:proofErr w:type="spellEnd"/>
      <w:r w:rsidRPr="00C945E9">
        <w:rPr>
          <w:rFonts w:ascii="Arial" w:hAnsi="Arial" w:cs="Arial"/>
          <w:sz w:val="22"/>
          <w:szCs w:val="22"/>
          <w:lang w:val="en-US"/>
        </w:rPr>
        <w:t>, G-quadruplex prevalence, and end-motif profiles. Our analysis showed a significant difference between the two cohorts for both saliva cfDNA characteristics and TME-specific biomarkers. These discoveries could potentially improve the application of cfDNA analysis in clinical settings for both early disease detection and monitoring its progression.</w:t>
      </w:r>
    </w:p>
    <w:sectPr w:rsidR="00A03C3B" w:rsidRPr="00A03C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3B"/>
    <w:rsid w:val="00166C00"/>
    <w:rsid w:val="002243BB"/>
    <w:rsid w:val="00371574"/>
    <w:rsid w:val="00405143"/>
    <w:rsid w:val="005A4C17"/>
    <w:rsid w:val="005B3574"/>
    <w:rsid w:val="005C50C9"/>
    <w:rsid w:val="0062057B"/>
    <w:rsid w:val="0063449A"/>
    <w:rsid w:val="006D45C4"/>
    <w:rsid w:val="00833FD7"/>
    <w:rsid w:val="008F2AFE"/>
    <w:rsid w:val="00A020C0"/>
    <w:rsid w:val="00A03C3B"/>
    <w:rsid w:val="00BE67FB"/>
    <w:rsid w:val="00C34A80"/>
    <w:rsid w:val="00C945E9"/>
    <w:rsid w:val="00E209CB"/>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55B7F7"/>
  <w15:chartTrackingRefBased/>
  <w15:docId w15:val="{C087A50E-9F28-4346-8407-9B94401C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C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C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C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C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C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C3B"/>
    <w:rPr>
      <w:rFonts w:eastAsiaTheme="majorEastAsia" w:cstheme="majorBidi"/>
      <w:color w:val="272727" w:themeColor="text1" w:themeTint="D8"/>
    </w:rPr>
  </w:style>
  <w:style w:type="paragraph" w:styleId="Title">
    <w:name w:val="Title"/>
    <w:basedOn w:val="Normal"/>
    <w:next w:val="Normal"/>
    <w:link w:val="TitleChar"/>
    <w:uiPriority w:val="10"/>
    <w:qFormat/>
    <w:rsid w:val="00A03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C3B"/>
    <w:pPr>
      <w:spacing w:before="160"/>
      <w:jc w:val="center"/>
    </w:pPr>
    <w:rPr>
      <w:i/>
      <w:iCs/>
      <w:color w:val="404040" w:themeColor="text1" w:themeTint="BF"/>
    </w:rPr>
  </w:style>
  <w:style w:type="character" w:customStyle="1" w:styleId="QuoteChar">
    <w:name w:val="Quote Char"/>
    <w:basedOn w:val="DefaultParagraphFont"/>
    <w:link w:val="Quote"/>
    <w:uiPriority w:val="29"/>
    <w:rsid w:val="00A03C3B"/>
    <w:rPr>
      <w:i/>
      <w:iCs/>
      <w:color w:val="404040" w:themeColor="text1" w:themeTint="BF"/>
    </w:rPr>
  </w:style>
  <w:style w:type="paragraph" w:styleId="ListParagraph">
    <w:name w:val="List Paragraph"/>
    <w:basedOn w:val="Normal"/>
    <w:uiPriority w:val="34"/>
    <w:qFormat/>
    <w:rsid w:val="00A03C3B"/>
    <w:pPr>
      <w:ind w:left="720"/>
      <w:contextualSpacing/>
    </w:pPr>
  </w:style>
  <w:style w:type="character" w:styleId="IntenseEmphasis">
    <w:name w:val="Intense Emphasis"/>
    <w:basedOn w:val="DefaultParagraphFont"/>
    <w:uiPriority w:val="21"/>
    <w:qFormat/>
    <w:rsid w:val="00A03C3B"/>
    <w:rPr>
      <w:i/>
      <w:iCs/>
      <w:color w:val="0F4761" w:themeColor="accent1" w:themeShade="BF"/>
    </w:rPr>
  </w:style>
  <w:style w:type="paragraph" w:styleId="IntenseQuote">
    <w:name w:val="Intense Quote"/>
    <w:basedOn w:val="Normal"/>
    <w:next w:val="Normal"/>
    <w:link w:val="IntenseQuoteChar"/>
    <w:uiPriority w:val="30"/>
    <w:qFormat/>
    <w:rsid w:val="00A03C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C3B"/>
    <w:rPr>
      <w:i/>
      <w:iCs/>
      <w:color w:val="0F4761" w:themeColor="accent1" w:themeShade="BF"/>
    </w:rPr>
  </w:style>
  <w:style w:type="character" w:styleId="IntenseReference">
    <w:name w:val="Intense Reference"/>
    <w:basedOn w:val="DefaultParagraphFont"/>
    <w:uiPriority w:val="32"/>
    <w:qFormat/>
    <w:rsid w:val="00A03C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Oh</dc:creator>
  <cp:keywords/>
  <dc:description/>
  <cp:lastModifiedBy>Louise Oh</cp:lastModifiedBy>
  <cp:revision>18</cp:revision>
  <dcterms:created xsi:type="dcterms:W3CDTF">2024-08-05T20:41:00Z</dcterms:created>
  <dcterms:modified xsi:type="dcterms:W3CDTF">2025-09-04T22:52:00Z</dcterms:modified>
</cp:coreProperties>
</file>