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4F48B" w14:textId="52C31D1C" w:rsidR="00840F32" w:rsidRDefault="2C54D56F" w:rsidP="1111EBD7">
      <w:pPr>
        <w:spacing w:before="240" w:after="160" w:line="360" w:lineRule="auto"/>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 xml:space="preserve">AO DOUTO JUÍZO DA VARA _ CÍVEL DA COMARCA DE </w:t>
      </w:r>
      <w:r w:rsidR="00990988">
        <w:rPr>
          <w:rFonts w:ascii="Bookman Old Style" w:eastAsia="Bookman Old Style" w:hAnsi="Bookman Old Style" w:cs="Bookman Old Style"/>
          <w:b/>
          <w:bCs/>
          <w:color w:val="000000" w:themeColor="text1"/>
          <w:sz w:val="24"/>
          <w:szCs w:val="24"/>
        </w:rPr>
        <w:t>XXXXXX</w:t>
      </w:r>
    </w:p>
    <w:p w14:paraId="63154B15" w14:textId="5789D94C" w:rsidR="00840F32" w:rsidRDefault="00840F32" w:rsidP="1111EBD7">
      <w:pPr>
        <w:tabs>
          <w:tab w:val="left" w:pos="1815"/>
        </w:tabs>
        <w:spacing w:before="240" w:after="160" w:line="360" w:lineRule="auto"/>
        <w:ind w:right="-427"/>
        <w:rPr>
          <w:rFonts w:ascii="Bookman Old Style" w:eastAsia="Bookman Old Style" w:hAnsi="Bookman Old Style" w:cs="Bookman Old Style"/>
          <w:color w:val="000000" w:themeColor="text1"/>
          <w:sz w:val="24"/>
          <w:szCs w:val="24"/>
        </w:rPr>
      </w:pPr>
    </w:p>
    <w:p w14:paraId="29AB11EC" w14:textId="67FABDFB" w:rsidR="00840F32" w:rsidRDefault="00840F32"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p>
    <w:p w14:paraId="7C268B5A" w14:textId="15834E50" w:rsidR="00840F32" w:rsidRDefault="00840F32"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p>
    <w:p w14:paraId="57C5ABAD" w14:textId="5BCE0AD9" w:rsidR="00840F32" w:rsidRDefault="00840F32"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p>
    <w:p w14:paraId="6441B365" w14:textId="6E7D5A39" w:rsidR="00840F32" w:rsidRDefault="00990988"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b/>
          <w:bCs/>
          <w:color w:val="000000" w:themeColor="text1"/>
          <w:sz w:val="24"/>
          <w:szCs w:val="24"/>
        </w:rPr>
        <w:t>XXXXX</w:t>
      </w:r>
      <w:r w:rsidR="2C54D56F" w:rsidRPr="1111EBD7">
        <w:rPr>
          <w:rFonts w:ascii="Bookman Old Style" w:eastAsia="Bookman Old Style" w:hAnsi="Bookman Old Style" w:cs="Bookman Old Style"/>
          <w:b/>
          <w:bCs/>
          <w:color w:val="000000" w:themeColor="text1"/>
          <w:sz w:val="24"/>
          <w:szCs w:val="24"/>
        </w:rPr>
        <w:t xml:space="preserve">, </w:t>
      </w:r>
      <w:r w:rsidR="2C54D56F" w:rsidRPr="1111EBD7">
        <w:rPr>
          <w:rFonts w:ascii="Bookman Old Style" w:eastAsia="Bookman Old Style" w:hAnsi="Bookman Old Style" w:cs="Bookman Old Style"/>
          <w:color w:val="000000" w:themeColor="text1"/>
          <w:sz w:val="24"/>
          <w:szCs w:val="24"/>
        </w:rPr>
        <w:t xml:space="preserve">brasileiro, vendedor, portador do documento de identidade nº – </w:t>
      </w:r>
      <w:r>
        <w:rPr>
          <w:rFonts w:ascii="Bookman Old Style" w:eastAsia="Bookman Old Style" w:hAnsi="Bookman Old Style" w:cs="Bookman Old Style"/>
          <w:b/>
          <w:bCs/>
          <w:color w:val="000000" w:themeColor="text1"/>
          <w:sz w:val="24"/>
          <w:szCs w:val="24"/>
        </w:rPr>
        <w:t>XXXXX</w:t>
      </w:r>
      <w:r w:rsidR="2C54D56F" w:rsidRPr="1111EBD7">
        <w:rPr>
          <w:rFonts w:ascii="Bookman Old Style" w:eastAsia="Bookman Old Style" w:hAnsi="Bookman Old Style" w:cs="Bookman Old Style"/>
          <w:color w:val="000000" w:themeColor="text1"/>
          <w:sz w:val="24"/>
          <w:szCs w:val="24"/>
        </w:rPr>
        <w:t>, através de seus procuradores que a esta subscreve (procuração em anexo), vem respeitosamente à presença de Vossa Excelência, ajuizar a presente</w:t>
      </w:r>
    </w:p>
    <w:p w14:paraId="79733B08" w14:textId="375078F9" w:rsidR="00840F32" w:rsidRDefault="2C54D56F" w:rsidP="1111EBD7">
      <w:pPr>
        <w:spacing w:before="240" w:after="160" w:line="360" w:lineRule="auto"/>
        <w:ind w:right="-427"/>
        <w:jc w:val="center"/>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AÇÃO REVISIONAL DE EMPRÉSTIMO PESSOAL c/c DANOS MORAIS, PEDIDO DE REPETIÇÃO DO INDÉBITO DE FORMA DOBRADA, E CONCESSÃO LIMINAR</w:t>
      </w:r>
    </w:p>
    <w:p w14:paraId="07965B8F" w14:textId="2DC3E1AC"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Em face de </w:t>
      </w:r>
      <w:proofErr w:type="spellStart"/>
      <w:r w:rsidRPr="1111EBD7">
        <w:rPr>
          <w:rFonts w:ascii="Bookman Old Style" w:eastAsia="Bookman Old Style" w:hAnsi="Bookman Old Style" w:cs="Bookman Old Style"/>
          <w:b/>
          <w:bCs/>
          <w:color w:val="000000" w:themeColor="text1"/>
          <w:sz w:val="24"/>
          <w:szCs w:val="24"/>
        </w:rPr>
        <w:t>PicPay</w:t>
      </w:r>
      <w:proofErr w:type="spellEnd"/>
      <w:r w:rsidRPr="1111EBD7">
        <w:rPr>
          <w:rFonts w:ascii="Bookman Old Style" w:eastAsia="Bookman Old Style" w:hAnsi="Bookman Old Style" w:cs="Bookman Old Style"/>
          <w:b/>
          <w:bCs/>
          <w:color w:val="000000" w:themeColor="text1"/>
          <w:sz w:val="24"/>
          <w:szCs w:val="24"/>
        </w:rPr>
        <w:t xml:space="preserve"> Bank Banco Múltiplo S.A</w:t>
      </w:r>
      <w:r w:rsidRPr="1111EBD7">
        <w:rPr>
          <w:rFonts w:ascii="Bookman Old Style" w:eastAsia="Bookman Old Style" w:hAnsi="Bookman Old Style" w:cs="Bookman Old Style"/>
          <w:color w:val="000000" w:themeColor="text1"/>
          <w:sz w:val="24"/>
          <w:szCs w:val="24"/>
        </w:rPr>
        <w:t>.</w:t>
      </w:r>
      <w:r w:rsidRPr="1111EBD7">
        <w:rPr>
          <w:rFonts w:ascii="Bookman Old Style" w:eastAsia="Bookman Old Style" w:hAnsi="Bookman Old Style" w:cs="Bookman Old Style"/>
          <w:b/>
          <w:bCs/>
          <w:color w:val="000000" w:themeColor="text1"/>
          <w:sz w:val="24"/>
          <w:szCs w:val="24"/>
        </w:rPr>
        <w:t xml:space="preserve"> </w:t>
      </w:r>
      <w:r w:rsidRPr="1111EBD7">
        <w:rPr>
          <w:rFonts w:ascii="Bookman Old Style" w:eastAsia="Bookman Old Style" w:hAnsi="Bookman Old Style" w:cs="Bookman Old Style"/>
          <w:color w:val="000000" w:themeColor="text1"/>
          <w:sz w:val="24"/>
          <w:szCs w:val="24"/>
        </w:rPr>
        <w:t>- pessoa jurídica de direito privado, inscrito no CNPJ 09.516.419/0001-75, com sede na Avenida Manuel Bandeira, nº 291, Bloco B, 3º andar, São Paulo/SP, CEP 05317-020 pelos fundamentos fáticos e jurídicos a seguir expostos:</w:t>
      </w:r>
    </w:p>
    <w:p w14:paraId="5938F6ED" w14:textId="0166D638" w:rsidR="00840F32" w:rsidRDefault="00840F32" w:rsidP="1111EBD7">
      <w:pPr>
        <w:spacing w:before="240" w:after="160" w:line="360" w:lineRule="auto"/>
        <w:jc w:val="both"/>
        <w:rPr>
          <w:rFonts w:ascii="Bookman Old Style" w:eastAsia="Bookman Old Style" w:hAnsi="Bookman Old Style" w:cs="Bookman Old Style"/>
          <w:color w:val="000000" w:themeColor="text1"/>
          <w:sz w:val="24"/>
          <w:szCs w:val="24"/>
        </w:rPr>
      </w:pPr>
    </w:p>
    <w:p w14:paraId="3A699407" w14:textId="3D3D8DE9" w:rsidR="00840F32" w:rsidRDefault="00840F32" w:rsidP="1111EBD7">
      <w:pPr>
        <w:spacing w:after="160" w:line="360" w:lineRule="auto"/>
        <w:ind w:left="2410"/>
        <w:jc w:val="both"/>
        <w:rPr>
          <w:rFonts w:ascii="Bookman Old Style" w:eastAsia="Bookman Old Style" w:hAnsi="Bookman Old Style" w:cs="Bookman Old Style"/>
          <w:color w:val="000000" w:themeColor="text1"/>
          <w:sz w:val="24"/>
          <w:szCs w:val="24"/>
        </w:rPr>
      </w:pPr>
    </w:p>
    <w:p w14:paraId="30A0A15D" w14:textId="525DAFF9" w:rsidR="00840F32" w:rsidRDefault="2C54D56F" w:rsidP="1111EBD7">
      <w:pPr>
        <w:pStyle w:val="PargrafodaLista"/>
        <w:numPr>
          <w:ilvl w:val="0"/>
          <w:numId w:val="11"/>
        </w:numPr>
        <w:spacing w:before="240" w:after="0" w:line="360" w:lineRule="auto"/>
        <w:ind w:left="0" w:right="-427" w:firstLine="0"/>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PRELIMINARMENTE</w:t>
      </w:r>
    </w:p>
    <w:p w14:paraId="1C211EB1" w14:textId="6563FED8" w:rsidR="00840F32" w:rsidRDefault="2C54D56F" w:rsidP="1111EBD7">
      <w:pPr>
        <w:spacing w:before="240" w:after="160" w:line="360" w:lineRule="auto"/>
        <w:ind w:right="-427"/>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1.1 DA GRATUIDADE DE JUSTIÇA</w:t>
      </w:r>
    </w:p>
    <w:p w14:paraId="3A5C805F" w14:textId="5BF5B27C" w:rsidR="00840F32" w:rsidRDefault="2C54D56F" w:rsidP="1111EBD7">
      <w:pPr>
        <w:pStyle w:val="xmsonormal"/>
        <w:spacing w:before="240" w:beforeAutospacing="0" w:after="0" w:afterAutospacing="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Inicialmente, requer a Vossa Excelência o deferimento dos benefícios da assistência judiciária gratuita, por ser o requerente hipossuficiente, nos </w:t>
      </w:r>
      <w:r w:rsidRPr="1111EBD7">
        <w:rPr>
          <w:rFonts w:ascii="Bookman Old Style" w:eastAsia="Bookman Old Style" w:hAnsi="Bookman Old Style" w:cs="Bookman Old Style"/>
          <w:color w:val="000000" w:themeColor="text1"/>
        </w:rPr>
        <w:lastRenderedPageBreak/>
        <w:t xml:space="preserve">ternos da lei 1060/50, não tendo atualmente condições de arcar com as custas e demais despesas processuais sem o prejuízo do próprio sustento e de sua família, conforme se aduz da declaração em anexo. </w:t>
      </w:r>
    </w:p>
    <w:p w14:paraId="5FF4A32C" w14:textId="773C6439" w:rsidR="00840F32" w:rsidRDefault="2C54D56F" w:rsidP="1111EBD7">
      <w:pPr>
        <w:tabs>
          <w:tab w:val="left" w:pos="9072"/>
        </w:tabs>
        <w:spacing w:after="160" w:line="360" w:lineRule="auto"/>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Para tal benefício o </w:t>
      </w:r>
      <w:proofErr w:type="gramStart"/>
      <w:r w:rsidRPr="1111EBD7">
        <w:rPr>
          <w:rFonts w:ascii="Bookman Old Style" w:eastAsia="Bookman Old Style" w:hAnsi="Bookman Old Style" w:cs="Bookman Old Style"/>
          <w:color w:val="000000" w:themeColor="text1"/>
          <w:sz w:val="24"/>
          <w:szCs w:val="24"/>
        </w:rPr>
        <w:t>autor junta</w:t>
      </w:r>
      <w:proofErr w:type="gramEnd"/>
      <w:r w:rsidRPr="1111EBD7">
        <w:rPr>
          <w:rFonts w:ascii="Bookman Old Style" w:eastAsia="Bookman Old Style" w:hAnsi="Bookman Old Style" w:cs="Bookman Old Style"/>
          <w:color w:val="000000" w:themeColor="text1"/>
          <w:sz w:val="24"/>
          <w:szCs w:val="24"/>
        </w:rPr>
        <w:t xml:space="preserve"> declaração de hipossuficiência, bem como comprovante de despesas, extrato de pagamento relatando a conta negativada, sendo o autor vendedor, demonstrando a inviabilidade de pagamento das custas judiciais sem comprometer sua subsistência, conforme clara redação do Art. 99 Código de Processo Civil.</w:t>
      </w:r>
    </w:p>
    <w:p w14:paraId="5C070967" w14:textId="7928D895" w:rsidR="00840F32" w:rsidRDefault="2C54D56F" w:rsidP="1111EBD7">
      <w:pPr>
        <w:tabs>
          <w:tab w:val="left" w:pos="9072"/>
        </w:tabs>
        <w:spacing w:after="160" w:line="360" w:lineRule="auto"/>
        <w:ind w:firstLine="1134"/>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Art. 99. O pedido de gratuidade da justiça pode ser formulado na petição inicial, na contestação, na petição para ingresso de terceiro no processo ou em recurso. § 1º Se superveniente à primeira manifestação da parte na instância, o pedido poderá ser formulado por petição simples, nos autos do próprio processo, e não suspenderá seu curso. § 2º O juiz somente poderá indeferir o pedido se houver nos autos elementos que evidenciem a falta dos pressupostos legais para a concessão de gratuidade, devendo, antes de indeferir o pedido, determinar à parte a comprovação do preenchimento dos referidos pressupostos. § 3º Presume-se verdadeira a alegação de insuficiência deduzida exclusivamente por pessoa natural.</w:t>
      </w:r>
    </w:p>
    <w:p w14:paraId="1D595947" w14:textId="5F08D795" w:rsidR="00840F32" w:rsidRDefault="2C54D56F" w:rsidP="1111EBD7">
      <w:pPr>
        <w:tabs>
          <w:tab w:val="left" w:pos="9072"/>
        </w:tabs>
        <w:spacing w:after="16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Cabe destacar que o a lei não exige atestada miserabilidade da requerente, sendo suficiente a "insuficiência de recursos para pagar as custas, despesas processuais e honorários advocatícios"(Art. 98, CPC/15).</w:t>
      </w:r>
    </w:p>
    <w:p w14:paraId="0B7B8C9A" w14:textId="1CB858A1" w:rsidR="00840F32" w:rsidRDefault="2C54D56F" w:rsidP="1111EBD7">
      <w:pPr>
        <w:tabs>
          <w:tab w:val="left" w:pos="9072"/>
        </w:tabs>
        <w:spacing w:after="16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Arrima-se, a jurisprudência do Egrégio Tribunal de Justiça do Estado de São Paulo, no seguinte espeque:</w:t>
      </w:r>
    </w:p>
    <w:p w14:paraId="757CEF83" w14:textId="2FF84683" w:rsidR="00840F32" w:rsidRDefault="2C54D56F" w:rsidP="1111EBD7">
      <w:pPr>
        <w:tabs>
          <w:tab w:val="left" w:pos="9072"/>
        </w:tabs>
        <w:spacing w:after="160" w:line="360" w:lineRule="auto"/>
        <w:ind w:firstLine="1134"/>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AGRAVO DE INSTRUMENTO – CUMPRIMENTO DE SENTENÇA – JUSTIÇA GRATUITA – RENDA INFERIOR A TRÊS </w:t>
      </w:r>
      <w:proofErr w:type="gramStart"/>
      <w:r w:rsidRPr="1111EBD7">
        <w:rPr>
          <w:rFonts w:ascii="Bookman Old Style" w:eastAsia="Bookman Old Style" w:hAnsi="Bookman Old Style" w:cs="Bookman Old Style"/>
          <w:color w:val="000000" w:themeColor="text1"/>
          <w:sz w:val="20"/>
          <w:szCs w:val="20"/>
        </w:rPr>
        <w:t>SALÁRIOS MÍNIMOS</w:t>
      </w:r>
      <w:proofErr w:type="gramEnd"/>
      <w:r w:rsidRPr="1111EBD7">
        <w:rPr>
          <w:rFonts w:ascii="Bookman Old Style" w:eastAsia="Bookman Old Style" w:hAnsi="Bookman Old Style" w:cs="Bookman Old Style"/>
          <w:color w:val="000000" w:themeColor="text1"/>
          <w:sz w:val="20"/>
          <w:szCs w:val="20"/>
        </w:rPr>
        <w:t xml:space="preserve"> E DECLARAÇÃO DE HIPOSSUFICIÊNCIA -CONDIÇÃO DE NECESSITADO (LEI 1. 060/50) – Indeferimento de justiça gratuita em primeiro grau – Para obter assistência jurídica integral e gratuita basta que a parte alegue a insuficiência de recursos para o pagamento de custas processuais e de honorários de advogado, sem prejuízo do sustento próprio ou </w:t>
      </w:r>
      <w:r w:rsidRPr="1111EBD7">
        <w:rPr>
          <w:rFonts w:ascii="Bookman Old Style" w:eastAsia="Bookman Old Style" w:hAnsi="Bookman Old Style" w:cs="Bookman Old Style"/>
          <w:color w:val="000000" w:themeColor="text1"/>
          <w:sz w:val="20"/>
          <w:szCs w:val="20"/>
        </w:rPr>
        <w:lastRenderedPageBreak/>
        <w:t>de sua família, sendo necessária a prévia comprovação documental de possibilidade financeira antes do indeferimento do pedido (art. 99, §§ 2º e 3º do CPC/2015)– Preenchimento dos requisitos legais – Renda mensal líquida inferior a três salários mínimos, que é insuficiente para cobrir as despesas familiares e custear o processo - Agravante que pode ser enquadrada na condição de "necessitada" a que alude a Lei n.º 1. 060/50 – Agravado que não trouxe prova em contrário – Benefício da justiça gratuita deferido – Decisão agravada reformada – Recurso provido. (TJ-SP - AI: 20141516820228260000 SP 2014151-68.2022.8.26.0000, Relator: Ponte Neto, Data de Julgamento: 09/03/2022, 9ª Câmara de Direito Público, Data de Publicação: 09/03/2022)</w:t>
      </w:r>
    </w:p>
    <w:p w14:paraId="46D513A6" w14:textId="2EDA3621" w:rsidR="00840F32" w:rsidRDefault="2C54D56F" w:rsidP="1111EBD7">
      <w:pPr>
        <w:tabs>
          <w:tab w:val="left" w:pos="9072"/>
        </w:tabs>
        <w:spacing w:after="160" w:line="360" w:lineRule="auto"/>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           Igualmente, faz-se imprescindível reforçar e esclarecer que, diante da ausência de critérios objetivos para o deferimento da justiça gratuita, se tem entendido que seja razoável a adoção de alguns parâmetros dispostos na legislação como, por exemplo, o artigo 790, §3º, da CLT, o qual preceitua que: § 3o É facultado aos juízes, órgãos julgadores e presidentes dos tribunais do trabalho de qualquer instância conceder, a requerimento ou de ofício, o benefício da justiça gratuita, inclusive quanto a traslados e instrumentos, àqueles que perceberem salário igual ou inferior a 40% (quarenta por cento) do limite máximo dos benefícios do Regime Geral de Previdência Social. (Redação dada pela Lei nº 13.467, de 2017).</w:t>
      </w:r>
    </w:p>
    <w:p w14:paraId="7CA466B0" w14:textId="18F91B5F" w:rsidR="00840F32" w:rsidRDefault="2C54D56F" w:rsidP="1111EBD7">
      <w:pPr>
        <w:tabs>
          <w:tab w:val="left" w:pos="9072"/>
        </w:tabs>
        <w:spacing w:after="16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Dessa forma, com fulcro nos art. 98 e 99 do Código de Processo Civil, sob as penas da lei e de acordo com o artigo 4º da Lei 1060/50, com a redação introduzida pela lei 7510/86, requer desde já, concessão dos benefícios da GRATUIDADE DE JUSTIÇA, para exercer o seu direito constitucional de submeter ao Judiciário lesão e ameaça de lesão aos seus direitos.</w:t>
      </w:r>
    </w:p>
    <w:p w14:paraId="2FC659ED" w14:textId="28CBBB89" w:rsidR="00840F32" w:rsidRDefault="00840F32" w:rsidP="1111EBD7">
      <w:pPr>
        <w:spacing w:after="160" w:line="360" w:lineRule="auto"/>
        <w:ind w:left="708"/>
        <w:jc w:val="both"/>
        <w:rPr>
          <w:rFonts w:ascii="Bookman Old Style" w:eastAsia="Bookman Old Style" w:hAnsi="Bookman Old Style" w:cs="Bookman Old Style"/>
          <w:color w:val="000000" w:themeColor="text1"/>
          <w:sz w:val="20"/>
          <w:szCs w:val="20"/>
        </w:rPr>
      </w:pPr>
    </w:p>
    <w:p w14:paraId="7D87C8C4" w14:textId="29EC8680" w:rsidR="00840F32" w:rsidRDefault="2C54D56F" w:rsidP="1111EBD7">
      <w:pPr>
        <w:spacing w:after="160" w:line="360" w:lineRule="auto"/>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1.3 DO DESINTERESSE DA AUDIÊNCIA CONCILIATÓRIA (art. 331, § 4º, I CPC)</w:t>
      </w:r>
    </w:p>
    <w:p w14:paraId="246F8386" w14:textId="13C328C4" w:rsidR="00840F32" w:rsidRDefault="2C54D56F" w:rsidP="1111EBD7">
      <w:pPr>
        <w:pStyle w:val="Default"/>
        <w:spacing w:before="240" w:after="0" w:line="360" w:lineRule="auto"/>
        <w:ind w:firstLine="851"/>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lastRenderedPageBreak/>
        <w:t>A parte Autora manifesta desinteresse na Audiência conciliatória, requerendo desde já sua retirada da pauta.</w:t>
      </w:r>
    </w:p>
    <w:p w14:paraId="3FC5A11E" w14:textId="6CCE22F8" w:rsidR="00840F32" w:rsidRDefault="2C54D56F" w:rsidP="1111EBD7">
      <w:pPr>
        <w:pStyle w:val="Default"/>
        <w:spacing w:before="240" w:after="0" w:line="360" w:lineRule="auto"/>
        <w:ind w:firstLine="851"/>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Menciona também que no prazo do artigo 335, I do CPC irá apresentar sua réplica, caso haja a contestação da parte Ré.</w:t>
      </w:r>
    </w:p>
    <w:p w14:paraId="16CC03F9" w14:textId="10D94AC4" w:rsidR="00840F32" w:rsidRDefault="2C54D56F" w:rsidP="1111EBD7">
      <w:pPr>
        <w:pStyle w:val="Default"/>
        <w:spacing w:before="240" w:after="0" w:line="360" w:lineRule="auto"/>
        <w:ind w:firstLine="851"/>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Ademais, observa-se que presente demanda se insere entre aquelas em que, por sua natureza ou parte(s), é público, notório e incontestável, que a tentativa de solução amigável do litígio costuma ser infrutífera.</w:t>
      </w:r>
    </w:p>
    <w:p w14:paraId="6F03C940" w14:textId="1C9BCC32" w:rsidR="00840F32" w:rsidRDefault="2C54D56F" w:rsidP="1111EBD7">
      <w:pPr>
        <w:pStyle w:val="Default"/>
        <w:spacing w:before="240" w:after="0" w:line="360" w:lineRule="auto"/>
        <w:ind w:firstLine="851"/>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Sendo assim, pode-se afirmar que a designação audiências de conciliação e/ou instrução e julgamento não se mostram compatíveis com os princípios da informalidade, celeridade, economia processual e simplicidade, todos, previstos no art. 2º da Lei nº. 9.099/95, e nem com o princípio constitucional da eficiência. Bom lembrar, ainda, que por força do advento do NCPC, tal procedimento encontra-se, do mesmo modo, em conflito com os princípios da adequação e cooperação.</w:t>
      </w:r>
    </w:p>
    <w:p w14:paraId="60EEAB50" w14:textId="67AEFB74" w:rsidR="00840F32" w:rsidRDefault="00840F32" w:rsidP="1111EBD7">
      <w:pPr>
        <w:spacing w:before="240" w:after="0" w:line="360" w:lineRule="auto"/>
        <w:ind w:firstLine="851"/>
        <w:jc w:val="both"/>
        <w:rPr>
          <w:rFonts w:ascii="Bookman Old Style" w:eastAsia="Bookman Old Style" w:hAnsi="Bookman Old Style" w:cs="Bookman Old Style"/>
          <w:color w:val="000000" w:themeColor="text1"/>
          <w:sz w:val="24"/>
          <w:szCs w:val="24"/>
        </w:rPr>
      </w:pPr>
    </w:p>
    <w:p w14:paraId="00EBFACF" w14:textId="4E47196C" w:rsidR="00840F32" w:rsidRDefault="2C54D56F" w:rsidP="1111EBD7">
      <w:pPr>
        <w:spacing w:before="240" w:after="160" w:line="360" w:lineRule="auto"/>
        <w:ind w:right="-427"/>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 xml:space="preserve">2. DOS FUNDAMENTOS FÁTICOS </w:t>
      </w:r>
    </w:p>
    <w:p w14:paraId="4BF8B6CC" w14:textId="7A19339D"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A Autora é aposentada e após ser bombardeada com ofertas do Réu para empréstimo, no dia 03/01/2024, celebrou o contrato de CCB número 0101439411, no valor de R$ 20.000,00 (vinte mil reais), com parcelas fixas no valor de R$ 1.924,19 (Um mil e novecentos e vinte e quatro reais e dezenove centavos) em 18 parcelas. Sendo o valor liberado na conta do autor.</w:t>
      </w:r>
    </w:p>
    <w:p w14:paraId="5F35AFC3" w14:textId="00C24DA6" w:rsidR="00840F32" w:rsidRDefault="2C54D56F" w:rsidP="1111EBD7">
      <w:pPr>
        <w:pStyle w:val="xmsonormal"/>
        <w:spacing w:before="240" w:beforeAutospacing="0" w:after="0" w:afterAutospacing="0" w:line="360" w:lineRule="auto"/>
        <w:ind w:right="-427" w:firstLine="708"/>
        <w:jc w:val="both"/>
        <w:rPr>
          <w:rFonts w:ascii="Times New Roman" w:eastAsia="Times New Roman" w:hAnsi="Times New Roman" w:cs="Times New Roman"/>
          <w:color w:val="000000" w:themeColor="text1"/>
        </w:rPr>
      </w:pPr>
      <w:r w:rsidRPr="1111EBD7">
        <w:rPr>
          <w:rFonts w:ascii="Bookman Old Style" w:eastAsia="Bookman Old Style" w:hAnsi="Bookman Old Style" w:cs="Bookman Old Style"/>
          <w:color w:val="000000" w:themeColor="text1"/>
        </w:rPr>
        <w:lastRenderedPageBreak/>
        <w:t xml:space="preserve">Conforme se verifica no contrato que segue em anexo, o Banco Réu fixou a autora uma taxa de uma taxa de 5,79% ao mês          </w:t>
      </w:r>
      <w:r>
        <w:rPr>
          <w:noProof/>
        </w:rPr>
        <w:drawing>
          <wp:inline distT="0" distB="0" distL="0" distR="0" wp14:anchorId="0BE3F125" wp14:editId="51ED1247">
            <wp:extent cx="4981574" cy="2286000"/>
            <wp:effectExtent l="0" t="0" r="0" b="0"/>
            <wp:docPr id="629033338" name="Imagem 62903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981574" cy="2286000"/>
                    </a:xfrm>
                    <a:prstGeom prst="rect">
                      <a:avLst/>
                    </a:prstGeom>
                  </pic:spPr>
                </pic:pic>
              </a:graphicData>
            </a:graphic>
          </wp:inline>
        </w:drawing>
      </w:r>
    </w:p>
    <w:p w14:paraId="5C37A40A" w14:textId="29E9AF11"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O autor se dirigiu à agência do banco réu, no mesmo local onde efetuou o empréstimo, para questionar informações sobre seu contrato, tendo em vista haver despesas continas nele que não lhe foi passada no ato da contratação, bem como questionar a taxa de juros elevada, sendo informada que o valor referente era a cobrança de IOF, bem como a taxa de juros não poderia ser modificada.</w:t>
      </w:r>
    </w:p>
    <w:p w14:paraId="6BB270BB" w14:textId="3AAF143B"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Inconformado o Autor tentou de todas as formas possíveis o estorno desse valor, bem como a modificação da taxa de juros embutida no contrato, no entanto, não obteve êxito. </w:t>
      </w:r>
    </w:p>
    <w:p w14:paraId="0479F564" w14:textId="45875103"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Ocorre que, com a aplicação de taxa consideravelmente abusiva, o que ficará devidamente demonstrado, </w:t>
      </w:r>
      <w:r w:rsidRPr="1111EBD7">
        <w:rPr>
          <w:rFonts w:ascii="Bookman Old Style" w:eastAsia="Bookman Old Style" w:hAnsi="Bookman Old Style" w:cs="Bookman Old Style"/>
          <w:b/>
          <w:bCs/>
          <w:color w:val="000000" w:themeColor="text1"/>
          <w:sz w:val="24"/>
          <w:szCs w:val="24"/>
        </w:rPr>
        <w:t>o contrato tem que ser revisto, aplicando assim a taxa média de mercado.</w:t>
      </w:r>
      <w:r w:rsidRPr="1111EBD7">
        <w:rPr>
          <w:rFonts w:ascii="Bookman Old Style" w:eastAsia="Bookman Old Style" w:hAnsi="Bookman Old Style" w:cs="Bookman Old Style"/>
          <w:color w:val="000000" w:themeColor="text1"/>
          <w:sz w:val="24"/>
          <w:szCs w:val="24"/>
        </w:rPr>
        <w:t xml:space="preserve"> </w:t>
      </w:r>
    </w:p>
    <w:p w14:paraId="5B069F72" w14:textId="685F2AFA"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rPr>
        <w:t xml:space="preserve">Quando submetido o contrato ao cálculo verificamos que sobre o valor realmente liberado de R$ 20.000,00 (vinte mil reais), verificamos que o </w:t>
      </w:r>
      <w:r w:rsidRPr="1111EBD7">
        <w:rPr>
          <w:rFonts w:ascii="Bookman Old Style" w:eastAsia="Bookman Old Style" w:hAnsi="Bookman Old Style" w:cs="Bookman Old Style"/>
          <w:b/>
          <w:bCs/>
          <w:color w:val="000000" w:themeColor="text1"/>
          <w:highlight w:val="yellow"/>
        </w:rPr>
        <w:t>valor realmente cobrado está sendo uma taxa de juros de 6,55% ao mês.</w:t>
      </w:r>
    </w:p>
    <w:p w14:paraId="778B7C04" w14:textId="5ED1FCC4"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rPr>
        <w:lastRenderedPageBreak/>
        <w:t xml:space="preserve">Aplicando a taxa média de mercado, conforme cálculo em anexo, está de 1,60%, com o número de prestações pactuadas, </w:t>
      </w:r>
      <w:r w:rsidRPr="1111EBD7">
        <w:rPr>
          <w:rFonts w:ascii="Bookman Old Style" w:eastAsia="Bookman Old Style" w:hAnsi="Bookman Old Style" w:cs="Bookman Old Style"/>
          <w:b/>
          <w:bCs/>
          <w:color w:val="000000" w:themeColor="text1"/>
          <w:highlight w:val="yellow"/>
        </w:rPr>
        <w:t>verificamos que a parcela devida, de acordo com a taxa média de mercado será de R$ 1.287,59 (Um mil e duzentos e oitenta e sete reais e cinquenta e nove centavos).</w:t>
      </w:r>
    </w:p>
    <w:p w14:paraId="1DF5CC10" w14:textId="3B89AC39" w:rsidR="00840F32" w:rsidRDefault="2C54D56F" w:rsidP="1111EBD7">
      <w:pPr>
        <w:pStyle w:val="xmsonormal"/>
        <w:spacing w:before="240" w:beforeAutospacing="0" w:after="0" w:afterAutospacing="0" w:line="360" w:lineRule="auto"/>
        <w:ind w:right="-427"/>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       Além de faltar com a verdade e boa-fé contratual, o banco Requerido agiu em evidente ilicitude ao cobrar do Autor muito mais do que devido.</w:t>
      </w:r>
    </w:p>
    <w:p w14:paraId="221C53C5" w14:textId="5B6FA7D6"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rPr>
        <w:t xml:space="preserve">Através do cálculo é possível verificar também que a taxa média disponível no site do Banco Central para a modalidade de empréstimo pessoal, é de 1,60% à época da contratação, ou seja, a </w:t>
      </w:r>
      <w:r w:rsidRPr="1111EBD7">
        <w:rPr>
          <w:rFonts w:ascii="Bookman Old Style" w:eastAsia="Bookman Old Style" w:hAnsi="Bookman Old Style" w:cs="Bookman Old Style"/>
          <w:b/>
          <w:bCs/>
          <w:color w:val="000000" w:themeColor="text1"/>
          <w:highlight w:val="yellow"/>
        </w:rPr>
        <w:t>taxa realmente cobrada, sendo 6,55% ao mês, é muito SUPERIOR quanto fixado pelo Banco Central.</w:t>
      </w:r>
      <w:r w:rsidRPr="1111EBD7">
        <w:rPr>
          <w:rFonts w:ascii="Bookman Old Style" w:eastAsia="Bookman Old Style" w:hAnsi="Bookman Old Style" w:cs="Bookman Old Style"/>
          <w:b/>
          <w:bCs/>
          <w:color w:val="000000" w:themeColor="text1"/>
        </w:rPr>
        <w:t xml:space="preserve"> </w:t>
      </w:r>
    </w:p>
    <w:p w14:paraId="60035C1B" w14:textId="23A16864"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 ilegalidade praticada pelo Réu é latente, impondo a intervenção do Poder Judiciário para afastar os encargos contratuais tidos por ilegais (IOF) pela inexistência de previsão contratual e </w:t>
      </w:r>
      <w:r w:rsidRPr="1111EBD7">
        <w:rPr>
          <w:rFonts w:ascii="Bookman Old Style" w:eastAsia="Bookman Old Style" w:hAnsi="Bookman Old Style" w:cs="Bookman Old Style"/>
          <w:b/>
          <w:bCs/>
          <w:color w:val="000000" w:themeColor="text1"/>
          <w:sz w:val="24"/>
          <w:szCs w:val="24"/>
        </w:rPr>
        <w:t>reduzir os juros remuneratórios que ultrapassam demasiadamente a taxa média de mercado, bem como a taxa média estipulada pelo BACEN e pela legislação atinente ao caso em comento, bem como pelo descumprimento contratual.</w:t>
      </w:r>
    </w:p>
    <w:p w14:paraId="01799D43" w14:textId="39ACC205"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Assim, diante da evidente ilicitude praticada pelo Requerido ao incluir IOF, o qual já está devidamente incluído dentro da taxa de juros informada, não estar cobrando a taxa pactuada, bem como fixar os juros remuneratórios em importe muito aquém do quanto fixado pelo contrato ou pela taxa média de mercado, não resta opção à Autor senão buscar no Poder Judiciário a revisão do contrato em comento para pleitear respectiva indenização por danos materiais com a devolução em dobro do valor pago em razão da evidente má-fé do Réu e pelos danos morais em razão da </w:t>
      </w:r>
      <w:r w:rsidRPr="1111EBD7">
        <w:rPr>
          <w:rFonts w:ascii="Bookman Old Style" w:eastAsia="Bookman Old Style" w:hAnsi="Bookman Old Style" w:cs="Bookman Old Style"/>
          <w:color w:val="000000" w:themeColor="text1"/>
        </w:rPr>
        <w:lastRenderedPageBreak/>
        <w:t>supressão desarrazoada da sua fonte de renda alimentar por largo espaço temporal.</w:t>
      </w:r>
    </w:p>
    <w:p w14:paraId="0E4A6362" w14:textId="1FC4CCF2"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Podemos verificar que a taxa de juros realmente cobrada pela instituição financeira é de 6,55% ao mês, assim </w:t>
      </w:r>
      <w:r w:rsidRPr="1111EBD7">
        <w:rPr>
          <w:rFonts w:ascii="Bookman Old Style" w:eastAsia="Bookman Old Style" w:hAnsi="Bookman Old Style" w:cs="Bookman Old Style"/>
          <w:b/>
          <w:bCs/>
          <w:color w:val="000000" w:themeColor="text1"/>
          <w:highlight w:val="yellow"/>
        </w:rPr>
        <w:t>deve ser aplicada a SÚMULA 530 do STJ para que haja a revisão do contrato aplicando a TAXA MÉDIA DE MERCADO uma vez que esta é mais benéfica ao consumidor, em frente a abusividade escancarada</w:t>
      </w:r>
      <w:r w:rsidRPr="1111EBD7">
        <w:rPr>
          <w:rFonts w:ascii="Bookman Old Style" w:eastAsia="Bookman Old Style" w:hAnsi="Bookman Old Style" w:cs="Bookman Old Style"/>
          <w:color w:val="000000" w:themeColor="text1"/>
          <w:highlight w:val="yellow"/>
        </w:rPr>
        <w:t>.</w:t>
      </w:r>
    </w:p>
    <w:p w14:paraId="1EAB5C12" w14:textId="54304507" w:rsidR="00840F32" w:rsidRDefault="00840F32" w:rsidP="1111EBD7">
      <w:pPr>
        <w:spacing w:before="240" w:after="0" w:line="360" w:lineRule="auto"/>
        <w:ind w:right="-427" w:firstLine="708"/>
        <w:jc w:val="both"/>
        <w:rPr>
          <w:rFonts w:ascii="Bookman Old Style" w:eastAsia="Bookman Old Style" w:hAnsi="Bookman Old Style" w:cs="Bookman Old Style"/>
          <w:color w:val="000000" w:themeColor="text1"/>
          <w:sz w:val="24"/>
          <w:szCs w:val="24"/>
        </w:rPr>
      </w:pPr>
    </w:p>
    <w:p w14:paraId="44BA1416" w14:textId="44389D02" w:rsidR="00840F32" w:rsidRDefault="2C54D56F" w:rsidP="1111EBD7">
      <w:pPr>
        <w:pStyle w:val="PargrafodaLista"/>
        <w:numPr>
          <w:ilvl w:val="0"/>
          <w:numId w:val="10"/>
        </w:numPr>
        <w:spacing w:before="240" w:after="0" w:line="360" w:lineRule="auto"/>
        <w:ind w:left="0" w:right="-427" w:firstLine="0"/>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DOS FUNDAMENTOS JURÍDICOS</w:t>
      </w:r>
    </w:p>
    <w:p w14:paraId="457AA209" w14:textId="7899F71B"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Excelência, o que o autor pretende com o ingresso dessa ação é a justiça, com a aplicação de índices e sistema de juros, que permitirão a Ré uma margem de lucro, porém, sem comprometer de maneira excessiva a parte autora ou praticar juros abusivos.</w:t>
      </w:r>
    </w:p>
    <w:p w14:paraId="2A22FF19" w14:textId="6AA0D381"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Necessitando a parte autora adquirir o empréstimo, não restou alternativa, somente a de assinar um contrato sem obter em dada ocasião um entendimento maior da realidade da qual o negócio jurídico se pautava.</w:t>
      </w:r>
    </w:p>
    <w:p w14:paraId="2D1E7830" w14:textId="465300BE"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Em consonância com os ditames da legislação brasileira, o contrato está em desacordo por se tratar de uma operação financeira pautada em um contrato de adesão, onde não perfaz o exercício da livre escolha.</w:t>
      </w:r>
    </w:p>
    <w:p w14:paraId="5100E55A" w14:textId="5BB561A4"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O Código de Defesa do Consumidor é claro ao desobrigar a Requerente ao cumprimento de contratos confusos, e principalmente sem expressa previsão das obrigações, sempre interpretando as disposições de forma mais favorável ao consumidor. Assim dispõem os art. 46 e 47 do aludido diploma:</w:t>
      </w:r>
    </w:p>
    <w:p w14:paraId="32F45D3D" w14:textId="3C8E7537" w:rsidR="00840F32" w:rsidRDefault="2C54D56F" w:rsidP="1111EBD7">
      <w:pPr>
        <w:pStyle w:val="xmsonormal"/>
        <w:spacing w:before="240" w:beforeAutospacing="0" w:after="0" w:afterAutospacing="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lastRenderedPageBreak/>
        <w:t>Artigo 46 - Os contratos que regulam as relações de consumo não obrigam os consumidores, se não lhe for dada à oportunidade de conhecimento prévio de seu conteúdo, ou se os respectivos instrumentos forem redigidos de modo a dificultar a compreensão de seu sentido e alcance.</w:t>
      </w:r>
    </w:p>
    <w:p w14:paraId="5C7DFA13" w14:textId="136373C3" w:rsidR="00840F32" w:rsidRDefault="2C54D56F" w:rsidP="1111EBD7">
      <w:pPr>
        <w:pStyle w:val="xmsonormal"/>
        <w:spacing w:before="240" w:beforeAutospacing="0" w:after="0" w:afterAutospacing="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Artigo 47 - As cláusulas contratuais serão interpretadas de maneira mais favorável ao consumidor.</w:t>
      </w:r>
    </w:p>
    <w:p w14:paraId="1CE5F1AD" w14:textId="6E6FD2D7"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Almejando conhecer melhor o contrato, a parte autora o submeteu a um parecer, oportunidade em que se faz prova a planilha/cálculo demonstrativa (documento anexo), apontando diversas irregularidades.</w:t>
      </w:r>
    </w:p>
    <w:p w14:paraId="64AFA4F4" w14:textId="4F03EAAF"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Destaca-se que a análise, realizou o comparativo entre as taxas fixadas no contrato e as taxas praticadas pela instituição financeira na operação, bem como a real taxa cobrada, sob o prisma de verificar as reais condições acordadas entre as partes.</w:t>
      </w:r>
    </w:p>
    <w:p w14:paraId="667A9F0C" w14:textId="085F71FF"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Como resultado de tal apuração financeira, ficou evidenciada, que o negócio jurídico não foi pautado sob o princípio da boa-fé, vez que, as partes acordaram no instrumento contratual, um financiamento de R$ 20.000,00 (vinte mil reais) em 18 parcelas, sendo aplicado pela instituição uma</w:t>
      </w:r>
      <w:r w:rsidRPr="1111EBD7">
        <w:rPr>
          <w:rFonts w:ascii="Bookman Old Style" w:eastAsia="Bookman Old Style" w:hAnsi="Bookman Old Style" w:cs="Bookman Old Style"/>
          <w:b/>
          <w:bCs/>
          <w:color w:val="000000" w:themeColor="text1"/>
        </w:rPr>
        <w:t xml:space="preserve"> TAXA DE JUROS de 6,55% ao mês. CONFORME CALCULOS QUE SEGUEM EM ANEXO.</w:t>
      </w:r>
    </w:p>
    <w:p w14:paraId="106FFEA1" w14:textId="3D39B0DE"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rPr>
        <w:t>Insta salientar, que o parecer aduz de maneira clara que se a taxa de juros real cobrado no instrumento contratual respeitasse a taxa média de mercado, 1,60% a.m., o valor inicial da prestação seria de: R$ 1.287,59 (Um mil e duzentos e oitenta e sete reais e cinquenta e nove centavos).</w:t>
      </w:r>
    </w:p>
    <w:p w14:paraId="007BE6D6" w14:textId="50652F18"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lastRenderedPageBreak/>
        <w:t>Ante o exposto, preocupa-se o Direito do Consumidor com a fase pré-contratual porque é justamente nela que se constitui a atividade destinada a dar vida ao futuro contrato.</w:t>
      </w:r>
    </w:p>
    <w:p w14:paraId="111BE1E0" w14:textId="19CCD0E7"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O Dever de informar decorre do art. 6º, III do CDC, sendo um dever essencial, para a harmonia e equilíbrio de todas as relações de consumo.</w:t>
      </w:r>
    </w:p>
    <w:p w14:paraId="33F17BCF" w14:textId="10E3C4D1"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Deste modo, preventivamente, o fornecedor deve sempre prestar as informações ao consumidor sobre o conteúdo do contrato, dando especial ênfase para as cláusulas limitativas do direito do Consumidor, conforme art. 54, §4 º do CDC. Com isso, estima-se prevenir eventual responsabilidade, o que demonstrará, inequivocamente, sua boa-fé, que tem como reflexo o direito de arrependimento para as vendas fora do estabelecimento físico (art. 49).</w:t>
      </w:r>
    </w:p>
    <w:p w14:paraId="0FBA9007" w14:textId="01440BD4"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Ao regulamentar o dever de oportunizar informação sobre o conteúdo do contrato, o art. 46 do CDC surpreende com seu alcance, pois impõe aos fornecedores o dever de redigir claramente as cláusulas contratuais especificando de forma detalhada para os consumidores, todo seu conteúdo.</w:t>
      </w:r>
    </w:p>
    <w:p w14:paraId="4C0FE07B" w14:textId="2CC78A84"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Além disso, o referido dispositivo traz uma sanção severa ao descumprimento deste "dever de oportunidade", pois a vontade do consumidor de ver a execução do contrato, bem como a validade de sua aceitação poderá ser considerada nula. Assim, a sanção imposta ao fornecedor que não prestar as informações adequadas na fase pré-contratual é a oportunidade que o Código fornece ao consumidor de não se obrigar pela execução do contrato.</w:t>
      </w:r>
    </w:p>
    <w:p w14:paraId="16E911DE" w14:textId="243A6A6C"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Diante do exposto, resta somente à autor, requerer o que lhe é de direito, ou na falta deste, a multa em pecúnia.</w:t>
      </w:r>
    </w:p>
    <w:p w14:paraId="35E32401" w14:textId="1B4FFEA6"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lastRenderedPageBreak/>
        <w:t>Valor esse, Vossa Excelência, que deverá ser convertido em benefício da parte autora, EM DOBRO, conforme preconiza o art. 42 do CDC com a incidência de juros e correção monetária, desde a data do primeiro vencimento.</w:t>
      </w:r>
    </w:p>
    <w:p w14:paraId="00648CC6" w14:textId="6A157591"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Ocorre que, em desacordo com a exegese firmada por nossos Tribunais Superiores, em especial as teses firmadas pelo Superior Tribunal de Justiça, o banco réu: </w:t>
      </w:r>
    </w:p>
    <w:p w14:paraId="51C403B4" w14:textId="7916F857"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a) realizou a cobrança de IOF; </w:t>
      </w:r>
    </w:p>
    <w:p w14:paraId="3938721F" w14:textId="235748E2" w:rsidR="00840F32" w:rsidRDefault="2C54D56F" w:rsidP="1111EBD7">
      <w:pPr>
        <w:pStyle w:val="xmsonormal"/>
        <w:spacing w:before="240" w:beforeAutospacing="0" w:after="0" w:afterAutospacing="0" w:line="360" w:lineRule="auto"/>
        <w:ind w:right="-427" w:firstLine="708"/>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b) utilizou juros remuneratórios superiores às taxas adotadas pelo mercado, colocando o consumidor em desvantagem exagerada; </w:t>
      </w:r>
    </w:p>
    <w:p w14:paraId="2039D16B" w14:textId="7D73E8EC" w:rsidR="00840F32" w:rsidRDefault="2C54D56F" w:rsidP="1111EBD7">
      <w:pPr>
        <w:spacing w:before="240" w:after="160" w:line="360" w:lineRule="auto"/>
        <w:ind w:right="-427"/>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3.1 DA APLICABILIDADE DO CÓDIGO DE DEFESA DO CONSUMIDOR</w:t>
      </w:r>
    </w:p>
    <w:p w14:paraId="27F5292A" w14:textId="08D0F55D" w:rsidR="00840F32" w:rsidRDefault="2C54D56F" w:rsidP="1111EBD7">
      <w:pPr>
        <w:widowControl w:val="0"/>
        <w:spacing w:before="240" w:after="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lang w:val="pt-PT"/>
        </w:rPr>
        <w:t xml:space="preserve">Inicialmente cumpre destacar que o Superior Tribunal de Justiça, por meio da edição da Súmula 297, consolidou o entendimento de que: </w:t>
      </w:r>
      <w:r w:rsidRPr="1111EBD7">
        <w:rPr>
          <w:rFonts w:ascii="Bookman Old Style" w:eastAsia="Bookman Old Style" w:hAnsi="Bookman Old Style" w:cs="Bookman Old Style"/>
          <w:b/>
          <w:bCs/>
          <w:color w:val="000000" w:themeColor="text1"/>
          <w:sz w:val="24"/>
          <w:szCs w:val="24"/>
          <w:u w:val="single"/>
          <w:lang w:val="pt-PT"/>
        </w:rPr>
        <w:t>“O Código de Defesa do Consumidor é aplicável às instituições financeiras.”</w:t>
      </w:r>
    </w:p>
    <w:p w14:paraId="0B812AC3" w14:textId="17D9CBB5"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Ademais, cabe ressaltar que se trata de questões circunstanciais às relações de consumo, justificando a escolha desse foro para apreciá-la, a teor do artigo 101, I do CDC</w:t>
      </w:r>
      <w:r w:rsidRPr="1111EBD7">
        <w:rPr>
          <w:rFonts w:ascii="Bookman Old Style" w:eastAsia="Bookman Old Style" w:hAnsi="Bookman Old Style" w:cs="Bookman Old Style"/>
          <w:color w:val="000000" w:themeColor="text1"/>
          <w:sz w:val="24"/>
          <w:szCs w:val="24"/>
          <w:vertAlign w:val="superscript"/>
        </w:rPr>
        <w:t>1</w:t>
      </w:r>
      <w:r w:rsidRPr="1111EBD7">
        <w:rPr>
          <w:rFonts w:ascii="Bookman Old Style" w:eastAsia="Bookman Old Style" w:hAnsi="Bookman Old Style" w:cs="Bookman Old Style"/>
          <w:color w:val="000000" w:themeColor="text1"/>
          <w:sz w:val="24"/>
          <w:szCs w:val="24"/>
        </w:rPr>
        <w:t>, prevendo a possibilidade de propositura da demanda no domicílio do Autor porquanto reconhecidamente hipossuficiente.</w:t>
      </w:r>
    </w:p>
    <w:p w14:paraId="4EA3D5A4" w14:textId="2441BF32" w:rsidR="00840F32" w:rsidRDefault="2C54D56F" w:rsidP="1111EBD7">
      <w:pPr>
        <w:widowControl w:val="0"/>
        <w:spacing w:before="240" w:after="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lang w:val="pt-PT"/>
        </w:rPr>
        <w:t xml:space="preserve">O caso em tela é uma típica relação de consumo, portanto, regida pelo Código de Defesa do Consumidor, desta forma garantindo uma serie de proteções e direitos ao Consumidor como forma de equipará-los aos fornecedores. </w:t>
      </w:r>
    </w:p>
    <w:p w14:paraId="258E24F9" w14:textId="24C01808" w:rsidR="00840F32" w:rsidRDefault="2C54D56F" w:rsidP="1111EBD7">
      <w:pPr>
        <w:widowControl w:val="0"/>
        <w:spacing w:before="240" w:after="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lang w:val="pt-PT"/>
        </w:rPr>
        <w:t xml:space="preserve">A Atividade Bancária encontra-se no âmbito do CDC, seja por força </w:t>
      </w:r>
      <w:r w:rsidRPr="1111EBD7">
        <w:rPr>
          <w:rFonts w:ascii="Bookman Old Style" w:eastAsia="Bookman Old Style" w:hAnsi="Bookman Old Style" w:cs="Bookman Old Style"/>
          <w:color w:val="000000" w:themeColor="text1"/>
          <w:sz w:val="24"/>
          <w:szCs w:val="24"/>
          <w:lang w:val="pt-PT"/>
        </w:rPr>
        <w:lastRenderedPageBreak/>
        <w:t xml:space="preserve">do que dispõe o </w:t>
      </w:r>
      <w:proofErr w:type="spellStart"/>
      <w:r w:rsidRPr="1111EBD7">
        <w:rPr>
          <w:rFonts w:ascii="Bookman Old Style" w:eastAsia="Bookman Old Style" w:hAnsi="Bookman Old Style" w:cs="Bookman Old Style"/>
          <w:color w:val="000000" w:themeColor="text1"/>
          <w:sz w:val="24"/>
          <w:szCs w:val="24"/>
          <w:lang w:val="pt-PT"/>
        </w:rPr>
        <w:t>art</w:t>
      </w:r>
      <w:proofErr w:type="spellEnd"/>
      <w:r w:rsidRPr="1111EBD7">
        <w:rPr>
          <w:rFonts w:ascii="Bookman Old Style" w:eastAsia="Bookman Old Style" w:hAnsi="Bookman Old Style" w:cs="Bookman Old Style"/>
          <w:color w:val="000000" w:themeColor="text1"/>
          <w:sz w:val="24"/>
          <w:szCs w:val="24"/>
          <w:lang w:val="pt-PT"/>
        </w:rPr>
        <w:t xml:space="preserve">. 2º (a Atividade Bancária é um serviço), seja por aplicação da regra extensiva do </w:t>
      </w:r>
      <w:proofErr w:type="spellStart"/>
      <w:r w:rsidRPr="1111EBD7">
        <w:rPr>
          <w:rFonts w:ascii="Bookman Old Style" w:eastAsia="Bookman Old Style" w:hAnsi="Bookman Old Style" w:cs="Bookman Old Style"/>
          <w:color w:val="000000" w:themeColor="text1"/>
          <w:sz w:val="24"/>
          <w:szCs w:val="24"/>
          <w:lang w:val="pt-PT"/>
        </w:rPr>
        <w:t>art</w:t>
      </w:r>
      <w:proofErr w:type="spellEnd"/>
      <w:r w:rsidRPr="1111EBD7">
        <w:rPr>
          <w:rFonts w:ascii="Bookman Old Style" w:eastAsia="Bookman Old Style" w:hAnsi="Bookman Old Style" w:cs="Bookman Old Style"/>
          <w:color w:val="000000" w:themeColor="text1"/>
          <w:sz w:val="24"/>
          <w:szCs w:val="24"/>
          <w:lang w:val="pt-PT"/>
        </w:rPr>
        <w:t xml:space="preserve">. 29 pela incidência nas relações que expõe as pessoas às práticas comerciais. </w:t>
      </w:r>
    </w:p>
    <w:p w14:paraId="7568B7D6" w14:textId="32FB0417" w:rsidR="00840F32" w:rsidRDefault="2C54D56F" w:rsidP="1111EBD7">
      <w:pPr>
        <w:widowControl w:val="0"/>
        <w:spacing w:before="240" w:after="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lang w:val="pt-PT"/>
        </w:rPr>
        <w:t xml:space="preserve">Outrossim, as instituições financeiras se </w:t>
      </w:r>
      <w:proofErr w:type="spellStart"/>
      <w:r w:rsidRPr="1111EBD7">
        <w:rPr>
          <w:rFonts w:ascii="Bookman Old Style" w:eastAsia="Bookman Old Style" w:hAnsi="Bookman Old Style" w:cs="Bookman Old Style"/>
          <w:color w:val="000000" w:themeColor="text1"/>
          <w:sz w:val="24"/>
          <w:szCs w:val="24"/>
          <w:lang w:val="pt-PT"/>
        </w:rPr>
        <w:t>enquandram</w:t>
      </w:r>
      <w:proofErr w:type="spellEnd"/>
      <w:r w:rsidRPr="1111EBD7">
        <w:rPr>
          <w:rFonts w:ascii="Bookman Old Style" w:eastAsia="Bookman Old Style" w:hAnsi="Bookman Old Style" w:cs="Bookman Old Style"/>
          <w:color w:val="000000" w:themeColor="text1"/>
          <w:sz w:val="24"/>
          <w:szCs w:val="24"/>
          <w:lang w:val="pt-PT"/>
        </w:rPr>
        <w:t xml:space="preserve"> na tipificação legal de fornecedores por operar e intermediar o crédito: produto que elas oferecem, sendo remuneradas pela restituição de dinheiro com juros e taxas.</w:t>
      </w:r>
    </w:p>
    <w:p w14:paraId="36EFAEA8" w14:textId="3F9AB5C0" w:rsidR="00840F32" w:rsidRDefault="00840F32" w:rsidP="1111EBD7">
      <w:pPr>
        <w:spacing w:before="240" w:after="160" w:line="360" w:lineRule="auto"/>
        <w:ind w:right="-427"/>
        <w:rPr>
          <w:rFonts w:ascii="Bookman Old Style" w:eastAsia="Bookman Old Style" w:hAnsi="Bookman Old Style" w:cs="Bookman Old Style"/>
          <w:color w:val="000000" w:themeColor="text1"/>
        </w:rPr>
      </w:pPr>
    </w:p>
    <w:p w14:paraId="0E962AA8" w14:textId="177C9B9B" w:rsidR="00840F32" w:rsidRDefault="2C54D56F" w:rsidP="1111EBD7">
      <w:pPr>
        <w:spacing w:before="240" w:after="160" w:line="360" w:lineRule="auto"/>
        <w:ind w:right="-427"/>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3.2 DA INVERSÃO DO ÔNUS DA PROVA</w:t>
      </w:r>
    </w:p>
    <w:p w14:paraId="622A938C" w14:textId="77B8FE8D"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Data vênia, torna-se necessário a declaração da inversão do ônus da prova, devendo ser atribuída ao banco à incumbência de produzir provas contrárias às alegações iniciais do autor.</w:t>
      </w:r>
    </w:p>
    <w:p w14:paraId="49240EFF" w14:textId="76884FCF"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Porém, o que se nota é que no momento da contratação houve uma imposição de cláusulas em contrato padronizado, de adesão, redigidas unilateralmente pelo Banco Réu, tornando-se, o consumidor, submisso, sem poder alterar, ou mesmo opinar sobre as condições impostas coercitivamente. Estando presente a vulnerabilidade (técnica jurídica ou fática – socioeconômica) como demonstrada retro, não foi a autora tutelada pelos preceitos do CDC., ficando “exposta” às práticas previstas nos capítulos V e VI do CDC.</w:t>
      </w:r>
    </w:p>
    <w:p w14:paraId="14C01B0A" w14:textId="06FD719E"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Com a inversão do ônus da prova estará o M.M. Juiz garantindo a proteção legal/contratual e o acesso pelo autor, parte mais fraca na relação obrigacional, ao Poder Judiciário, facilitando o direito de ação conforme preceito contido no art. 6º, VIII do CDC, que se requer seja declarado </w:t>
      </w:r>
      <w:proofErr w:type="spellStart"/>
      <w:r w:rsidRPr="1111EBD7">
        <w:rPr>
          <w:rFonts w:ascii="Bookman Old Style" w:eastAsia="Bookman Old Style" w:hAnsi="Bookman Old Style" w:cs="Bookman Old Style"/>
          <w:color w:val="000000" w:themeColor="text1"/>
          <w:sz w:val="24"/>
          <w:szCs w:val="24"/>
        </w:rPr>
        <w:t>ab</w:t>
      </w:r>
      <w:proofErr w:type="spellEnd"/>
      <w:r w:rsidRPr="1111EBD7">
        <w:rPr>
          <w:rFonts w:ascii="Bookman Old Style" w:eastAsia="Bookman Old Style" w:hAnsi="Bookman Old Style" w:cs="Bookman Old Style"/>
          <w:color w:val="000000" w:themeColor="text1"/>
          <w:sz w:val="24"/>
          <w:szCs w:val="24"/>
        </w:rPr>
        <w:t xml:space="preserve"> initio em vista da oportunidade da instrução processual que objetivará </w:t>
      </w:r>
      <w:r w:rsidRPr="1111EBD7">
        <w:rPr>
          <w:rFonts w:ascii="Bookman Old Style" w:eastAsia="Bookman Old Style" w:hAnsi="Bookman Old Style" w:cs="Bookman Old Style"/>
          <w:color w:val="000000" w:themeColor="text1"/>
          <w:sz w:val="24"/>
          <w:szCs w:val="24"/>
        </w:rPr>
        <w:lastRenderedPageBreak/>
        <w:t>apurar o equilíbrio contratual e a licitude das cobranças ocorridas por parte do banco.</w:t>
      </w:r>
    </w:p>
    <w:p w14:paraId="0031DC06" w14:textId="34284493" w:rsidR="00840F32" w:rsidRDefault="00840F32" w:rsidP="1111EBD7">
      <w:pPr>
        <w:widowControl w:val="0"/>
        <w:spacing w:before="240" w:after="0" w:line="360" w:lineRule="auto"/>
        <w:ind w:right="-427"/>
        <w:jc w:val="both"/>
        <w:rPr>
          <w:rFonts w:ascii="Bookman Old Style" w:eastAsia="Bookman Old Style" w:hAnsi="Bookman Old Style" w:cs="Bookman Old Style"/>
          <w:color w:val="000000" w:themeColor="text1"/>
          <w:sz w:val="24"/>
          <w:szCs w:val="24"/>
        </w:rPr>
      </w:pPr>
    </w:p>
    <w:p w14:paraId="015911DC" w14:textId="15C2D28F"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3.3 DAS ILICITUDES E ILEGALIDADES PRATICADAS PELO BANCO RÉU</w:t>
      </w:r>
    </w:p>
    <w:p w14:paraId="7AE6A8AF" w14:textId="197FBD48"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Conforme o cálculo, verifica-se que a taxa realmente cobrada é de 6,55% a.m. para os juros remuneratórios fixada no contrato de empréstimo.</w:t>
      </w:r>
    </w:p>
    <w:p w14:paraId="689029AF" w14:textId="69086C8A" w:rsidR="00840F32" w:rsidRDefault="2C54D56F" w:rsidP="1111EBD7">
      <w:pPr>
        <w:spacing w:before="240" w:after="160" w:line="360" w:lineRule="auto"/>
        <w:ind w:right="-427"/>
        <w:jc w:val="center"/>
        <w:rPr>
          <w:rFonts w:ascii="Calibri" w:eastAsia="Calibri" w:hAnsi="Calibri" w:cs="Calibri"/>
          <w:color w:val="000000" w:themeColor="text1"/>
        </w:rPr>
      </w:pPr>
      <w:r>
        <w:rPr>
          <w:noProof/>
        </w:rPr>
        <w:drawing>
          <wp:inline distT="0" distB="0" distL="0" distR="0" wp14:anchorId="265FE57B" wp14:editId="579EEEAA">
            <wp:extent cx="3181350" cy="885825"/>
            <wp:effectExtent l="0" t="0" r="0" b="0"/>
            <wp:docPr id="857655186" name="Imagem 85765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81350" cy="885825"/>
                    </a:xfrm>
                    <a:prstGeom prst="rect">
                      <a:avLst/>
                    </a:prstGeom>
                  </pic:spPr>
                </pic:pic>
              </a:graphicData>
            </a:graphic>
          </wp:inline>
        </w:drawing>
      </w:r>
    </w:p>
    <w:p w14:paraId="6FAB1919" w14:textId="6B1CABF7" w:rsidR="00840F32" w:rsidRDefault="2C54D56F" w:rsidP="1111EBD7">
      <w:pPr>
        <w:spacing w:before="240" w:after="160" w:line="360" w:lineRule="auto"/>
        <w:ind w:right="-427"/>
        <w:jc w:val="both"/>
        <w:rPr>
          <w:rFonts w:ascii="Calibri" w:eastAsia="Calibri" w:hAnsi="Calibri" w:cs="Calibri"/>
          <w:color w:val="000000" w:themeColor="text1"/>
        </w:rPr>
      </w:pPr>
      <w:r>
        <w:rPr>
          <w:noProof/>
        </w:rPr>
        <w:drawing>
          <wp:inline distT="0" distB="0" distL="0" distR="0" wp14:anchorId="050E799C" wp14:editId="43D53A5E">
            <wp:extent cx="5391152" cy="1933575"/>
            <wp:effectExtent l="0" t="0" r="0" b="0"/>
            <wp:docPr id="1664422314" name="Imagem 16644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391152" cy="1933575"/>
                    </a:xfrm>
                    <a:prstGeom prst="rect">
                      <a:avLst/>
                    </a:prstGeom>
                  </pic:spPr>
                </pic:pic>
              </a:graphicData>
            </a:graphic>
          </wp:inline>
        </w:drawing>
      </w:r>
    </w:p>
    <w:p w14:paraId="1A2B33C9" w14:textId="6BA9B4BF"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De acordo com a Constituição Federal, no art. 192, o sistema financeiro nacional deve se estruturar de forma a promover o desenvolvimento </w:t>
      </w:r>
      <w:r w:rsidRPr="1111EBD7">
        <w:rPr>
          <w:rFonts w:ascii="Bookman Old Style" w:eastAsia="Bookman Old Style" w:hAnsi="Bookman Old Style" w:cs="Bookman Old Style"/>
          <w:b/>
          <w:bCs/>
          <w:color w:val="000000" w:themeColor="text1"/>
          <w:sz w:val="24"/>
          <w:szCs w:val="24"/>
          <w:u w:val="single"/>
        </w:rPr>
        <w:t>equilibrado</w:t>
      </w:r>
      <w:r w:rsidRPr="1111EBD7">
        <w:rPr>
          <w:rFonts w:ascii="Bookman Old Style" w:eastAsia="Bookman Old Style" w:hAnsi="Bookman Old Style" w:cs="Bookman Old Style"/>
          <w:color w:val="000000" w:themeColor="text1"/>
          <w:sz w:val="24"/>
          <w:szCs w:val="24"/>
        </w:rPr>
        <w:t xml:space="preserve"> do país e servir aos interesses da </w:t>
      </w:r>
      <w:r w:rsidRPr="1111EBD7">
        <w:rPr>
          <w:rFonts w:ascii="Bookman Old Style" w:eastAsia="Bookman Old Style" w:hAnsi="Bookman Old Style" w:cs="Bookman Old Style"/>
          <w:b/>
          <w:bCs/>
          <w:color w:val="000000" w:themeColor="text1"/>
          <w:sz w:val="24"/>
          <w:szCs w:val="24"/>
          <w:u w:val="single"/>
        </w:rPr>
        <w:t>coletividade</w:t>
      </w:r>
      <w:r w:rsidRPr="1111EBD7">
        <w:rPr>
          <w:rFonts w:ascii="Bookman Old Style" w:eastAsia="Bookman Old Style" w:hAnsi="Bookman Old Style" w:cs="Bookman Old Style"/>
          <w:color w:val="000000" w:themeColor="text1"/>
          <w:sz w:val="24"/>
          <w:szCs w:val="24"/>
        </w:rPr>
        <w:t xml:space="preserve">, devendo o conteúdo bancário ser regulado por </w:t>
      </w:r>
      <w:r w:rsidRPr="1111EBD7">
        <w:rPr>
          <w:rFonts w:ascii="Bookman Old Style" w:eastAsia="Bookman Old Style" w:hAnsi="Bookman Old Style" w:cs="Bookman Old Style"/>
          <w:b/>
          <w:bCs/>
          <w:color w:val="000000" w:themeColor="text1"/>
          <w:sz w:val="24"/>
          <w:szCs w:val="24"/>
          <w:u w:val="single"/>
        </w:rPr>
        <w:t>leis complementares</w:t>
      </w:r>
      <w:r w:rsidRPr="1111EBD7">
        <w:rPr>
          <w:rFonts w:ascii="Bookman Old Style" w:eastAsia="Bookman Old Style" w:hAnsi="Bookman Old Style" w:cs="Bookman Old Style"/>
          <w:color w:val="000000" w:themeColor="text1"/>
          <w:sz w:val="24"/>
          <w:szCs w:val="24"/>
        </w:rPr>
        <w:t>.</w:t>
      </w:r>
    </w:p>
    <w:p w14:paraId="5E580493" w14:textId="14ACAB90"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Ocorre que, o banco Réu, ao fixar taxa mensal de juros de forma EXORBITANTE, e em desconformidade com o quanto fixado em contrato, conduziu o contrato de forma inconstitucional, senão vejamos:</w:t>
      </w:r>
    </w:p>
    <w:p w14:paraId="4C1D6532" w14:textId="4D7B6F60"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Art. 192. O sistema financeiro nacional, estruturado de forma a promover o desenvolvimento equilibrado do País e a servir aos interesses da coletividade, em todas as partes que o compõem, abrangendo as cooperativas de crédito, será regulado por leis complementares que disporão, inclusive, sobre a participação do capital estrangeiro nas instituições que o integram.</w:t>
      </w:r>
    </w:p>
    <w:p w14:paraId="39AF7694" w14:textId="4CF6D5F8"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No caso dos Autos, o Requerido violou todos os princípios constitucionais previstos no art. 192, visto que há evidente desequilíbrio contratual por onerosidade excessiva, conforme cálculo em anexo.</w:t>
      </w:r>
    </w:p>
    <w:p w14:paraId="6999578D" w14:textId="489839AE"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O banco Réu também não agiu em favor da coletividade, visto que ao cobrar juros abusivos e excessivos não serviu aos interesses sociais o que gera superendividamento em massa e consequente restrição da circulação do dinheiro o que traz prejuízos à economia. Em suma, o Requerido agiu tão somente visando alto lucro e no crescimento apenas da sua instituição bancária.</w:t>
      </w:r>
    </w:p>
    <w:p w14:paraId="575020A1" w14:textId="24F88AA1" w:rsidR="00840F32" w:rsidRDefault="00840F32"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p>
    <w:p w14:paraId="61A3AC9A" w14:textId="332900B1" w:rsidR="00840F32" w:rsidRDefault="2C54D56F" w:rsidP="1111EBD7">
      <w:pPr>
        <w:spacing w:before="240" w:after="160" w:line="360" w:lineRule="auto"/>
        <w:ind w:right="-427"/>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3.4 IOF</w:t>
      </w:r>
    </w:p>
    <w:p w14:paraId="0CD2ADA3" w14:textId="33116A07"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Podem as partes convencionar o pagamento do Imposto sobre Operações Financeiras e de Crédito (IOF) por meio de financiamento acessório ao mútuo principal, sujeitando-o aos mesmos encargos contratuais (tese julgada sob o rito do artigo 543-C do CPC — tema 621). </w:t>
      </w:r>
    </w:p>
    <w:p w14:paraId="22CC8C55" w14:textId="3B6C481D"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Importante frisar que no caso dos autos, o autor não convencionou e/ou aceitou referido imposto sendo incluído pela instituição financeira de forma arbitrária e abusiva.</w:t>
      </w:r>
    </w:p>
    <w:p w14:paraId="3C75E4E2" w14:textId="3C99F7A1"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Ademais, o que se verifica Excelência, conforme informação, extraída diretamente do site do Banco Central do Brasil é no sentido de todas as taxas apresentadas ao Banco Central pela própria instituição, nela já estaria incluso todos os encargos fiscais e operacionais.</w:t>
      </w:r>
    </w:p>
    <w:p w14:paraId="4E4227CB" w14:textId="1D84D788"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“As taxas de juros informadas nesta página compreendem operações de cheque especial e de adiantamento a depositantes. Correspondem ao custo efetivo médio das operações para os clientes, composto pelas taxas de juros efetivamente praticadas, acrescidas dos encargos fiscais e operacionais incidentes sobre as operações”. </w:t>
      </w:r>
      <w:hyperlink r:id="rId10">
        <w:r w:rsidRPr="1111EBD7">
          <w:rPr>
            <w:rStyle w:val="Hyperlink"/>
          </w:rPr>
          <w:t>https://www.bcb.gov.br/estatisticas/reporttxjuros/?parametros=tipopessoa:1;modalidade:216;encargo:101</w:t>
        </w:r>
      </w:hyperlink>
    </w:p>
    <w:p w14:paraId="0FFE5CC3" w14:textId="38BB0D17"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Portanto, considerando referida informação, consistente da não convenção e/ou aceite da cobrança de IOF, bem como, referido encargo já estar presente dentro da taxa de juros informada pela instituição financeira ao Banco Central, requer-se desde já a retirada da cobrança do IOF e a adequação do contrato a taxa média de mercado.</w:t>
      </w:r>
    </w:p>
    <w:p w14:paraId="1442898C" w14:textId="2F7C5D69" w:rsidR="00840F32" w:rsidRDefault="2C54D56F" w:rsidP="1111EBD7">
      <w:pPr>
        <w:spacing w:before="240" w:after="160" w:line="360" w:lineRule="auto"/>
        <w:ind w:right="-427" w:firstLine="851"/>
        <w:jc w:val="both"/>
        <w:rPr>
          <w:rFonts w:ascii="Calibri" w:eastAsia="Calibri" w:hAnsi="Calibri" w:cs="Calibri"/>
          <w:color w:val="000000" w:themeColor="text1"/>
        </w:rPr>
      </w:pPr>
      <w:r>
        <w:rPr>
          <w:noProof/>
        </w:rPr>
        <w:drawing>
          <wp:inline distT="0" distB="0" distL="0" distR="0" wp14:anchorId="7A553F9E" wp14:editId="30C71715">
            <wp:extent cx="676275" cy="523875"/>
            <wp:effectExtent l="0" t="0" r="0" b="0"/>
            <wp:docPr id="492864907" name="Imagem 492864907"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76275" cy="523875"/>
                    </a:xfrm>
                    <a:prstGeom prst="rect">
                      <a:avLst/>
                    </a:prstGeom>
                  </pic:spPr>
                </pic:pic>
              </a:graphicData>
            </a:graphic>
          </wp:inline>
        </w:drawing>
      </w:r>
      <w:r>
        <w:rPr>
          <w:noProof/>
        </w:rPr>
        <w:drawing>
          <wp:inline distT="0" distB="0" distL="0" distR="0" wp14:anchorId="6FF551E4" wp14:editId="6CA8C562">
            <wp:extent cx="2838450" cy="561975"/>
            <wp:effectExtent l="0" t="0" r="0" b="0"/>
            <wp:docPr id="1949310153" name="Imagem 194931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838450" cy="561975"/>
                    </a:xfrm>
                    <a:prstGeom prst="rect">
                      <a:avLst/>
                    </a:prstGeom>
                  </pic:spPr>
                </pic:pic>
              </a:graphicData>
            </a:graphic>
          </wp:inline>
        </w:drawing>
      </w:r>
    </w:p>
    <w:p w14:paraId="1A615284" w14:textId="63B30454"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Ainda, caso esse não seja o entendimento de Vossa Excelência, o entendimento exposto por nossos Tribunais Superiores seria no sentido de o financiamento acessório ao </w:t>
      </w:r>
      <w:proofErr w:type="gramStart"/>
      <w:r w:rsidRPr="1111EBD7">
        <w:rPr>
          <w:rFonts w:ascii="Bookman Old Style" w:eastAsia="Bookman Old Style" w:hAnsi="Bookman Old Style" w:cs="Bookman Old Style"/>
          <w:color w:val="000000" w:themeColor="text1"/>
          <w:sz w:val="24"/>
          <w:szCs w:val="24"/>
        </w:rPr>
        <w:t>mutuo</w:t>
      </w:r>
      <w:proofErr w:type="gramEnd"/>
      <w:r w:rsidRPr="1111EBD7">
        <w:rPr>
          <w:rFonts w:ascii="Bookman Old Style" w:eastAsia="Bookman Old Style" w:hAnsi="Bookman Old Style" w:cs="Bookman Old Style"/>
          <w:color w:val="000000" w:themeColor="text1"/>
          <w:sz w:val="24"/>
          <w:szCs w:val="24"/>
        </w:rPr>
        <w:t xml:space="preserve"> principal deve seguir a taxa de juros do principal, desde que devidamente convencionado entre as partes, o que não foi feito no presente caso.</w:t>
      </w:r>
    </w:p>
    <w:p w14:paraId="71752770" w14:textId="555E2530"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Neste ínterim, com fundamento no art. 51 do Código de Defesa do Consumidor, bem como a informação trazida diretamente pelo Banco Central, ainda a tese apresentada pelo Superior Tribunal de Justiça, a Autora requer a adequação da taxa de juros remuneratórios aplicados sobre o financiamento acessório, ao mesmo patamar aplicado ao contrato principal.</w:t>
      </w:r>
    </w:p>
    <w:p w14:paraId="46F0728D" w14:textId="612B5CC1" w:rsidR="00840F32" w:rsidRDefault="00840F32" w:rsidP="1111EBD7">
      <w:pPr>
        <w:spacing w:after="0" w:line="360" w:lineRule="auto"/>
        <w:ind w:firstLine="1701"/>
        <w:jc w:val="both"/>
        <w:rPr>
          <w:rFonts w:ascii="Bookman Old Style" w:eastAsia="Bookman Old Style" w:hAnsi="Bookman Old Style" w:cs="Bookman Old Style"/>
          <w:color w:val="00000A"/>
          <w:sz w:val="24"/>
          <w:szCs w:val="24"/>
        </w:rPr>
      </w:pPr>
    </w:p>
    <w:p w14:paraId="4A697654" w14:textId="6884C9D1" w:rsidR="00840F32" w:rsidRDefault="2C54D56F" w:rsidP="1111EBD7">
      <w:pPr>
        <w:spacing w:after="240" w:line="360" w:lineRule="auto"/>
        <w:ind w:left="2268"/>
        <w:jc w:val="both"/>
        <w:rPr>
          <w:rFonts w:ascii="Bookman Old Style" w:eastAsia="Bookman Old Style" w:hAnsi="Bookman Old Style" w:cs="Bookman Old Style"/>
          <w:color w:val="00000A"/>
          <w:sz w:val="20"/>
          <w:szCs w:val="20"/>
        </w:rPr>
      </w:pPr>
      <w:r w:rsidRPr="1111EBD7">
        <w:rPr>
          <w:rFonts w:ascii="Bookman Old Style" w:eastAsia="Bookman Old Style" w:hAnsi="Bookman Old Style" w:cs="Bookman Old Style"/>
          <w:b/>
          <w:bCs/>
          <w:color w:val="00000A"/>
          <w:sz w:val="20"/>
          <w:szCs w:val="20"/>
        </w:rPr>
        <w:t>Precedentes:</w:t>
      </w:r>
      <w:r w:rsidRPr="1111EBD7">
        <w:rPr>
          <w:rFonts w:ascii="Bookman Old Style" w:eastAsia="Bookman Old Style" w:hAnsi="Bookman Old Style" w:cs="Bookman Old Style"/>
          <w:color w:val="00000A"/>
          <w:sz w:val="20"/>
          <w:szCs w:val="20"/>
        </w:rPr>
        <w:t xml:space="preserve"> Precedentes: </w:t>
      </w:r>
      <w:proofErr w:type="spellStart"/>
      <w:r w:rsidRPr="1111EBD7">
        <w:rPr>
          <w:rFonts w:ascii="Bookman Old Style" w:eastAsia="Bookman Old Style" w:hAnsi="Bookman Old Style" w:cs="Bookman Old Style"/>
          <w:color w:val="00000A"/>
          <w:sz w:val="20"/>
          <w:szCs w:val="20"/>
        </w:rPr>
        <w:t>AgRg</w:t>
      </w:r>
      <w:proofErr w:type="spellEnd"/>
      <w:r w:rsidRPr="1111EBD7">
        <w:rPr>
          <w:rFonts w:ascii="Bookman Old Style" w:eastAsia="Bookman Old Style" w:hAnsi="Bookman Old Style" w:cs="Bookman Old Style"/>
          <w:color w:val="00000A"/>
          <w:sz w:val="20"/>
          <w:szCs w:val="20"/>
        </w:rPr>
        <w:t xml:space="preserve"> no </w:t>
      </w:r>
      <w:proofErr w:type="spellStart"/>
      <w:r w:rsidRPr="1111EBD7">
        <w:rPr>
          <w:rFonts w:ascii="Bookman Old Style" w:eastAsia="Bookman Old Style" w:hAnsi="Bookman Old Style" w:cs="Bookman Old Style"/>
          <w:color w:val="00000A"/>
          <w:sz w:val="20"/>
          <w:szCs w:val="20"/>
        </w:rPr>
        <w:t>REsp</w:t>
      </w:r>
      <w:proofErr w:type="spellEnd"/>
      <w:r w:rsidRPr="1111EBD7">
        <w:rPr>
          <w:rFonts w:ascii="Bookman Old Style" w:eastAsia="Bookman Old Style" w:hAnsi="Bookman Old Style" w:cs="Bookman Old Style"/>
          <w:color w:val="00000A"/>
          <w:sz w:val="20"/>
          <w:szCs w:val="20"/>
        </w:rPr>
        <w:t xml:space="preserve"> 1532484/PR, Rel. Ministro RICARDO VILLAS BÔAS CUEVA, TERCEIRA TURMA, julgado em 08/09/2015,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11/09/2015; </w:t>
      </w:r>
      <w:proofErr w:type="spellStart"/>
      <w:r w:rsidRPr="1111EBD7">
        <w:rPr>
          <w:rFonts w:ascii="Bookman Old Style" w:eastAsia="Bookman Old Style" w:hAnsi="Bookman Old Style" w:cs="Bookman Old Style"/>
          <w:color w:val="00000A"/>
          <w:sz w:val="20"/>
          <w:szCs w:val="20"/>
        </w:rPr>
        <w:t>AgRg</w:t>
      </w:r>
      <w:proofErr w:type="spellEnd"/>
      <w:r w:rsidRPr="1111EBD7">
        <w:rPr>
          <w:rFonts w:ascii="Bookman Old Style" w:eastAsia="Bookman Old Style" w:hAnsi="Bookman Old Style" w:cs="Bookman Old Style"/>
          <w:color w:val="00000A"/>
          <w:sz w:val="20"/>
          <w:szCs w:val="20"/>
        </w:rPr>
        <w:t xml:space="preserve"> no </w:t>
      </w:r>
      <w:proofErr w:type="spellStart"/>
      <w:r w:rsidRPr="1111EBD7">
        <w:rPr>
          <w:rFonts w:ascii="Bookman Old Style" w:eastAsia="Bookman Old Style" w:hAnsi="Bookman Old Style" w:cs="Bookman Old Style"/>
          <w:color w:val="00000A"/>
          <w:sz w:val="20"/>
          <w:szCs w:val="20"/>
        </w:rPr>
        <w:t>AgRg</w:t>
      </w:r>
      <w:proofErr w:type="spellEnd"/>
      <w:r w:rsidRPr="1111EBD7">
        <w:rPr>
          <w:rFonts w:ascii="Bookman Old Style" w:eastAsia="Bookman Old Style" w:hAnsi="Bookman Old Style" w:cs="Bookman Old Style"/>
          <w:color w:val="00000A"/>
          <w:sz w:val="20"/>
          <w:szCs w:val="20"/>
        </w:rPr>
        <w:t xml:space="preserve"> no </w:t>
      </w:r>
      <w:proofErr w:type="spellStart"/>
      <w:r w:rsidRPr="1111EBD7">
        <w:rPr>
          <w:rFonts w:ascii="Bookman Old Style" w:eastAsia="Bookman Old Style" w:hAnsi="Bookman Old Style" w:cs="Bookman Old Style"/>
          <w:color w:val="00000A"/>
          <w:sz w:val="20"/>
          <w:szCs w:val="20"/>
        </w:rPr>
        <w:t>AREsp</w:t>
      </w:r>
      <w:proofErr w:type="spellEnd"/>
      <w:r w:rsidRPr="1111EBD7">
        <w:rPr>
          <w:rFonts w:ascii="Bookman Old Style" w:eastAsia="Bookman Old Style" w:hAnsi="Bookman Old Style" w:cs="Bookman Old Style"/>
          <w:color w:val="00000A"/>
          <w:sz w:val="20"/>
          <w:szCs w:val="20"/>
        </w:rPr>
        <w:t xml:space="preserve"> 597241/RS, Rel. Ministro RAUL ARAÚJO, QUARTA TURMA, julgado em 23/06/2015,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03/08/2015; </w:t>
      </w:r>
      <w:proofErr w:type="spellStart"/>
      <w:r w:rsidRPr="1111EBD7">
        <w:rPr>
          <w:rFonts w:ascii="Bookman Old Style" w:eastAsia="Bookman Old Style" w:hAnsi="Bookman Old Style" w:cs="Bookman Old Style"/>
          <w:color w:val="00000A"/>
          <w:sz w:val="20"/>
          <w:szCs w:val="20"/>
        </w:rPr>
        <w:t>AgRg</w:t>
      </w:r>
      <w:proofErr w:type="spellEnd"/>
      <w:r w:rsidRPr="1111EBD7">
        <w:rPr>
          <w:rFonts w:ascii="Bookman Old Style" w:eastAsia="Bookman Old Style" w:hAnsi="Bookman Old Style" w:cs="Bookman Old Style"/>
          <w:color w:val="00000A"/>
          <w:sz w:val="20"/>
          <w:szCs w:val="20"/>
        </w:rPr>
        <w:t xml:space="preserve"> no </w:t>
      </w:r>
      <w:proofErr w:type="spellStart"/>
      <w:r w:rsidRPr="1111EBD7">
        <w:rPr>
          <w:rFonts w:ascii="Bookman Old Style" w:eastAsia="Bookman Old Style" w:hAnsi="Bookman Old Style" w:cs="Bookman Old Style"/>
          <w:color w:val="00000A"/>
          <w:sz w:val="20"/>
          <w:szCs w:val="20"/>
        </w:rPr>
        <w:t>AREsp</w:t>
      </w:r>
      <w:proofErr w:type="spellEnd"/>
      <w:r w:rsidRPr="1111EBD7">
        <w:rPr>
          <w:rFonts w:ascii="Bookman Old Style" w:eastAsia="Bookman Old Style" w:hAnsi="Bookman Old Style" w:cs="Bookman Old Style"/>
          <w:color w:val="00000A"/>
          <w:sz w:val="20"/>
          <w:szCs w:val="20"/>
        </w:rPr>
        <w:t xml:space="preserve"> 264054/RS, Rel. Ministra MARIA ISABEL GALLOTTI, QUARTA TURMA, julgado em 18/12/2014,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06/02/2015; </w:t>
      </w:r>
      <w:proofErr w:type="spellStart"/>
      <w:r w:rsidRPr="1111EBD7">
        <w:rPr>
          <w:rFonts w:ascii="Bookman Old Style" w:eastAsia="Bookman Old Style" w:hAnsi="Bookman Old Style" w:cs="Bookman Old Style"/>
          <w:color w:val="00000A"/>
          <w:sz w:val="20"/>
          <w:szCs w:val="20"/>
        </w:rPr>
        <w:t>AREsp</w:t>
      </w:r>
      <w:proofErr w:type="spellEnd"/>
      <w:r w:rsidRPr="1111EBD7">
        <w:rPr>
          <w:rFonts w:ascii="Bookman Old Style" w:eastAsia="Bookman Old Style" w:hAnsi="Bookman Old Style" w:cs="Bookman Old Style"/>
          <w:color w:val="00000A"/>
          <w:sz w:val="20"/>
          <w:szCs w:val="20"/>
        </w:rPr>
        <w:t xml:space="preserve"> 733504/RS (decisão monocrática), Rel. Ministro ANTONIO CARLOS FERREIRA, julgado em 07/08/2015,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13/08/2015; </w:t>
      </w:r>
      <w:proofErr w:type="spellStart"/>
      <w:r w:rsidRPr="1111EBD7">
        <w:rPr>
          <w:rFonts w:ascii="Bookman Old Style" w:eastAsia="Bookman Old Style" w:hAnsi="Bookman Old Style" w:cs="Bookman Old Style"/>
          <w:color w:val="00000A"/>
          <w:sz w:val="20"/>
          <w:szCs w:val="20"/>
        </w:rPr>
        <w:t>AREsp</w:t>
      </w:r>
      <w:proofErr w:type="spellEnd"/>
      <w:r w:rsidRPr="1111EBD7">
        <w:rPr>
          <w:rFonts w:ascii="Bookman Old Style" w:eastAsia="Bookman Old Style" w:hAnsi="Bookman Old Style" w:cs="Bookman Old Style"/>
          <w:color w:val="00000A"/>
          <w:sz w:val="20"/>
          <w:szCs w:val="20"/>
        </w:rPr>
        <w:t xml:space="preserve"> 641017/RS (decisão monocrática), Rel. Ministro MOURA RIBEIRO, julgado em 16/06/2015,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19/06/2015; </w:t>
      </w:r>
      <w:proofErr w:type="spellStart"/>
      <w:r w:rsidRPr="1111EBD7">
        <w:rPr>
          <w:rFonts w:ascii="Bookman Old Style" w:eastAsia="Bookman Old Style" w:hAnsi="Bookman Old Style" w:cs="Bookman Old Style"/>
          <w:color w:val="00000A"/>
          <w:sz w:val="20"/>
          <w:szCs w:val="20"/>
        </w:rPr>
        <w:t>AREsp</w:t>
      </w:r>
      <w:proofErr w:type="spellEnd"/>
      <w:r w:rsidRPr="1111EBD7">
        <w:rPr>
          <w:rFonts w:ascii="Bookman Old Style" w:eastAsia="Bookman Old Style" w:hAnsi="Bookman Old Style" w:cs="Bookman Old Style"/>
          <w:color w:val="00000A"/>
          <w:sz w:val="20"/>
          <w:szCs w:val="20"/>
        </w:rPr>
        <w:t xml:space="preserve"> 599270/RS (decisão monocrática), Rel. Ministro PAULO DE TARSO SANSEVERINO, julgado em 03/02/2015,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12/02/2015; </w:t>
      </w:r>
      <w:proofErr w:type="spellStart"/>
      <w:r w:rsidRPr="1111EBD7">
        <w:rPr>
          <w:rFonts w:ascii="Bookman Old Style" w:eastAsia="Bookman Old Style" w:hAnsi="Bookman Old Style" w:cs="Bookman Old Style"/>
          <w:color w:val="00000A"/>
          <w:sz w:val="20"/>
          <w:szCs w:val="20"/>
        </w:rPr>
        <w:t>REsp</w:t>
      </w:r>
      <w:proofErr w:type="spellEnd"/>
      <w:r w:rsidRPr="1111EBD7">
        <w:rPr>
          <w:rFonts w:ascii="Bookman Old Style" w:eastAsia="Bookman Old Style" w:hAnsi="Bookman Old Style" w:cs="Bookman Old Style"/>
          <w:color w:val="00000A"/>
          <w:sz w:val="20"/>
          <w:szCs w:val="20"/>
        </w:rPr>
        <w:t xml:space="preserve"> 1289286/RS (decisão monocrática), Rel. Ministro LUIS FELIPE SALOMÃO, julgado em 04/04/2014, </w:t>
      </w:r>
      <w:proofErr w:type="spellStart"/>
      <w:r w:rsidRPr="1111EBD7">
        <w:rPr>
          <w:rFonts w:ascii="Bookman Old Style" w:eastAsia="Bookman Old Style" w:hAnsi="Bookman Old Style" w:cs="Bookman Old Style"/>
          <w:color w:val="00000A"/>
          <w:sz w:val="20"/>
          <w:szCs w:val="20"/>
        </w:rPr>
        <w:t>DJe</w:t>
      </w:r>
      <w:proofErr w:type="spellEnd"/>
      <w:r w:rsidRPr="1111EBD7">
        <w:rPr>
          <w:rFonts w:ascii="Bookman Old Style" w:eastAsia="Bookman Old Style" w:hAnsi="Bookman Old Style" w:cs="Bookman Old Style"/>
          <w:color w:val="00000A"/>
          <w:sz w:val="20"/>
          <w:szCs w:val="20"/>
        </w:rPr>
        <w:t xml:space="preserve"> 07/05/2014. (VIDE INFORMATIVO DE JURISPRUDÊNCIA N. 531)</w:t>
      </w:r>
    </w:p>
    <w:p w14:paraId="375FAC7B" w14:textId="6D9ECAD0" w:rsidR="00840F32" w:rsidRDefault="00840F32" w:rsidP="1111EBD7">
      <w:pPr>
        <w:spacing w:after="240" w:line="360" w:lineRule="auto"/>
        <w:ind w:left="2268"/>
        <w:jc w:val="both"/>
        <w:rPr>
          <w:rFonts w:ascii="Bookman Old Style" w:eastAsia="Bookman Old Style" w:hAnsi="Bookman Old Style" w:cs="Bookman Old Style"/>
          <w:color w:val="00000A"/>
          <w:sz w:val="20"/>
          <w:szCs w:val="20"/>
        </w:rPr>
      </w:pPr>
    </w:p>
    <w:p w14:paraId="203B88F1" w14:textId="0C35463E"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 xml:space="preserve">3.5 REVISÃO DA TAXA COBRADA PELA TAXA MÉDIA DE MERCADO - DEVOLUÇÃO EM DOBRO DO VALOR PAGO A MAIOR </w:t>
      </w:r>
    </w:p>
    <w:p w14:paraId="0CEBDCF8" w14:textId="2C33F60A"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Inicialmente cumpre destacar a má-fé do Banco Réu ao fixar em contrato uma taxa de 6,55% ao mês.</w:t>
      </w:r>
    </w:p>
    <w:p w14:paraId="2C0023F5" w14:textId="7EFE9FBB"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Conquanto na espécie seja uma relação de consumo, o Código de Defesa do Consumidor permite que seja revisto o contrato quando ocorrer fato superveniente que o desequilibre, tornando-o excessivamente oneroso a um dos participantes (art. 6º c/c art. 51, inc. IV, § 1º, inc. III, da Lei nº. 8.078/90), ou excluída a cláusula que estabelece obrigações iníquas, abusivas ao consumidor, conduzindo-o a uma situação de desvantagem perante os prestadores de serviços.</w:t>
      </w:r>
    </w:p>
    <w:p w14:paraId="318AB158" w14:textId="505A2C86"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De todo modo, a revisão da taxa de juros é medida que se impõe uma vez que, conforme já exposto há irregularidades, devendo neste caso ser aplicada a SUMULA 530 DO STJ, tendo em vista o descumprimento contratual, devendo assim ser aplicada a TAXA MÉDIA DE MERCADO uma vez que esta é mais benéfica ao consumidor.</w:t>
      </w:r>
    </w:p>
    <w:p w14:paraId="51029B0D" w14:textId="1E029DB0"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Em razão do descumprimento de todos os preceitos acima destacados, não resta dúvidas que a taxa do contrato deve ser revisada pela taxa média fixada pelo BACEN. Excelência, de acordo com a taxa média de mercado, os termos contratuais deveriam ter sido fixados da seguinte forma: </w:t>
      </w:r>
    </w:p>
    <w:p w14:paraId="171C6E74" w14:textId="4605C15F"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 xml:space="preserve">- Taxa de juros: 1,60% </w:t>
      </w:r>
    </w:p>
    <w:p w14:paraId="5FF889B0" w14:textId="5EE128FA"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-Aplicando a Taxa Média de Mercado, o valor de cada parcela seria de R$ 1.287,59 (Um mil e duzentos e oitenta e sete reais e cinquenta e nove centavos)</w:t>
      </w:r>
    </w:p>
    <w:p w14:paraId="6295BDA7" w14:textId="686B757D"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u w:val="single"/>
        </w:rPr>
        <w:t>- Valores cobrados a mais sobre cada parcela, deve ser restituído de forma dobrada</w:t>
      </w:r>
    </w:p>
    <w:p w14:paraId="786C830D" w14:textId="30CD4500" w:rsidR="00840F32" w:rsidRDefault="00990988" w:rsidP="1111EBD7">
      <w:pPr>
        <w:spacing w:before="240" w:after="160" w:line="360" w:lineRule="auto"/>
        <w:ind w:right="-427"/>
        <w:jc w:val="both"/>
        <w:rPr>
          <w:rFonts w:ascii="Calibri" w:eastAsia="Calibri" w:hAnsi="Calibri" w:cs="Calibri"/>
          <w:color w:val="000000" w:themeColor="text1"/>
        </w:rPr>
      </w:pPr>
      <w:r w:rsidRPr="00990988">
        <w:rPr>
          <w:rFonts w:ascii="Calibri" w:eastAsia="Calibri" w:hAnsi="Calibri" w:cs="Calibri"/>
          <w:color w:val="000000" w:themeColor="text1"/>
        </w:rPr>
        <w:lastRenderedPageBreak/>
        <w:drawing>
          <wp:inline distT="0" distB="0" distL="0" distR="0" wp14:anchorId="4DDCD5C9" wp14:editId="6C3CB148">
            <wp:extent cx="5400040" cy="2210435"/>
            <wp:effectExtent l="0" t="0" r="0" b="0"/>
            <wp:docPr id="106859002" name="Imagem 1" descr="Interface gráfica do usuári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9002" name="Imagem 1" descr="Interface gráfica do usuário&#10;&#10;Descrição gerada automaticamente com confiança média"/>
                    <pic:cNvPicPr/>
                  </pic:nvPicPr>
                  <pic:blipFill>
                    <a:blip r:embed="rId13"/>
                    <a:stretch>
                      <a:fillRect/>
                    </a:stretch>
                  </pic:blipFill>
                  <pic:spPr>
                    <a:xfrm>
                      <a:off x="0" y="0"/>
                      <a:ext cx="5400040" cy="2210435"/>
                    </a:xfrm>
                    <a:prstGeom prst="rect">
                      <a:avLst/>
                    </a:prstGeom>
                  </pic:spPr>
                </pic:pic>
              </a:graphicData>
            </a:graphic>
          </wp:inline>
        </w:drawing>
      </w:r>
    </w:p>
    <w:p w14:paraId="3E08129E" w14:textId="1343FF88"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Considerando a má-fé do Réu ao fixar em contrato taxa mensal de juros remuneratórios diverso do quanto realmente cobrado, cabe perfeitamente a incidência do § único do art. 42 do Código de Defesa do Consumidor: </w:t>
      </w:r>
    </w:p>
    <w:p w14:paraId="31D7A6AA" w14:textId="45A6D51B"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u w:val="single"/>
        </w:rPr>
        <w:t xml:space="preserve">Art. 42. (...) </w:t>
      </w:r>
    </w:p>
    <w:p w14:paraId="176E1DFB" w14:textId="31193474"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u w:val="single"/>
        </w:rPr>
        <w:t xml:space="preserve">Parágrafo único. O consumidor cobrado em quantia indevida tem direito à repetição do indébito, por valor igual ao dobro do que pagou em excesso, acrescido de correção monetária e juros legais, salvo hipótese de engano justificável. </w:t>
      </w:r>
    </w:p>
    <w:p w14:paraId="573051BC" w14:textId="74D95969"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Assim, considerando todas as irregularidades, gerando a onerosidade excessiva a qual foi submetida não resta dúvidas de que deve ser revisto o contato e aplicada a taxa média de mercado estabelecida, sendo 1,60%.</w:t>
      </w:r>
    </w:p>
    <w:p w14:paraId="5271AF55" w14:textId="6956AB0B"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O contrato, à luz do </w:t>
      </w:r>
      <w:r w:rsidRPr="1111EBD7">
        <w:rPr>
          <w:rFonts w:ascii="Bookman Old Style" w:eastAsia="Bookman Old Style" w:hAnsi="Bookman Old Style" w:cs="Bookman Old Style"/>
          <w:b/>
          <w:bCs/>
          <w:color w:val="000000" w:themeColor="text1"/>
          <w:sz w:val="24"/>
          <w:szCs w:val="24"/>
        </w:rPr>
        <w:t>princípio consumerista da transparência</w:t>
      </w:r>
      <w:r w:rsidRPr="1111EBD7">
        <w:rPr>
          <w:rFonts w:ascii="Bookman Old Style" w:eastAsia="Bookman Old Style" w:hAnsi="Bookman Old Style" w:cs="Bookman Old Style"/>
          <w:color w:val="000000" w:themeColor="text1"/>
          <w:sz w:val="24"/>
          <w:szCs w:val="24"/>
        </w:rPr>
        <w:t xml:space="preserve">, que significa informação clara, correta e precisa sobre o contrato a ser firmado, mesmo na fase pré-contratual, teria que necessariamente conter: </w:t>
      </w:r>
    </w:p>
    <w:p w14:paraId="7A7DB452" w14:textId="0D4AE4A1"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i/>
          <w:iCs/>
          <w:color w:val="000000" w:themeColor="text1"/>
          <w:sz w:val="20"/>
          <w:szCs w:val="20"/>
        </w:rPr>
        <w:t>1) redação clara e de fácil compreensão (art. 46);</w:t>
      </w:r>
      <w:r w:rsidRPr="1111EBD7">
        <w:rPr>
          <w:rFonts w:ascii="Bookman Old Style" w:eastAsia="Bookman Old Style" w:hAnsi="Bookman Old Style" w:cs="Bookman Old Style"/>
          <w:color w:val="000000" w:themeColor="text1"/>
          <w:sz w:val="20"/>
          <w:szCs w:val="20"/>
        </w:rPr>
        <w:t xml:space="preserve"> </w:t>
      </w:r>
    </w:p>
    <w:p w14:paraId="5A8F07D8" w14:textId="1A98F2E8"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i/>
          <w:iCs/>
          <w:color w:val="000000" w:themeColor="text1"/>
          <w:sz w:val="20"/>
          <w:szCs w:val="20"/>
        </w:rPr>
        <w:t>2) informações completas acerca das condições pactuadas e seus reflexos no plano do direito material;</w:t>
      </w:r>
      <w:r w:rsidRPr="1111EBD7">
        <w:rPr>
          <w:rFonts w:ascii="Bookman Old Style" w:eastAsia="Bookman Old Style" w:hAnsi="Bookman Old Style" w:cs="Bookman Old Style"/>
          <w:color w:val="000000" w:themeColor="text1"/>
          <w:sz w:val="20"/>
          <w:szCs w:val="20"/>
        </w:rPr>
        <w:t xml:space="preserve"> </w:t>
      </w:r>
    </w:p>
    <w:p w14:paraId="756EAF94" w14:textId="1F0B1672"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i/>
          <w:iCs/>
          <w:color w:val="000000" w:themeColor="text1"/>
          <w:sz w:val="20"/>
          <w:szCs w:val="20"/>
        </w:rPr>
        <w:lastRenderedPageBreak/>
        <w:t>3) redação com informações corretas, claras, precisas e ostensivas, sobre as condições de pagamento, juros, encargos, garantia (art. 54, parágrafo 3º, c/c art. 17, I, do Dec. 2.181/87);</w:t>
      </w:r>
    </w:p>
    <w:p w14:paraId="5CCA2A28" w14:textId="779B43E9"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i/>
          <w:iCs/>
          <w:color w:val="000000" w:themeColor="text1"/>
          <w:sz w:val="20"/>
          <w:szCs w:val="20"/>
        </w:rPr>
        <w:t>4) em destaque, a fim de permitir sua imediata e fácil compreensão, as cláusulas que implicarem limitação de direito (art. 54, parágrafo 4º)</w:t>
      </w:r>
    </w:p>
    <w:p w14:paraId="3CE0F935" w14:textId="0B15F772"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Obviamente que uma vez identificada e reconhecido o descumprimento contratual é medida de justiça a revisão do contrato, esse é o entendimento dos Tribunais:</w:t>
      </w:r>
    </w:p>
    <w:p w14:paraId="518A0641" w14:textId="6E2FA154"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APELAÇÃO CÍVEL. REGIME DE EXCEÇÃO. NEGÓCIOS JURÍDICOS BANCÁRIOS. AÇÃO REVISIONAL. CONTRATOS DE CRÉDITO PESSOAL CONSIGANDO E RENEGOCIAÇÃO. - NÃO CONHECIMENTO PARCIAL DO RECURSO. O recurso não merece ser conhecido quanto ao pedido de limitação dos descontos em folha de pagamento em 30%, haja vista que essa pretensão já foi deferida pela sentença, carecendo, pois, a parte de interesse recursal no ponto. Recurso não conhecido no que tange a essa questão. - JUROS REMUNERATÓRIOS. A aplicação em taxa substancialmente superior à média de mercado divulgada pelo BACEN (30% acima, conforme entendimento desta Câmara) é abusiva, sendo passível de limitação à referida taxa média. Na hipótese, não há abusividade dos juros remuneratórios pactuados em todos os contratos. Desprovido no ponto. - CAPITALIZAÇÃO DOS JUROS. É possível a capitalização dos juros em periodicidade inferior a um ano nos contratos celebrados após 31.03.2000, data da publicação da MP nº 1.963-17/2000, (em vigor como MP nº 2.170-36/2001), desde que haja cláusula expressa nesse sentido ou, se ausente, na hipótese de ser a taxa de juros anual contratada superior ao duodécuplo da mensal, quando será aplicada a efetiva taxa anual, que já contempla a capitalização mensal (</w:t>
      </w:r>
      <w:proofErr w:type="spellStart"/>
      <w:r w:rsidRPr="1111EBD7">
        <w:rPr>
          <w:rFonts w:ascii="Bookman Old Style" w:eastAsia="Bookman Old Style" w:hAnsi="Bookman Old Style" w:cs="Bookman Old Style"/>
          <w:color w:val="000000" w:themeColor="text1"/>
          <w:sz w:val="20"/>
          <w:szCs w:val="20"/>
        </w:rPr>
        <w:t>REsp.</w:t>
      </w:r>
      <w:proofErr w:type="spellEnd"/>
      <w:r w:rsidRPr="1111EBD7">
        <w:rPr>
          <w:rFonts w:ascii="Bookman Old Style" w:eastAsia="Bookman Old Style" w:hAnsi="Bookman Old Style" w:cs="Bookman Old Style"/>
          <w:color w:val="000000" w:themeColor="text1"/>
          <w:sz w:val="20"/>
          <w:szCs w:val="20"/>
        </w:rPr>
        <w:t xml:space="preserve"> 973.827/RS). Na espécie, embora não haja... pactuação expressa em todos os contratos, as taxas de juros anuais contratadas são </w:t>
      </w:r>
      <w:r w:rsidRPr="1111EBD7">
        <w:rPr>
          <w:rFonts w:ascii="Bookman Old Style" w:eastAsia="Bookman Old Style" w:hAnsi="Bookman Old Style" w:cs="Bookman Old Style"/>
          <w:color w:val="000000" w:themeColor="text1"/>
          <w:sz w:val="20"/>
          <w:szCs w:val="20"/>
        </w:rPr>
        <w:lastRenderedPageBreak/>
        <w:t xml:space="preserve">superiores ao duodécuplo das mensais. Desprovido no particular. - COMISSÃO DE PERMANÊNCIA. Permitida a cobrança da comissão de permanência durante o período de inadimplemento, desde que expressamente pactuada, não cumulada com correção monetária, juros remuneratórios, moratórios e multa, não podendo seu valor exceder a soma dos encargos remuneratórios e moratórios previstos no contrato, conforme Súmulas 30, 294, 296 e 472 do STJ. No caso, como em todos os contratos há previsão contratual de cobrança da comissão de permanência sem cumulação com os demais encargos, e de incidência alternativa de multa e juros moratórios dentro dos parâmetros legais, os encargos devem ser mantidos conforme pactuados. Desprovido no tópico. - TAXAS E TARIFAS BANCÁRIAS. Diante da não especificação na inicial de quais taxas e tarifas que seriam abusivas, o acolhimento do pedido esbarra na vedação da Súmula 381 do STJ. Desprovido no particular. - VENDA CASADA. SEGURO PRESTAMISTA. Consiste em prática abusiva, vedada nas relações de consumo, o condicionamento do fornecimento de um produto ou serviço ao fornecimento de outro, conforme o inciso I do artigo 39 do Código de Defesa do Consumidor (CDC). No caso, os... seguros prestamistas contratados enquadram-se como venda casada com os produtos (empréstimos), devendo ser afastada sua cobrança. Provido no ponto. - MORA E CADASTRO DO NOME DA PARTE AUTORA NOS ÓRGÃOS DE PROTEÇÃO AO CRÉDITO. Diante da ausência de abusividade nos encargos exigidos pela instituição financeira no período da normalidade contratual (juros remuneratórios e capitalização), resta caracterizada a mora da parte autora, devendo, por consequência, ser indeferida a tutela de vedação ou exclusão do cadastramento do nome da parte em órgãos de proteção ao crédito. Desprovido no tópico. - DEPÓSITOS JUDICIAIS. A realização de depósito do valor que a demandante entende como devido constitui faculdade concedida à parte, sendo inclusive dispensada a autorização judicial para sua efetivação. Desprovido no particular. - REPETIÇÃO DE INDÉBITO/COMPENSAÇÃO DE VALORES. Cabimento da repetição </w:t>
      </w:r>
      <w:r w:rsidRPr="1111EBD7">
        <w:rPr>
          <w:rFonts w:ascii="Bookman Old Style" w:eastAsia="Bookman Old Style" w:hAnsi="Bookman Old Style" w:cs="Bookman Old Style"/>
          <w:color w:val="000000" w:themeColor="text1"/>
          <w:sz w:val="20"/>
          <w:szCs w:val="20"/>
        </w:rPr>
        <w:lastRenderedPageBreak/>
        <w:t>do indébito, na forma simples, e compensação de valores diante das modificações impostas na revisão dos contratos. Provido no particular. APELAÇÃO CONHECIDA EM PARTE E, NESSA EXTENSÃO, PARCIALMENTE PROVIDA. (Apelação Cível Nº 70078252384, Vigésima Quarta Câmara Cível - Regime de Exceção, Tribunal de Justiça do RS, Relator: Cairo Roberto Rodrigues Madruga, Julgado em 31/10/2018).</w:t>
      </w:r>
    </w:p>
    <w:p w14:paraId="06A04804" w14:textId="6E153B27"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(TJ-RS - AC: 70078252384 RS, Relator: Cairo Roberto Rodrigues Madruga, Data de Julgamento: 31/10/2018, Vigésima Quarta Câmara Cível - Regime de Exceção, Data de Publicação: Diário da Justiça do dia 06/11/2018)</w:t>
      </w:r>
    </w:p>
    <w:p w14:paraId="4395AA17" w14:textId="426794A8"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No julgamento do Recurso Especial Repetitivo n.º 1.061.530/RS, 2ª Seção, </w:t>
      </w:r>
      <w:proofErr w:type="spellStart"/>
      <w:r w:rsidRPr="1111EBD7">
        <w:rPr>
          <w:rFonts w:ascii="Bookman Old Style" w:eastAsia="Bookman Old Style" w:hAnsi="Bookman Old Style" w:cs="Bookman Old Style"/>
          <w:color w:val="000000" w:themeColor="text1"/>
          <w:sz w:val="24"/>
          <w:szCs w:val="24"/>
        </w:rPr>
        <w:t>DJe</w:t>
      </w:r>
      <w:proofErr w:type="spellEnd"/>
      <w:r w:rsidRPr="1111EBD7">
        <w:rPr>
          <w:rFonts w:ascii="Bookman Old Style" w:eastAsia="Bookman Old Style" w:hAnsi="Bookman Old Style" w:cs="Bookman Old Style"/>
          <w:color w:val="000000" w:themeColor="text1"/>
          <w:sz w:val="24"/>
          <w:szCs w:val="24"/>
        </w:rPr>
        <w:t xml:space="preserve"> de 10/03/2009, adotaram-se as seguintes orientações quanto aos juros remuneratórios:</w:t>
      </w:r>
    </w:p>
    <w:p w14:paraId="58AFDDEB" w14:textId="46F4FB80"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w:t>
      </w:r>
      <w:r w:rsidR="00840F32">
        <w:tab/>
      </w:r>
      <w:r w:rsidRPr="1111EBD7">
        <w:rPr>
          <w:rFonts w:ascii="Bookman Old Style" w:eastAsia="Bookman Old Style" w:hAnsi="Bookman Old Style" w:cs="Bookman Old Style"/>
          <w:color w:val="000000" w:themeColor="text1"/>
          <w:sz w:val="20"/>
          <w:szCs w:val="20"/>
        </w:rPr>
        <w:t>as instituições financeiras não se sujeitam à limitação dos juros remuneratórios estipulada na Lei de Usura (Decreto 22.626/33), Súmula 596/STF;</w:t>
      </w:r>
    </w:p>
    <w:p w14:paraId="712629DD" w14:textId="6C0C711C"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b)</w:t>
      </w:r>
      <w:r w:rsidR="00840F32">
        <w:tab/>
      </w:r>
      <w:r w:rsidRPr="1111EBD7">
        <w:rPr>
          <w:rFonts w:ascii="Bookman Old Style" w:eastAsia="Bookman Old Style" w:hAnsi="Bookman Old Style" w:cs="Bookman Old Style"/>
          <w:color w:val="000000" w:themeColor="text1"/>
          <w:sz w:val="20"/>
          <w:szCs w:val="20"/>
        </w:rPr>
        <w:t>a estipulação de juros remuneratórios superiores a 12% ao ano, por si só, não indica abusividade;</w:t>
      </w:r>
    </w:p>
    <w:p w14:paraId="48BB124F" w14:textId="2AF63680"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c)</w:t>
      </w:r>
      <w:r w:rsidR="00840F32">
        <w:tab/>
      </w:r>
      <w:r w:rsidRPr="1111EBD7">
        <w:rPr>
          <w:rFonts w:ascii="Bookman Old Style" w:eastAsia="Bookman Old Style" w:hAnsi="Bookman Old Style" w:cs="Bookman Old Style"/>
          <w:color w:val="000000" w:themeColor="text1"/>
          <w:sz w:val="20"/>
          <w:szCs w:val="20"/>
        </w:rPr>
        <w:t>são inaplicáveis aos juros remuneratórios dos contratos de mútuo bancário as disposições do art. 591 c/c o art. 406 do CC/02;</w:t>
      </w:r>
    </w:p>
    <w:p w14:paraId="15FC3475" w14:textId="35891FF9"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d) </w:t>
      </w:r>
      <w:r w:rsidRPr="1111EBD7">
        <w:rPr>
          <w:rFonts w:ascii="Bookman Old Style" w:eastAsia="Bookman Old Style" w:hAnsi="Bookman Old Style" w:cs="Bookman Old Style"/>
          <w:b/>
          <w:bCs/>
          <w:color w:val="000000" w:themeColor="text1"/>
          <w:sz w:val="20"/>
          <w:szCs w:val="20"/>
          <w:u w:val="single"/>
        </w:rPr>
        <w:t>é admitida, em relações de consumo, a revisão das taxas de juros remuneratórios em situações excepcionais, desde que a abusividade (capaz de colocar o consumidor em desvantagem exagerada – art. 51, §1º, do CDC) fique cabalmente demonstrada, ante as peculiaridades do julgamento em concreto.</w:t>
      </w:r>
    </w:p>
    <w:p w14:paraId="254CC220" w14:textId="04101A0B"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Todavia, no referido julgamento, não foi abordada a legalidade da cobrança de juros remuneratórios devidos em contratos bancários, quando não há prova da taxa pactuada ou a cláusula ajustada entre as partes não tenha indicado o percentual a ser observado, ou caso haja o descumprimento contratual consistente na cobrança de uma taxa de juros diversa da pactuada.</w:t>
      </w:r>
    </w:p>
    <w:p w14:paraId="01D9E20C" w14:textId="53BC6D00"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Destarte, passa-se a analisar essa questão, nos termos do art. 543-C do CPC.</w:t>
      </w:r>
    </w:p>
    <w:p w14:paraId="39F2D554" w14:textId="4A0E52CD"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 2ª Seção desta Corte pacificou o entendimento de que é nula a cláusula contratual que prevê a incidência de juros remuneratórios, sem precisar a respectiva taxa, visto que fica ao exclusivo arbítrio da instituição financeira o preenchimento de seu conteúdo. A fixação dos juros, porém, não fica </w:t>
      </w:r>
      <w:proofErr w:type="gramStart"/>
      <w:r w:rsidRPr="1111EBD7">
        <w:rPr>
          <w:rFonts w:ascii="Bookman Old Style" w:eastAsia="Bookman Old Style" w:hAnsi="Bookman Old Style" w:cs="Bookman Old Style"/>
          <w:color w:val="000000" w:themeColor="text1"/>
          <w:sz w:val="24"/>
          <w:szCs w:val="24"/>
        </w:rPr>
        <w:t>adstrita</w:t>
      </w:r>
      <w:proofErr w:type="gramEnd"/>
      <w:r w:rsidRPr="1111EBD7">
        <w:rPr>
          <w:rFonts w:ascii="Bookman Old Style" w:eastAsia="Bookman Old Style" w:hAnsi="Bookman Old Style" w:cs="Bookman Old Style"/>
          <w:color w:val="000000" w:themeColor="text1"/>
          <w:sz w:val="24"/>
          <w:szCs w:val="24"/>
        </w:rPr>
        <w:t xml:space="preserve"> ao limite de 12% ao ano, </w:t>
      </w:r>
      <w:r w:rsidRPr="1111EBD7">
        <w:rPr>
          <w:rFonts w:ascii="Bookman Old Style" w:eastAsia="Bookman Old Style" w:hAnsi="Bookman Old Style" w:cs="Bookman Old Style"/>
          <w:b/>
          <w:bCs/>
          <w:color w:val="000000" w:themeColor="text1"/>
          <w:sz w:val="24"/>
          <w:szCs w:val="24"/>
          <w:u w:val="single"/>
        </w:rPr>
        <w:t>mas deve ser feita segundo a taxa média de mercado nas operações da espécie.</w:t>
      </w:r>
    </w:p>
    <w:p w14:paraId="611F7D52" w14:textId="6EC7D64A"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Sobre a matéria, nota-se que </w:t>
      </w:r>
      <w:r w:rsidRPr="1111EBD7">
        <w:rPr>
          <w:rFonts w:ascii="Bookman Old Style" w:eastAsia="Bookman Old Style" w:hAnsi="Bookman Old Style" w:cs="Bookman Old Style"/>
          <w:b/>
          <w:bCs/>
          <w:color w:val="000000" w:themeColor="text1"/>
        </w:rPr>
        <w:t xml:space="preserve">o precedente uniformizador da jurisprudência é o </w:t>
      </w:r>
      <w:proofErr w:type="spellStart"/>
      <w:r w:rsidRPr="1111EBD7">
        <w:rPr>
          <w:rFonts w:ascii="Bookman Old Style" w:eastAsia="Bookman Old Style" w:hAnsi="Bookman Old Style" w:cs="Bookman Old Style"/>
          <w:b/>
          <w:bCs/>
          <w:color w:val="000000" w:themeColor="text1"/>
        </w:rPr>
        <w:t>REsp</w:t>
      </w:r>
      <w:proofErr w:type="spellEnd"/>
      <w:r w:rsidRPr="1111EBD7">
        <w:rPr>
          <w:rFonts w:ascii="Bookman Old Style" w:eastAsia="Bookman Old Style" w:hAnsi="Bookman Old Style" w:cs="Bookman Old Style"/>
          <w:b/>
          <w:bCs/>
          <w:color w:val="000000" w:themeColor="text1"/>
        </w:rPr>
        <w:t xml:space="preserve"> 715.894/PR, de minha relatoria, 2ª Seção, DJ de 19/03/2007</w:t>
      </w:r>
      <w:r w:rsidRPr="1111EBD7">
        <w:rPr>
          <w:rFonts w:ascii="Bookman Old Style" w:eastAsia="Bookman Old Style" w:hAnsi="Bookman Old Style" w:cs="Bookman Old Style"/>
          <w:color w:val="000000" w:themeColor="text1"/>
        </w:rPr>
        <w:t>, assim ementado:</w:t>
      </w:r>
    </w:p>
    <w:p w14:paraId="3966633D" w14:textId="7CF575E8" w:rsidR="00840F32" w:rsidRDefault="2C54D56F" w:rsidP="1111EBD7">
      <w:pP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“Direito bancário. Contrato de abertura de crédito em conta corrente. Juros remuneratórios. Previsão em contrato sem a fixação do respectivo montante. Abusividade, uma vez que o preenchimento do conteúdo da cláusula é deixado ao arbítrio da instituição financeira (cláusula potestativa pura). Limitação dos juros à média de mercado (</w:t>
      </w:r>
      <w:proofErr w:type="spellStart"/>
      <w:r w:rsidRPr="1111EBD7">
        <w:rPr>
          <w:rFonts w:ascii="Bookman Old Style" w:eastAsia="Bookman Old Style" w:hAnsi="Bookman Old Style" w:cs="Bookman Old Style"/>
          <w:color w:val="000000" w:themeColor="text1"/>
          <w:sz w:val="20"/>
          <w:szCs w:val="20"/>
        </w:rPr>
        <w:t>arts</w:t>
      </w:r>
      <w:proofErr w:type="spellEnd"/>
      <w:r w:rsidRPr="1111EBD7">
        <w:rPr>
          <w:rFonts w:ascii="Bookman Old Style" w:eastAsia="Bookman Old Style" w:hAnsi="Bookman Old Style" w:cs="Bookman Old Style"/>
          <w:color w:val="000000" w:themeColor="text1"/>
          <w:sz w:val="20"/>
          <w:szCs w:val="20"/>
        </w:rPr>
        <w:t xml:space="preserve">. 112 e 113 do CC/02). Art. 6º da LICC. Questão constitucional. Honorários advocatícios. Ação condenatória. Estabelecimento em valor fixo. Impossibilidade. Necessidade de observância da regra do art. 20, §3º, do CPC. - As instituições financeiras não se sujeitam ao limite de 12% para a cobrança de juros remuneratórios, na esteira da jurisprudência consolidada do STJ. - Na hipótese de o contrato prever a incidência de juros </w:t>
      </w:r>
      <w:r w:rsidRPr="1111EBD7">
        <w:rPr>
          <w:rFonts w:ascii="Bookman Old Style" w:eastAsia="Bookman Old Style" w:hAnsi="Bookman Old Style" w:cs="Bookman Old Style"/>
          <w:color w:val="000000" w:themeColor="text1"/>
          <w:sz w:val="20"/>
          <w:szCs w:val="20"/>
        </w:rPr>
        <w:lastRenderedPageBreak/>
        <w:t xml:space="preserve">remuneratórios, porém sem lhe precisar o montante, está correta a decisão que considera nula tal cláusula porque fica ao exclusivo arbítrio da instituição financeira o preenchimento de seu conteúdo. </w:t>
      </w:r>
      <w:r w:rsidRPr="1111EBD7">
        <w:rPr>
          <w:rFonts w:ascii="Bookman Old Style" w:eastAsia="Bookman Old Style" w:hAnsi="Bookman Old Style" w:cs="Bookman Old Style"/>
          <w:b/>
          <w:bCs/>
          <w:color w:val="000000" w:themeColor="text1"/>
          <w:sz w:val="20"/>
          <w:szCs w:val="20"/>
        </w:rPr>
        <w:t xml:space="preserve">A fixação dos juros, porém, não deve ficar </w:t>
      </w:r>
      <w:proofErr w:type="gramStart"/>
      <w:r w:rsidRPr="1111EBD7">
        <w:rPr>
          <w:rFonts w:ascii="Bookman Old Style" w:eastAsia="Bookman Old Style" w:hAnsi="Bookman Old Style" w:cs="Bookman Old Style"/>
          <w:b/>
          <w:bCs/>
          <w:color w:val="000000" w:themeColor="text1"/>
          <w:sz w:val="20"/>
          <w:szCs w:val="20"/>
        </w:rPr>
        <w:t>adstrita</w:t>
      </w:r>
      <w:proofErr w:type="gramEnd"/>
      <w:r w:rsidRPr="1111EBD7">
        <w:rPr>
          <w:rFonts w:ascii="Bookman Old Style" w:eastAsia="Bookman Old Style" w:hAnsi="Bookman Old Style" w:cs="Bookman Old Style"/>
          <w:b/>
          <w:bCs/>
          <w:color w:val="000000" w:themeColor="text1"/>
          <w:sz w:val="20"/>
          <w:szCs w:val="20"/>
        </w:rPr>
        <w:t xml:space="preserve"> ao limite de 12% ao ano, mas deve ser feita segundo a média de mercado nas operações da espécie.</w:t>
      </w:r>
      <w:r w:rsidRPr="1111EBD7">
        <w:rPr>
          <w:rFonts w:ascii="Bookman Old Style" w:eastAsia="Bookman Old Style" w:hAnsi="Bookman Old Style" w:cs="Bookman Old Style"/>
          <w:color w:val="000000" w:themeColor="text1"/>
          <w:sz w:val="20"/>
          <w:szCs w:val="20"/>
        </w:rPr>
        <w:t xml:space="preserve"> Preenchimento do conteúdo da cláusula de acordo com os usos e costumes, e com o princípio da boa fé (</w:t>
      </w:r>
      <w:proofErr w:type="spellStart"/>
      <w:r w:rsidRPr="1111EBD7">
        <w:rPr>
          <w:rFonts w:ascii="Bookman Old Style" w:eastAsia="Bookman Old Style" w:hAnsi="Bookman Old Style" w:cs="Bookman Old Style"/>
          <w:color w:val="000000" w:themeColor="text1"/>
          <w:sz w:val="20"/>
          <w:szCs w:val="20"/>
        </w:rPr>
        <w:t>arts</w:t>
      </w:r>
      <w:proofErr w:type="spellEnd"/>
      <w:r w:rsidRPr="1111EBD7">
        <w:rPr>
          <w:rFonts w:ascii="Bookman Old Style" w:eastAsia="Bookman Old Style" w:hAnsi="Bookman Old Style" w:cs="Bookman Old Style"/>
          <w:color w:val="000000" w:themeColor="text1"/>
          <w:sz w:val="20"/>
          <w:szCs w:val="20"/>
        </w:rPr>
        <w:t>. 112 e 133 do CC/02). - A norma do art. 6º da LICC foi alçada a patamar constitucional, de modo que sua violação não pode ser discutida em sede de recurso especial. Precedentes. - Tratando-se de ação condenatória, os honorários advocatícios têm de ser fixados conforme os parâmetros estabelecidos no art. 20, §3º do CPC. Merece reforma, portanto, a decisão que os estabelece em valor fixo. Precedentes. Recursos especiais da autora e do réu conhecidos e parcialmente providos.”</w:t>
      </w:r>
    </w:p>
    <w:p w14:paraId="584328B1" w14:textId="7902089C"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Nesse precedente, declarou-se a nulidade da cláusula inserida em contrato de abertura de crédito em conta corrente que previa a incidência de juros remuneratórios sem definir a respectiva taxa, </w:t>
      </w:r>
      <w:r w:rsidRPr="1111EBD7">
        <w:rPr>
          <w:rFonts w:ascii="Bookman Old Style" w:eastAsia="Bookman Old Style" w:hAnsi="Bookman Old Style" w:cs="Bookman Old Style"/>
          <w:b/>
          <w:bCs/>
          <w:color w:val="000000" w:themeColor="text1"/>
        </w:rPr>
        <w:t>determinando-se a aplicação da taxa média de mercado em operações da espécie</w:t>
      </w:r>
      <w:r w:rsidRPr="1111EBD7">
        <w:rPr>
          <w:rFonts w:ascii="Bookman Old Style" w:eastAsia="Bookman Old Style" w:hAnsi="Bookman Old Style" w:cs="Bookman Old Style"/>
          <w:color w:val="000000" w:themeColor="text1"/>
        </w:rPr>
        <w:t xml:space="preserve">. A nulidade da cláusula em comento evidencia-se seja por abusividade (art. 51, X, do CDC) seja por ser potestativa (art. 122, do CC/02; 115 do CC/16).  </w:t>
      </w:r>
    </w:p>
    <w:p w14:paraId="3EAB6D01" w14:textId="49C6ECCC"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 xml:space="preserve">A jurisprudência do STJ tem utilizado para esse fim a taxa média de mercado. </w:t>
      </w:r>
    </w:p>
    <w:p w14:paraId="0CD1C5D3" w14:textId="701B1312"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Essa taxa é adequada, porque é medida segundo as informações prestadas por diversas instituições financeiras e, por isso, </w:t>
      </w:r>
      <w:r w:rsidRPr="1111EBD7">
        <w:rPr>
          <w:rFonts w:ascii="Bookman Old Style" w:eastAsia="Bookman Old Style" w:hAnsi="Bookman Old Style" w:cs="Bookman Old Style"/>
          <w:b/>
          <w:bCs/>
          <w:color w:val="000000" w:themeColor="text1"/>
        </w:rPr>
        <w:t>representa o ponto de equilíbrio nas forças do mercado</w:t>
      </w:r>
      <w:r w:rsidRPr="1111EBD7">
        <w:rPr>
          <w:rFonts w:ascii="Bookman Old Style" w:eastAsia="Bookman Old Style" w:hAnsi="Bookman Old Style" w:cs="Bookman Old Style"/>
          <w:color w:val="000000" w:themeColor="text1"/>
        </w:rPr>
        <w:t>. Além disso, traz embutida em si o custo médio das instituições financeiras e seu lucro médio, ou seja, um spread médio.</w:t>
      </w:r>
    </w:p>
    <w:p w14:paraId="619D2391" w14:textId="2C8DB9A8"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A adoção da taxa média de mercado ganhou força quando o Banco Central do Brasil passou, em outubro de 1999, a divulgar as taxas médias, ponderadas segundo o volume de crédito concedido, para os juros praticados pelas instituições </w:t>
      </w:r>
      <w:r w:rsidRPr="1111EBD7">
        <w:rPr>
          <w:rFonts w:ascii="Bookman Old Style" w:eastAsia="Bookman Old Style" w:hAnsi="Bookman Old Style" w:cs="Bookman Old Style"/>
          <w:color w:val="000000" w:themeColor="text1"/>
        </w:rPr>
        <w:lastRenderedPageBreak/>
        <w:t>financeiras nas operações de crédito realizadas com recursos livres (conf. Circular nº 2.957, de 30.12.1999).</w:t>
      </w:r>
    </w:p>
    <w:p w14:paraId="2252F65E" w14:textId="01B0D401"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As informações divulgadas por aquela autarquia, as quais são acessíveis a qualquer pessoa por meio da Internet (conforme </w:t>
      </w:r>
      <w:hyperlink r:id="rId14">
        <w:r w:rsidRPr="1111EBD7">
          <w:rPr>
            <w:rStyle w:val="Hyperlink"/>
            <w:color w:val="000000" w:themeColor="text1"/>
          </w:rPr>
          <w:t>http://www.bcb.gov.br/?ecoimpom</w:t>
        </w:r>
      </w:hyperlink>
      <w:r w:rsidRPr="1111EBD7">
        <w:rPr>
          <w:rFonts w:ascii="Bookman Old Style" w:eastAsia="Bookman Old Style" w:hAnsi="Bookman Old Style" w:cs="Bookman Old Style"/>
          <w:color w:val="000000" w:themeColor="text1"/>
          <w:sz w:val="24"/>
          <w:szCs w:val="24"/>
        </w:rPr>
        <w:t xml:space="preserve">; ou </w:t>
      </w:r>
      <w:hyperlink r:id="rId15">
        <w:r w:rsidRPr="1111EBD7">
          <w:rPr>
            <w:rStyle w:val="Hyperlink"/>
          </w:rPr>
          <w:t>http://www.bcb.gov.br/?TXCREDMES</w:t>
        </w:r>
      </w:hyperlink>
      <w:r w:rsidRPr="1111EBD7">
        <w:rPr>
          <w:rFonts w:ascii="Bookman Old Style" w:eastAsia="Bookman Old Style" w:hAnsi="Bookman Old Style" w:cs="Bookman Old Style"/>
          <w:color w:val="000000" w:themeColor="text1"/>
          <w:sz w:val="24"/>
          <w:szCs w:val="24"/>
        </w:rPr>
        <w:t xml:space="preserve">, acesso em 07.04.2010), são agrupadas de acordo com o tipo de encargo (prefixado, pós-fixado, taxas flutuantes e índices de preços), com a categoria do tomador (pessoas físicas e jurídicas) e com a modalidade de empréstimo realizada (hot </w:t>
      </w:r>
      <w:proofErr w:type="spellStart"/>
      <w:r w:rsidRPr="1111EBD7">
        <w:rPr>
          <w:rFonts w:ascii="Bookman Old Style" w:eastAsia="Bookman Old Style" w:hAnsi="Bookman Old Style" w:cs="Bookman Old Style"/>
          <w:color w:val="000000" w:themeColor="text1"/>
          <w:sz w:val="24"/>
          <w:szCs w:val="24"/>
        </w:rPr>
        <w:t>money</w:t>
      </w:r>
      <w:proofErr w:type="spellEnd"/>
      <w:r w:rsidRPr="1111EBD7">
        <w:rPr>
          <w:rFonts w:ascii="Bookman Old Style" w:eastAsia="Bookman Old Style" w:hAnsi="Bookman Old Style" w:cs="Bookman Old Style"/>
          <w:color w:val="000000" w:themeColor="text1"/>
          <w:sz w:val="24"/>
          <w:szCs w:val="24"/>
        </w:rPr>
        <w:t>, desconto de duplicatas, desconto de notas promissórias, capital de giro, conta garantida, financiamento imobiliário, aquisição de bens, '</w:t>
      </w:r>
      <w:proofErr w:type="spellStart"/>
      <w:r w:rsidRPr="1111EBD7">
        <w:rPr>
          <w:rFonts w:ascii="Bookman Old Style" w:eastAsia="Bookman Old Style" w:hAnsi="Bookman Old Style" w:cs="Bookman Old Style"/>
          <w:color w:val="000000" w:themeColor="text1"/>
          <w:sz w:val="24"/>
          <w:szCs w:val="24"/>
        </w:rPr>
        <w:t>vendor</w:t>
      </w:r>
      <w:proofErr w:type="spellEnd"/>
      <w:r w:rsidRPr="1111EBD7">
        <w:rPr>
          <w:rFonts w:ascii="Bookman Old Style" w:eastAsia="Bookman Old Style" w:hAnsi="Bookman Old Style" w:cs="Bookman Old Style"/>
          <w:color w:val="000000" w:themeColor="text1"/>
          <w:sz w:val="24"/>
          <w:szCs w:val="24"/>
        </w:rPr>
        <w:t>', cheque especial, crédito pessoal, entre outros).</w:t>
      </w:r>
    </w:p>
    <w:p w14:paraId="0EB4151E" w14:textId="142471B8"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Ausente a fixação da taxa no contrato, deve o juiz limitar os juros à média de mercado nas operações da espécie, divulgada pelo Bacen. Esses são os usos e costumes, e é essa a solução que recomenda a boa-fé.</w:t>
      </w:r>
    </w:p>
    <w:p w14:paraId="52D090B0" w14:textId="4EB9B9A2"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Ressalta-se que a taxa média somente não deverá prevalecer nas hipóteses em que o efetivo índice praticado pelo banco se mostrar inferior a ela e, portanto, mais vantajoso para o cliente. Assim, no presente caso deverá prevalecer a taxa média do mercado entre as partes, sendo a taxa de 1,60%.</w:t>
      </w:r>
    </w:p>
    <w:p w14:paraId="4092C488" w14:textId="4CCF9DA5"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sz w:val="24"/>
          <w:szCs w:val="24"/>
        </w:rPr>
        <w:t xml:space="preserve">É certo, ainda, que o cálculo da taxa média não é completo, na medida em que não abrange todas as modalidades de concessão de crédito, mas, sem dúvida, presta-se como parâmetro de tendência das taxas de juros. Dessa forma, nas hipóteses em que não houver a divulgação pelo Bacen da taxa média relativa a um </w:t>
      </w:r>
      <w:r w:rsidRPr="1111EBD7">
        <w:rPr>
          <w:rFonts w:ascii="Bookman Old Style" w:eastAsia="Bookman Old Style" w:hAnsi="Bookman Old Style" w:cs="Bookman Old Style"/>
          <w:color w:val="000000" w:themeColor="text1"/>
        </w:rPr>
        <w:t xml:space="preserve">contrato específico, </w:t>
      </w:r>
      <w:r w:rsidRPr="1111EBD7">
        <w:rPr>
          <w:rFonts w:ascii="Bookman Old Style" w:eastAsia="Bookman Old Style" w:hAnsi="Bookman Old Style" w:cs="Bookman Old Style"/>
          <w:b/>
          <w:bCs/>
          <w:color w:val="000000" w:themeColor="text1"/>
        </w:rPr>
        <w:t>nada impede o juiz de acolher, com base em regras de experiência, a média adotada pelo mercado em contratos similares</w:t>
      </w:r>
      <w:r w:rsidRPr="1111EBD7">
        <w:rPr>
          <w:rFonts w:ascii="Bookman Old Style" w:eastAsia="Bookman Old Style" w:hAnsi="Bookman Old Style" w:cs="Bookman Old Style"/>
          <w:color w:val="000000" w:themeColor="text1"/>
        </w:rPr>
        <w:t>.</w:t>
      </w:r>
    </w:p>
    <w:p w14:paraId="67F4899C" w14:textId="76AC46A6"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lastRenderedPageBreak/>
        <w:t xml:space="preserve">No presente caso, a taxa média do mercado para a operação realizada pelo autor/requerente encontra-se evidenciada na taxa média dos melhores bancos para o período de contratação, e que se evidenciou que a </w:t>
      </w:r>
      <w:r w:rsidRPr="1111EBD7">
        <w:rPr>
          <w:rFonts w:ascii="Bookman Old Style" w:eastAsia="Bookman Old Style" w:hAnsi="Bookman Old Style" w:cs="Bookman Old Style"/>
          <w:b/>
          <w:bCs/>
          <w:color w:val="000000" w:themeColor="text1"/>
          <w:highlight w:val="lightGray"/>
        </w:rPr>
        <w:t>média do mercado ficou em 1,60% ao mês</w:t>
      </w:r>
      <w:r w:rsidRPr="1111EBD7">
        <w:rPr>
          <w:rFonts w:ascii="Bookman Old Style" w:eastAsia="Bookman Old Style" w:hAnsi="Bookman Old Style" w:cs="Bookman Old Style"/>
          <w:color w:val="000000" w:themeColor="text1"/>
        </w:rPr>
        <w:t>. Corrobora também o entendimento do STJ sobre a matéria:</w:t>
      </w:r>
    </w:p>
    <w:p w14:paraId="61E8C7E7" w14:textId="5EE0C120" w:rsidR="00840F32" w:rsidRDefault="2C54D56F" w:rsidP="1111EBD7">
      <w:pPr>
        <w:pBdr>
          <w:top w:val="single" w:sz="4" w:space="1" w:color="auto"/>
          <w:left w:val="single" w:sz="4" w:space="4" w:color="auto"/>
          <w:bottom w:val="single" w:sz="4" w:space="1" w:color="auto"/>
          <w:right w:val="single" w:sz="4" w:space="4" w:color="auto"/>
        </w:pBd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u w:val="single"/>
        </w:rPr>
        <w:t>STJ - Súmula 530</w:t>
      </w:r>
    </w:p>
    <w:p w14:paraId="1F237DFF" w14:textId="10E828E8" w:rsidR="00840F32" w:rsidRDefault="2C54D56F" w:rsidP="1111EBD7">
      <w:pPr>
        <w:pBdr>
          <w:top w:val="single" w:sz="4" w:space="1" w:color="auto"/>
          <w:left w:val="single" w:sz="4" w:space="4" w:color="auto"/>
          <w:bottom w:val="single" w:sz="4" w:space="1" w:color="auto"/>
          <w:right w:val="single" w:sz="4" w:space="4" w:color="auto"/>
        </w:pBdr>
        <w:spacing w:before="240" w:after="160" w:line="36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rPr>
        <w:t>Nos contratos bancários, na impossibilidade de comprovar a taxa de juros efetivamente contratada - por ausência de pactuação ou pela falta de juntada do instrumento aos autos -, aplica-se a taxa média de mercado, divulgada pelo Bacen, praticada nas operações da mesma espécie, salvo se a taxa cobrada for mais vantajosa para o devedor.</w:t>
      </w:r>
    </w:p>
    <w:p w14:paraId="693AA657" w14:textId="2DC98BFA"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O Superior Tribunal de Justiça, consolidou o entendimento de que:</w:t>
      </w:r>
    </w:p>
    <w:p w14:paraId="24150E00" w14:textId="430D8E3A" w:rsidR="00840F32" w:rsidRDefault="2C54D56F" w:rsidP="1111EBD7">
      <w:pPr>
        <w:spacing w:before="240" w:after="160" w:line="360" w:lineRule="auto"/>
        <w:ind w:left="1701"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w:t>
      </w:r>
      <w:r w:rsidR="00840F32">
        <w:tab/>
      </w:r>
      <w:r w:rsidRPr="1111EBD7">
        <w:rPr>
          <w:rFonts w:ascii="Bookman Old Style" w:eastAsia="Bookman Old Style" w:hAnsi="Bookman Old Style" w:cs="Bookman Old Style"/>
          <w:color w:val="000000" w:themeColor="text1"/>
          <w:sz w:val="20"/>
          <w:szCs w:val="20"/>
        </w:rPr>
        <w:t>nos contratos de mútuo em que a disponibilização do capital é imediata, deve ser consignado no respectivo instrumento o montante dos juros remuneratórios praticados. Ausente a fixação da taxa no contrato, deve o juiz limitar os juros à média de mercado nas operações da espécie, divulgada pelo Bacen, salvo se a taxa cobrada for mais vantajosa para o cliente.</w:t>
      </w:r>
    </w:p>
    <w:p w14:paraId="734BDFF4" w14:textId="0AF723C4" w:rsidR="00840F32" w:rsidRDefault="2C54D56F" w:rsidP="1111EBD7">
      <w:pPr>
        <w:spacing w:before="240" w:after="160" w:line="360" w:lineRule="auto"/>
        <w:ind w:left="1701"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b) </w:t>
      </w:r>
      <w:r w:rsidRPr="1111EBD7">
        <w:rPr>
          <w:rFonts w:ascii="Bookman Old Style" w:eastAsia="Bookman Old Style" w:hAnsi="Bookman Old Style" w:cs="Bookman Old Style"/>
          <w:b/>
          <w:bCs/>
          <w:color w:val="000000" w:themeColor="text1"/>
          <w:sz w:val="20"/>
          <w:szCs w:val="20"/>
        </w:rPr>
        <w:t>em qualquer hipótese, é possível a correção para a taxa média se for verificada abusividade nos juros remuneratórios praticados.</w:t>
      </w:r>
    </w:p>
    <w:p w14:paraId="23E72E1D" w14:textId="5319BC05"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Nessa hipótese, o reconhecimento da abusividade na cobrança dos juros conduz à aplicação da taxa média de mercado, divulgada pelo Bacen.</w:t>
      </w:r>
    </w:p>
    <w:p w14:paraId="06E0FC5C" w14:textId="73E9532D"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Para o caso em concreto, a média dos melhores bancos para a época do contrato, encontrada no site:  </w:t>
      </w:r>
      <w:hyperlink r:id="rId16">
        <w:r w:rsidRPr="1111EBD7">
          <w:rPr>
            <w:rStyle w:val="Hyperlink"/>
          </w:rPr>
          <w:t>https://www.bcb.gov.br/estatisticas/reporttxjuros/path=conteudo%2Ftxcred%2FReports%2FTaxasCreditoConsolidadasporTaxasAnuaiHistorico.rdl&amp;nome=Hist%C3%B3rico%20Posterior%20a%2001%2F01%2F2012&amp;exibeparametros=true</w:t>
        </w:r>
      </w:hyperlink>
      <w:r w:rsidRPr="1111EBD7">
        <w:rPr>
          <w:rFonts w:ascii="Bookman Old Style" w:eastAsia="Bookman Old Style" w:hAnsi="Bookman Old Style" w:cs="Bookman Old Style"/>
          <w:color w:val="000000" w:themeColor="text1"/>
        </w:rPr>
        <w:t xml:space="preserve"> ficou em 1,67% ao mês. </w:t>
      </w:r>
    </w:p>
    <w:p w14:paraId="118B7C9E" w14:textId="48BE736C"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lastRenderedPageBreak/>
        <w:t xml:space="preserve">Devendo assim, </w:t>
      </w:r>
      <w:r w:rsidRPr="1111EBD7">
        <w:rPr>
          <w:rFonts w:ascii="Bookman Old Style" w:eastAsia="Bookman Old Style" w:hAnsi="Bookman Old Style" w:cs="Bookman Old Style"/>
          <w:b/>
          <w:bCs/>
          <w:color w:val="000000" w:themeColor="text1"/>
        </w:rPr>
        <w:t xml:space="preserve">o contrato ser recalculado pela taxa média do mercado, posto que mais vantajoso ao mutuário, conforme entendimento consolidado do STJ, nos ditames do </w:t>
      </w:r>
      <w:proofErr w:type="spellStart"/>
      <w:r w:rsidRPr="1111EBD7">
        <w:rPr>
          <w:rFonts w:ascii="Bookman Old Style" w:eastAsia="Bookman Old Style" w:hAnsi="Bookman Old Style" w:cs="Bookman Old Style"/>
          <w:b/>
          <w:bCs/>
          <w:color w:val="000000" w:themeColor="text1"/>
        </w:rPr>
        <w:t>Resp</w:t>
      </w:r>
      <w:proofErr w:type="spellEnd"/>
      <w:r w:rsidRPr="1111EBD7">
        <w:rPr>
          <w:rFonts w:ascii="Bookman Old Style" w:eastAsia="Bookman Old Style" w:hAnsi="Bookman Old Style" w:cs="Bookman Old Style"/>
          <w:b/>
          <w:bCs/>
          <w:color w:val="000000" w:themeColor="text1"/>
        </w:rPr>
        <w:t xml:space="preserve"> 715.894/PR e o excedente ser devolvido com juros e atualização monetária.</w:t>
      </w:r>
    </w:p>
    <w:p w14:paraId="38D5842F" w14:textId="7CF14AC1"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rPr>
        <w:t>Ainda, diante de todo o exposto, considera-se a taxa praticada pelo banco abusiva, vejamos entendimento dos tribunais:</w:t>
      </w:r>
    </w:p>
    <w:p w14:paraId="6B77E199" w14:textId="009CC437" w:rsidR="00840F32" w:rsidRDefault="2C54D56F"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AÇÃO REVISIONAL DE CONTRATO BANCÁRIO, CUMULADA COM REPETIÇÃO DO INDÉBITO E INDENIZAÇÃO POR DANOS MORAIS – EMPRÉSTIMO PESSOAL – IMPROCEDÊNCIA – TAXA DE JUROS CONTRATUAL ACIMA DA MÉDIA DE MERCADO – PRETENSÃO DE REVISÃO – CABIMENTO PARCIAL – A taxa de juros do contrato de empréstimo firmado entre as partes, no percentual de 138,18% ao ano, representa mais que seis vezes a taxa média anual respectiva divulgada pelo Banco Central para negócio como o firmado no caso e no mesmo período da contratação, de modo que abusiva, impondo-se a sua revisão. </w:t>
      </w:r>
      <w:r w:rsidRPr="1111EBD7">
        <w:rPr>
          <w:rFonts w:ascii="Bookman Old Style" w:eastAsia="Bookman Old Style" w:hAnsi="Bookman Old Style" w:cs="Bookman Old Style"/>
          <w:b/>
          <w:bCs/>
          <w:color w:val="000000" w:themeColor="text1"/>
          <w:sz w:val="20"/>
          <w:szCs w:val="20"/>
        </w:rPr>
        <w:t>A limitação da taxa de juros deve ser fixada no teto de 1,5 vezes a taxa média anual informada pelo Banco Central</w:t>
      </w:r>
      <w:r w:rsidRPr="1111EBD7">
        <w:rPr>
          <w:rFonts w:ascii="Bookman Old Style" w:eastAsia="Bookman Old Style" w:hAnsi="Bookman Old Style" w:cs="Bookman Old Style"/>
          <w:color w:val="000000" w:themeColor="text1"/>
          <w:sz w:val="20"/>
          <w:szCs w:val="20"/>
        </w:rPr>
        <w:t xml:space="preserve"> no período (20,94%), que perfaz um teto, respectivamente, de 31,41% ao ano. Repetição de indébito que deve ser feita na forma simples. Pretensão da autora de redução dos juros obtida em menor extensão. Ação procedente em parte. Recurso parcialmente provido, nessa parte. AÇÃO REVISIONAL DE CONTRATO BANCÁRIO, CUMULADA COM REPETIÇÃO DO INDÉBITO E INDENIZAÇÃO POR DANOS MORAIS – EMPRÉSTIMO PESSOAL – IMPROCEDÊNCIA – PRETENSÃO DE CONDENAÇÃO DO BANCO RÉU AO PAGAMENTO DE INDENIZAÇÃO POR DANOS MORAIS – DESCABIMENTO - Descontos de empréstimo que ocorreram por força de contrato livremente pactuado entre as partes, e não por liberalidade abusiva da instituição financeira, não decorrendo dessa situação abalo moral a ser reparado por meio de fixação de indenização correspondente. Sentença mantida, nessa parte. Recurso desprovido, nessa parte. (TJ-SP - AC: 10058588920228260077 </w:t>
      </w:r>
      <w:proofErr w:type="spellStart"/>
      <w:r w:rsidRPr="1111EBD7">
        <w:rPr>
          <w:rFonts w:ascii="Bookman Old Style" w:eastAsia="Bookman Old Style" w:hAnsi="Bookman Old Style" w:cs="Bookman Old Style"/>
          <w:color w:val="000000" w:themeColor="text1"/>
          <w:sz w:val="20"/>
          <w:szCs w:val="20"/>
        </w:rPr>
        <w:t>Birigüi</w:t>
      </w:r>
      <w:proofErr w:type="spellEnd"/>
      <w:r w:rsidRPr="1111EBD7">
        <w:rPr>
          <w:rFonts w:ascii="Bookman Old Style" w:eastAsia="Bookman Old Style" w:hAnsi="Bookman Old Style" w:cs="Bookman Old Style"/>
          <w:color w:val="000000" w:themeColor="text1"/>
          <w:sz w:val="20"/>
          <w:szCs w:val="20"/>
        </w:rPr>
        <w:t>, Relator: Walter Fonseca, Data de Julgamento: 20/04/2023, 11ª Câmara de Direito Privado, Data de Publicação: 20/04/2023)</w:t>
      </w:r>
    </w:p>
    <w:p w14:paraId="2F39E840" w14:textId="0E3F1EC5" w:rsidR="00840F32" w:rsidRDefault="00840F32"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p>
    <w:p w14:paraId="7745D04A" w14:textId="0BC1075B" w:rsidR="00840F32" w:rsidRDefault="2C54D56F"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APELAÇÃO. Contrato bancário. Empréstimo pessoal. Crédito em conta corrente. Ação revisional cumulada com pedido de restituição de valores. Sentença de improcedência. Juros remuneratórios. Ausência de limitação. Súmulas 596/STF e 382/STJ. Medida que, no entanto, não implica em significar que o contrato entre as partes possa permanecer sem qualquer ingerência judicial para o afastamento de abusos. </w:t>
      </w:r>
      <w:r w:rsidRPr="1111EBD7">
        <w:rPr>
          <w:rFonts w:ascii="Bookman Old Style" w:eastAsia="Bookman Old Style" w:hAnsi="Bookman Old Style" w:cs="Bookman Old Style"/>
          <w:b/>
          <w:bCs/>
          <w:color w:val="000000" w:themeColor="text1"/>
          <w:sz w:val="20"/>
          <w:szCs w:val="20"/>
        </w:rPr>
        <w:t xml:space="preserve">Hipótese em que a taxa de juros anuais ultrapassa muitas vezes a taxa média de mercado divulgada </w:t>
      </w:r>
      <w:r w:rsidRPr="1111EBD7">
        <w:rPr>
          <w:rFonts w:ascii="Bookman Old Style" w:eastAsia="Bookman Old Style" w:hAnsi="Bookman Old Style" w:cs="Bookman Old Style"/>
          <w:b/>
          <w:bCs/>
          <w:color w:val="000000" w:themeColor="text1"/>
          <w:sz w:val="20"/>
          <w:szCs w:val="20"/>
        </w:rPr>
        <w:lastRenderedPageBreak/>
        <w:t>pelo Banco Central do Brasil para operações da mesma natureza. Análise dos percentuais aplicados permite concluir pela abusividade</w:t>
      </w:r>
      <w:r w:rsidRPr="1111EBD7">
        <w:rPr>
          <w:rFonts w:ascii="Bookman Old Style" w:eastAsia="Bookman Old Style" w:hAnsi="Bookman Old Style" w:cs="Bookman Old Style"/>
          <w:color w:val="000000" w:themeColor="text1"/>
          <w:sz w:val="20"/>
          <w:szCs w:val="20"/>
        </w:rPr>
        <w:t xml:space="preserve">. Entendimento que se encontra em consonância com aquele firmado no </w:t>
      </w:r>
      <w:proofErr w:type="spellStart"/>
      <w:r w:rsidRPr="1111EBD7">
        <w:rPr>
          <w:rFonts w:ascii="Bookman Old Style" w:eastAsia="Bookman Old Style" w:hAnsi="Bookman Old Style" w:cs="Bookman Old Style"/>
          <w:color w:val="000000" w:themeColor="text1"/>
          <w:sz w:val="20"/>
          <w:szCs w:val="20"/>
        </w:rPr>
        <w:t>REsp</w:t>
      </w:r>
      <w:proofErr w:type="spellEnd"/>
      <w:r w:rsidRPr="1111EBD7">
        <w:rPr>
          <w:rFonts w:ascii="Bookman Old Style" w:eastAsia="Bookman Old Style" w:hAnsi="Bookman Old Style" w:cs="Bookman Old Style"/>
          <w:color w:val="000000" w:themeColor="text1"/>
          <w:sz w:val="20"/>
          <w:szCs w:val="20"/>
        </w:rPr>
        <w:t xml:space="preserve"> repetitivo nº 1.061.530/RS. Precedentes do Colendo STJ. Devolução da repetição de indébito na forma simples. Sentença reformada para julgar a ação procedente. Recurso provido. (TJ-SP - AC: 10230947220228260071 Bauru, Relator: Décio Rodrigues, Data de Julgamento: 28/04/2023, 21ª Câmara de Direito Privado, Data de Publicação: 28/04/2023)</w:t>
      </w:r>
    </w:p>
    <w:p w14:paraId="424FB81D" w14:textId="3368F0E4" w:rsidR="00840F32" w:rsidRDefault="00840F32"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p>
    <w:p w14:paraId="6CE593A5" w14:textId="4AD487B0" w:rsidR="00840F32" w:rsidRDefault="2C54D56F"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APELAÇÃO CÍVEL. ação revisional. EMPRÉSTIMOS PESSOAIS – REFINANCIAMENTOS. SENTENÇA DE PROCEDÊNCIA. recurso da instituição financeira. 01.inovação recursal quanto ao pedido de limitação da taxa de juros a uma vez e meia a média do mercado reconhecida.</w:t>
      </w:r>
      <w:proofErr w:type="gramStart"/>
      <w:r w:rsidRPr="1111EBD7">
        <w:rPr>
          <w:rFonts w:ascii="Bookman Old Style" w:eastAsia="Bookman Old Style" w:hAnsi="Bookman Old Style" w:cs="Bookman Old Style"/>
          <w:color w:val="000000" w:themeColor="text1"/>
          <w:sz w:val="20"/>
          <w:szCs w:val="20"/>
        </w:rPr>
        <w:t>02.ARGUMENTO</w:t>
      </w:r>
      <w:proofErr w:type="gramEnd"/>
      <w:r w:rsidRPr="1111EBD7">
        <w:rPr>
          <w:rFonts w:ascii="Bookman Old Style" w:eastAsia="Bookman Old Style" w:hAnsi="Bookman Old Style" w:cs="Bookman Old Style"/>
          <w:color w:val="000000" w:themeColor="text1"/>
          <w:sz w:val="20"/>
          <w:szCs w:val="20"/>
        </w:rPr>
        <w:t xml:space="preserve"> pretensão </w:t>
      </w:r>
      <w:proofErr w:type="spellStart"/>
      <w:r w:rsidRPr="1111EBD7">
        <w:rPr>
          <w:rFonts w:ascii="Bookman Old Style" w:eastAsia="Bookman Old Style" w:hAnsi="Bookman Old Style" w:cs="Bookman Old Style"/>
          <w:color w:val="000000" w:themeColor="text1"/>
          <w:sz w:val="20"/>
          <w:szCs w:val="20"/>
        </w:rPr>
        <w:t>rECONHECimento</w:t>
      </w:r>
      <w:proofErr w:type="spellEnd"/>
      <w:r w:rsidRPr="1111EBD7">
        <w:rPr>
          <w:rFonts w:ascii="Bookman Old Style" w:eastAsia="Bookman Old Style" w:hAnsi="Bookman Old Style" w:cs="Bookman Old Style"/>
          <w:color w:val="000000" w:themeColor="text1"/>
          <w:sz w:val="20"/>
          <w:szCs w:val="20"/>
        </w:rPr>
        <w:t xml:space="preserve"> </w:t>
      </w:r>
      <w:proofErr w:type="spellStart"/>
      <w:r w:rsidRPr="1111EBD7">
        <w:rPr>
          <w:rFonts w:ascii="Bookman Old Style" w:eastAsia="Bookman Old Style" w:hAnsi="Bookman Old Style" w:cs="Bookman Old Style"/>
          <w:color w:val="000000" w:themeColor="text1"/>
          <w:sz w:val="20"/>
          <w:szCs w:val="20"/>
        </w:rPr>
        <w:t>dA</w:t>
      </w:r>
      <w:proofErr w:type="spellEnd"/>
      <w:r w:rsidRPr="1111EBD7">
        <w:rPr>
          <w:rFonts w:ascii="Bookman Old Style" w:eastAsia="Bookman Old Style" w:hAnsi="Bookman Old Style" w:cs="Bookman Old Style"/>
          <w:color w:val="000000" w:themeColor="text1"/>
          <w:sz w:val="20"/>
          <w:szCs w:val="20"/>
        </w:rPr>
        <w:t xml:space="preserve"> ABUSIVIDADE </w:t>
      </w:r>
      <w:proofErr w:type="spellStart"/>
      <w:r w:rsidRPr="1111EBD7">
        <w:rPr>
          <w:rFonts w:ascii="Bookman Old Style" w:eastAsia="Bookman Old Style" w:hAnsi="Bookman Old Style" w:cs="Bookman Old Style"/>
          <w:color w:val="000000" w:themeColor="text1"/>
          <w:sz w:val="20"/>
          <w:szCs w:val="20"/>
        </w:rPr>
        <w:t>DOs</w:t>
      </w:r>
      <w:proofErr w:type="spellEnd"/>
      <w:r w:rsidRPr="1111EBD7">
        <w:rPr>
          <w:rFonts w:ascii="Bookman Old Style" w:eastAsia="Bookman Old Style" w:hAnsi="Bookman Old Style" w:cs="Bookman Old Style"/>
          <w:color w:val="000000" w:themeColor="text1"/>
          <w:sz w:val="20"/>
          <w:szCs w:val="20"/>
        </w:rPr>
        <w:t xml:space="preserve"> JUROS REMUNERATÓRIOS, com determinação de limitação à taxa média e devolução dos valores. insurgência da instituição financeira. alegações DE </w:t>
      </w:r>
      <w:proofErr w:type="gramStart"/>
      <w:r w:rsidRPr="1111EBD7">
        <w:rPr>
          <w:rFonts w:ascii="Bookman Old Style" w:eastAsia="Bookman Old Style" w:hAnsi="Bookman Old Style" w:cs="Bookman Old Style"/>
          <w:color w:val="000000" w:themeColor="text1"/>
          <w:sz w:val="20"/>
          <w:szCs w:val="20"/>
        </w:rPr>
        <w:t>que É</w:t>
      </w:r>
      <w:proofErr w:type="gramEnd"/>
      <w:r w:rsidRPr="1111EBD7">
        <w:rPr>
          <w:rFonts w:ascii="Bookman Old Style" w:eastAsia="Bookman Old Style" w:hAnsi="Bookman Old Style" w:cs="Bookman Old Style"/>
          <w:color w:val="000000" w:themeColor="text1"/>
          <w:sz w:val="20"/>
          <w:szCs w:val="20"/>
        </w:rPr>
        <w:t xml:space="preserve"> EMPRESA QUE CONCEDE CRÉDITO DE RISCO. aventada impossibilidade de constatar a abusividade COM BASE somente NA MÉDIA DE MERCADO. NÃO ACOLHIMENTO. </w:t>
      </w:r>
      <w:r w:rsidRPr="1111EBD7">
        <w:rPr>
          <w:rFonts w:ascii="Bookman Old Style" w:eastAsia="Bookman Old Style" w:hAnsi="Bookman Old Style" w:cs="Bookman Old Style"/>
          <w:b/>
          <w:bCs/>
          <w:color w:val="000000" w:themeColor="text1"/>
          <w:sz w:val="20"/>
          <w:szCs w:val="20"/>
        </w:rPr>
        <w:t xml:space="preserve">TAXA MÉDIA DE MERCADO QUE É IMPORTANTE REFERENCIAL, AINDA QUE NÃO SEJA PARÂMETRO EXATO. TAXAS DE JUROS PACTUADAS EM MUITO mais de 3 (TRÊS) VEZES </w:t>
      </w:r>
      <w:proofErr w:type="spellStart"/>
      <w:r w:rsidRPr="1111EBD7">
        <w:rPr>
          <w:rFonts w:ascii="Bookman Old Style" w:eastAsia="Bookman Old Style" w:hAnsi="Bookman Old Style" w:cs="Bookman Old Style"/>
          <w:b/>
          <w:bCs/>
          <w:color w:val="000000" w:themeColor="text1"/>
          <w:sz w:val="20"/>
          <w:szCs w:val="20"/>
        </w:rPr>
        <w:t>VEZES</w:t>
      </w:r>
      <w:proofErr w:type="spellEnd"/>
      <w:r w:rsidRPr="1111EBD7">
        <w:rPr>
          <w:rFonts w:ascii="Bookman Old Style" w:eastAsia="Bookman Old Style" w:hAnsi="Bookman Old Style" w:cs="Bookman Old Style"/>
          <w:b/>
          <w:bCs/>
          <w:color w:val="000000" w:themeColor="text1"/>
          <w:sz w:val="20"/>
          <w:szCs w:val="20"/>
        </w:rPr>
        <w:t xml:space="preserve"> A MÉDIA DIVULGADA PELO BACEN. EVIDENTE ABUSIVIDADE</w:t>
      </w:r>
      <w:r w:rsidRPr="1111EBD7">
        <w:rPr>
          <w:rFonts w:ascii="Bookman Old Style" w:eastAsia="Bookman Old Style" w:hAnsi="Bookman Old Style" w:cs="Bookman Old Style"/>
          <w:color w:val="000000" w:themeColor="text1"/>
          <w:sz w:val="20"/>
          <w:szCs w:val="20"/>
        </w:rPr>
        <w:t xml:space="preserve">. RECURSO CONHECIDO em parte e na parte conhecida desprovido. (TJPR - 14ª Câmara Cível - 0004306-23.2022.8.16.0130 - Paranavaí - Rel.: SUBSTITUTA CRISTIANE SANTOS LEITE - J. 02.05.2023) (TJ-PR - APL: 00043062320228160130 Paranavaí 0004306-23.2022.8.16.0130 (Acórdão), Relator: substituta </w:t>
      </w:r>
      <w:proofErr w:type="spellStart"/>
      <w:r w:rsidRPr="1111EBD7">
        <w:rPr>
          <w:rFonts w:ascii="Bookman Old Style" w:eastAsia="Bookman Old Style" w:hAnsi="Bookman Old Style" w:cs="Bookman Old Style"/>
          <w:color w:val="000000" w:themeColor="text1"/>
          <w:sz w:val="20"/>
          <w:szCs w:val="20"/>
        </w:rPr>
        <w:t>cristiane</w:t>
      </w:r>
      <w:proofErr w:type="spellEnd"/>
      <w:r w:rsidRPr="1111EBD7">
        <w:rPr>
          <w:rFonts w:ascii="Bookman Old Style" w:eastAsia="Bookman Old Style" w:hAnsi="Bookman Old Style" w:cs="Bookman Old Style"/>
          <w:color w:val="000000" w:themeColor="text1"/>
          <w:sz w:val="20"/>
          <w:szCs w:val="20"/>
        </w:rPr>
        <w:t xml:space="preserve"> santos </w:t>
      </w:r>
      <w:proofErr w:type="gramStart"/>
      <w:r w:rsidRPr="1111EBD7">
        <w:rPr>
          <w:rFonts w:ascii="Bookman Old Style" w:eastAsia="Bookman Old Style" w:hAnsi="Bookman Old Style" w:cs="Bookman Old Style"/>
          <w:color w:val="000000" w:themeColor="text1"/>
          <w:sz w:val="20"/>
          <w:szCs w:val="20"/>
        </w:rPr>
        <w:t>leite</w:t>
      </w:r>
      <w:proofErr w:type="gramEnd"/>
      <w:r w:rsidRPr="1111EBD7">
        <w:rPr>
          <w:rFonts w:ascii="Bookman Old Style" w:eastAsia="Bookman Old Style" w:hAnsi="Bookman Old Style" w:cs="Bookman Old Style"/>
          <w:color w:val="000000" w:themeColor="text1"/>
          <w:sz w:val="20"/>
          <w:szCs w:val="20"/>
        </w:rPr>
        <w:t>, Data de Julgamento: 02/05/2023, 14ª Câmara Cível, Data de Publicação: 02/05/2023)</w:t>
      </w:r>
    </w:p>
    <w:p w14:paraId="1558F99B" w14:textId="29CE06B3" w:rsidR="00840F32" w:rsidRDefault="00840F32"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p>
    <w:p w14:paraId="58A52138" w14:textId="5E009869" w:rsidR="00840F32" w:rsidRDefault="2C54D56F" w:rsidP="1111EBD7">
      <w:pPr>
        <w:spacing w:before="240" w:after="160" w:line="240" w:lineRule="auto"/>
        <w:ind w:left="2268" w:right="-427"/>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AÇÃO DE REVISÃO CONTRATUAL. SENTENÇA DE IMPROCEDÊNCIA. APELAÇÃO PARCIALMENTE PROVIDA. CONTRATOS BANCÁRIOS. JUROS REMUNERATÓRIOS. FIXAÇÃO EM PATAMAR MUITO SUPERIOR À TAXA MÉDIA DE MERCADO. ABUSIVIDADE VERIFICADA. Assim, a partir das interpretações da Constituição Federal e da legislação infraconstitucional, as instituições financeiras não se submetem ao limite da Lei de Usura, o que implica autorização para a cobrança de juros remuneratórios acima de 12% (doze por cento) ao ano e sem que isso, por si só, caracterize abusividade. Incide a Súmula 648 do Supremo Tribunal Federal. O controle judicial da abusividade dos juros remuneratórios foi tratado no julgamento do Recurso Especial n. 1.161.530-RS, incidente de julgamento de processos repetitivos, relatora a Ministra NANCY ANDRIGHI, julgado em 22/10/2008, DJ 10/03/2009: "d) É admitida a revisão das taxas de juros </w:t>
      </w:r>
      <w:r w:rsidRPr="1111EBD7">
        <w:rPr>
          <w:rFonts w:ascii="Bookman Old Style" w:eastAsia="Bookman Old Style" w:hAnsi="Bookman Old Style" w:cs="Bookman Old Style"/>
          <w:color w:val="000000" w:themeColor="text1"/>
          <w:sz w:val="20"/>
          <w:szCs w:val="20"/>
        </w:rPr>
        <w:lastRenderedPageBreak/>
        <w:t xml:space="preserve">remuneratórios em situações excepcionais, desde que caracterizada a relação de consumo e que a abusividade (capaz de colocar o consumidor em desvantagem exagerada – art. 51, § 1º, do CDC) fique cabalmente demonstrada, ante às peculiaridades do caso concreto. </w:t>
      </w:r>
      <w:r w:rsidRPr="1111EBD7">
        <w:rPr>
          <w:rFonts w:ascii="Bookman Old Style" w:eastAsia="Bookman Old Style" w:hAnsi="Bookman Old Style" w:cs="Bookman Old Style"/>
          <w:b/>
          <w:bCs/>
          <w:color w:val="000000" w:themeColor="text1"/>
          <w:sz w:val="20"/>
          <w:szCs w:val="20"/>
        </w:rPr>
        <w:t>E, no caso dos autos, a taxa de juros contratada (18% ao mês e 649,14% ao ano) revelaram-se abusivas. Conforme consultas realizadas no site do Banco Central, os contratos apresentaram taxas de juros muito acima da taxa média apurada pelo BACEN, que era em média 5,13% ao mês (82,32% ao ano)</w:t>
      </w:r>
      <w:r w:rsidRPr="1111EBD7">
        <w:rPr>
          <w:rFonts w:ascii="Bookman Old Style" w:eastAsia="Bookman Old Style" w:hAnsi="Bookman Old Style" w:cs="Bookman Old Style"/>
          <w:color w:val="000000" w:themeColor="text1"/>
          <w:sz w:val="20"/>
          <w:szCs w:val="20"/>
        </w:rPr>
        <w:t>. Discrepância que superou vez e meia a taxa média de mercado para os contratos de empréstimo pessoal (modalidade não consignado). Precedentes da Turma julgadora. A taxa de juros do contrato será reduzida para a" taxa média " de mercado, restituindo-se o excesso (de forma simples). Alegação acolhida. DANOS MORAIS. NÃO CONFIGURAÇÃO. INDENIZAÇÃO REJEITADA. A situação de discussão contratual não atingiu a própria esfera de proteção extrapatrimonial do autor, ainda que ocorridos dissabores pela diferença de juros remuneratórios. Alegação rejeitada. REPETIÇÃO DE INDÉBITO. DEVOLUÇÃO DOBRADA. JURISPRUDÊNCIA DO STJ. COBRANÇA DE MÁ-FÉ CARACTERIZADA. Uma vez declarada abusividade na cobrança da taxa de juros remuneratórios, admite-se a repetição de indébito, de forma dobrada. Caracterização de cobrança de má-fé. Aplicação da jurisprudência do STJ e Precedentes desta Turma Julgadora. Pretensão acolhida. Ação julgada parcialmente procedente em segundo grau. SENTENÇA REFORMADA. RECURSO PARCIALMENTE PROVIDO. (TJ-SP - AC: 10046948120218260576 São José do Rio Preto, Relator: Alexandre David Malfatti, 12ª Câmara de Direito Privado, Data de Publicação: 24/04/2023)</w:t>
      </w:r>
    </w:p>
    <w:p w14:paraId="199C9A3B" w14:textId="7AA83F55" w:rsidR="00840F32" w:rsidRDefault="2C54D56F" w:rsidP="1111EBD7">
      <w:pPr>
        <w:spacing w:before="240" w:after="160" w:line="360" w:lineRule="auto"/>
        <w:ind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Assim, conforme entendimento dos tribunais, necessário se faz do reconhecimento da abusividade, bem como o enquadramento do contrato a taxa média de mercado divulgada pelo Banco Central, sendo à época da contratação 1,60% ao mês, conforme demonstrado em cálculo.</w:t>
      </w:r>
    </w:p>
    <w:p w14:paraId="724DB09B" w14:textId="228B399C" w:rsidR="00840F32" w:rsidRDefault="00840F32" w:rsidP="1111EBD7">
      <w:pPr>
        <w:spacing w:before="240" w:after="160" w:line="360" w:lineRule="auto"/>
        <w:ind w:right="-427"/>
        <w:jc w:val="both"/>
        <w:rPr>
          <w:rFonts w:ascii="Bookman Old Style" w:eastAsia="Bookman Old Style" w:hAnsi="Bookman Old Style" w:cs="Bookman Old Style"/>
          <w:color w:val="000000" w:themeColor="text1"/>
        </w:rPr>
      </w:pPr>
    </w:p>
    <w:p w14:paraId="0EB4EC3D" w14:textId="5A79FF31" w:rsidR="00840F32" w:rsidRDefault="2C54D56F" w:rsidP="1111EBD7">
      <w:pPr>
        <w:pStyle w:val="xmsonormal"/>
        <w:spacing w:before="240" w:beforeAutospacing="0" w:after="0" w:afterAutospacing="0" w:line="360" w:lineRule="auto"/>
        <w:ind w:right="-427"/>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3.6 DO DANO MORAL - PRÁTICAS ABUSIVAS – SUPRESSÃO DESARRAZOADA DE RENDA ALIMENTAR POR LARGO ESPAÇO TEMPORAL</w:t>
      </w:r>
    </w:p>
    <w:p w14:paraId="503C144F" w14:textId="56EE2999" w:rsidR="00840F32" w:rsidRDefault="2C54D56F" w:rsidP="1111EBD7">
      <w:pPr>
        <w:pStyle w:val="xmsonormal"/>
        <w:spacing w:before="240" w:beforeAutospacing="0" w:after="0" w:afterAutospacing="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Todos os bancos, como prestadores de serviços públicos, nos termos do §6, do art. 37 da Constituição Federal, têm responsabilidade objetiva, </w:t>
      </w:r>
      <w:r w:rsidRPr="1111EBD7">
        <w:rPr>
          <w:rFonts w:ascii="Bookman Old Style" w:eastAsia="Bookman Old Style" w:hAnsi="Bookman Old Style" w:cs="Bookman Old Style"/>
          <w:color w:val="000000" w:themeColor="text1"/>
        </w:rPr>
        <w:lastRenderedPageBreak/>
        <w:t xml:space="preserve">posto que são estruturadas de forma a promover o desenvolvimento equilibrado do país e servir aos interesses da coletividade. </w:t>
      </w:r>
    </w:p>
    <w:p w14:paraId="566E62E3" w14:textId="097A6F83" w:rsidR="00840F32" w:rsidRDefault="2C54D56F" w:rsidP="1111EBD7">
      <w:pPr>
        <w:pStyle w:val="xmsonormal"/>
        <w:spacing w:before="240" w:beforeAutospacing="0" w:after="0" w:afterAutospacing="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Com efeito, os bancos prestam um serviço público, respondendo pelos danos que seus agentes causarem a terceiro, se sendo a sua responsabilidade objetiva, que existe independentemente de culpa, basta a comprovação do nexo causal e do dano, para que nasça o dever de indenizar. </w:t>
      </w:r>
    </w:p>
    <w:p w14:paraId="1005A405" w14:textId="2DD83DDA" w:rsidR="00840F32" w:rsidRDefault="2C54D56F" w:rsidP="1111EBD7">
      <w:pPr>
        <w:pStyle w:val="xmsonormal"/>
        <w:spacing w:before="240" w:beforeAutospacing="0" w:after="0" w:afterAutospacing="0" w:line="360" w:lineRule="auto"/>
        <w:ind w:right="-427"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 xml:space="preserve">Demonstrado que a forma de cobrança empregada pelo Demandado é abusiva e afronta princípios basilares do CDC, tendo em vista que fixou a evidente má-fé ao exigir a contratação de seguro prestamista e aplicar taxa de juros sobre ele, não resta dúvidas a prática ilícita de enriquecimento sem causa. </w:t>
      </w:r>
    </w:p>
    <w:p w14:paraId="17E6A43D" w14:textId="69CCA017"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Diante dos fatos acima relatados, mostra-se patente a configuração dos “danos morais” sofridos pela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w:t>
      </w:r>
    </w:p>
    <w:p w14:paraId="50501963" w14:textId="48B675C9"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Quanto à previsão legislativa, o dever de indenizar é fundamentado tanto pela Constituição Federal em seu artigo 5º, inciso V, como pelo Código de Defesa do Consumidor presente no artigo 14.  Depreende-se de seu texto, a imputação direta, independentemente de culpa, da reparação do dano causado ao consumidor oriundo de “defeito” relativo à prestação do serviço.</w:t>
      </w:r>
    </w:p>
    <w:p w14:paraId="10778F6B" w14:textId="4B8A6DA8"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Tais situações deverão ser indenizadas independentemente de prova, pois presumem-se. Além do que, o CDC consagra a responsabilidade objetiva, onde somente se levará em consideração o nexo causal e o dano. Ambos, </w:t>
      </w:r>
      <w:r w:rsidRPr="1111EBD7">
        <w:rPr>
          <w:rStyle w:val="Nenhum"/>
          <w:rFonts w:ascii="Bookman Old Style" w:eastAsia="Bookman Old Style" w:hAnsi="Bookman Old Style" w:cs="Bookman Old Style"/>
          <w:i/>
          <w:iCs/>
          <w:sz w:val="24"/>
          <w:szCs w:val="24"/>
        </w:rPr>
        <w:t xml:space="preserve">in </w:t>
      </w:r>
      <w:proofErr w:type="spellStart"/>
      <w:r w:rsidRPr="1111EBD7">
        <w:rPr>
          <w:rStyle w:val="Nenhum"/>
          <w:rFonts w:ascii="Bookman Old Style" w:eastAsia="Bookman Old Style" w:hAnsi="Bookman Old Style" w:cs="Bookman Old Style"/>
          <w:i/>
          <w:iCs/>
          <w:sz w:val="24"/>
          <w:szCs w:val="24"/>
        </w:rPr>
        <w:t>casu</w:t>
      </w:r>
      <w:proofErr w:type="spellEnd"/>
      <w:r w:rsidRPr="1111EBD7">
        <w:rPr>
          <w:rFonts w:ascii="Bookman Old Style" w:eastAsia="Bookman Old Style" w:hAnsi="Bookman Old Style" w:cs="Bookman Old Style"/>
          <w:lang w:val="pt-BR"/>
        </w:rPr>
        <w:t xml:space="preserve">, estão sobejamente caracterizados. Dessa maneira, estando presentes os pressupostos ensejadores do instituto jurídico da responsabilidade civil, </w:t>
      </w:r>
      <w:r w:rsidRPr="1111EBD7">
        <w:rPr>
          <w:rFonts w:ascii="Bookman Old Style" w:eastAsia="Bookman Old Style" w:hAnsi="Bookman Old Style" w:cs="Bookman Old Style"/>
          <w:lang w:val="pt-BR"/>
        </w:rPr>
        <w:lastRenderedPageBreak/>
        <w:t>fundamentado está o pedido de reparação de danos, seja ele motivado por prejuízo material ou moral.</w:t>
      </w:r>
    </w:p>
    <w:p w14:paraId="0089A35D" w14:textId="578E1091"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Sobre o assunto, leciona Maria Helena Diniz:</w:t>
      </w:r>
    </w:p>
    <w:p w14:paraId="5F8F7208" w14:textId="062B9A97"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Para que se configure o ato ilícito, será imprescindível que haja: a) fato lesivo voluntário, causado pelo agente, por ação ou omissão voluntária, negligência ou imprudência; b) ocorrência de um dano patrimonial ou moral; c) nexo de causalidade entre o dano e o comportamento do agente.</w:t>
      </w:r>
    </w:p>
    <w:p w14:paraId="3E68FA15" w14:textId="0787E38B"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(in Código Civil Anotado, 10 ed., São Paulo, Editora Saraiva, 2004, p. 196 e 197).</w:t>
      </w:r>
    </w:p>
    <w:p w14:paraId="7F8E2BFF" w14:textId="691D6B1A"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4"/>
          <w:szCs w:val="24"/>
        </w:rPr>
      </w:pPr>
    </w:p>
    <w:p w14:paraId="67E22F8A" w14:textId="10DCFCAE"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O doutrinador Carlos Alberto Bittar conclui:</w:t>
      </w:r>
    </w:p>
    <w:p w14:paraId="4799CD80" w14:textId="4A03F900"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Assim sendo, para que haja ato ilícito, necessária se faz a conjugação dos seguintes fatores: a existência de uma ação; a violação da ordem jurídica; a imputabilidade; a penetração na esfera de outrem. Desse modo, deve haver um comportamento do agente, positivo (ação) ou negativo (omissão), que, desrespeitando a ordem jurídica, cause prejuízo a outrem, pela ofensa à bem ou a direito deste. Esse comportamento (comissivo ou omissivo) deve ser imputável à consciência do agente, por dolo (intenção) ou por culpa (negligência, imprudência, imperícia), contrariando, seja um dever geral do ordenamento jurídico (delito civil), seja uma obrigação em concreto (inexecução da obrigação ou de contrato). [...] Deve, pois, o agente recompor o patrimônio (moral ou econômico) do lesado, ressarcindo-lhe os prejuízos acarretados, à causa do seu próprio, desde que represente a subjetividade do ilícito. Bittar, Carlos Alberto. A Responsabilidade Civil - Doutrina e jurisprudência, Saraiva, 20 ed., p. 93/95</w:t>
      </w:r>
    </w:p>
    <w:p w14:paraId="53D1B545" w14:textId="48D4244B"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4"/>
          <w:szCs w:val="24"/>
        </w:rPr>
      </w:pPr>
    </w:p>
    <w:p w14:paraId="1524D321" w14:textId="7AF6CCD7"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Destaco, aqui também, que o autor é vendedor, sendo evidente que qualquer quantia indevidamente descontada de seu pagamento é capaz de comprometer sua subsistência e de sua família.</w:t>
      </w:r>
    </w:p>
    <w:p w14:paraId="7F3D29D1" w14:textId="4289B1F4"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A esse respeito, o Tribunal de Justiça de Minas Gerais posiciona-se no sentido de que, havendo retenção indevida de salário ou </w:t>
      </w:r>
      <w:r w:rsidRPr="1111EBD7">
        <w:rPr>
          <w:rFonts w:ascii="Bookman Old Style" w:eastAsia="Bookman Old Style" w:hAnsi="Bookman Old Style" w:cs="Bookman Old Style"/>
          <w:lang w:val="pt-BR"/>
        </w:rPr>
        <w:lastRenderedPageBreak/>
        <w:t xml:space="preserve">de proventos de aposentadoria, o dano moral tem caráter </w:t>
      </w:r>
      <w:r w:rsidRPr="1111EBD7">
        <w:rPr>
          <w:rStyle w:val="Nenhum"/>
          <w:rFonts w:ascii="Bookman Old Style" w:eastAsia="Bookman Old Style" w:hAnsi="Bookman Old Style" w:cs="Bookman Old Style"/>
          <w:i/>
          <w:iCs/>
          <w:sz w:val="24"/>
          <w:szCs w:val="24"/>
        </w:rPr>
        <w:t xml:space="preserve">in </w:t>
      </w:r>
      <w:proofErr w:type="spellStart"/>
      <w:r w:rsidRPr="1111EBD7">
        <w:rPr>
          <w:rStyle w:val="Nenhum"/>
          <w:rFonts w:ascii="Bookman Old Style" w:eastAsia="Bookman Old Style" w:hAnsi="Bookman Old Style" w:cs="Bookman Old Style"/>
          <w:i/>
          <w:iCs/>
          <w:sz w:val="24"/>
          <w:szCs w:val="24"/>
        </w:rPr>
        <w:t>re</w:t>
      </w:r>
      <w:proofErr w:type="spellEnd"/>
      <w:r w:rsidRPr="1111EBD7">
        <w:rPr>
          <w:rStyle w:val="Nenhum"/>
          <w:rFonts w:ascii="Bookman Old Style" w:eastAsia="Bookman Old Style" w:hAnsi="Bookman Old Style" w:cs="Bookman Old Style"/>
          <w:i/>
          <w:iCs/>
          <w:sz w:val="24"/>
          <w:szCs w:val="24"/>
        </w:rPr>
        <w:t xml:space="preserve"> </w:t>
      </w:r>
      <w:proofErr w:type="spellStart"/>
      <w:r w:rsidRPr="1111EBD7">
        <w:rPr>
          <w:rStyle w:val="Nenhum"/>
          <w:rFonts w:ascii="Bookman Old Style" w:eastAsia="Bookman Old Style" w:hAnsi="Bookman Old Style" w:cs="Bookman Old Style"/>
          <w:i/>
          <w:iCs/>
          <w:sz w:val="24"/>
          <w:szCs w:val="24"/>
        </w:rPr>
        <w:t>ipsa</w:t>
      </w:r>
      <w:proofErr w:type="spellEnd"/>
      <w:r w:rsidRPr="1111EBD7">
        <w:rPr>
          <w:rFonts w:ascii="Bookman Old Style" w:eastAsia="Bookman Old Style" w:hAnsi="Bookman Old Style" w:cs="Bookman Old Style"/>
          <w:lang w:val="pt-BR"/>
        </w:rPr>
        <w:t xml:space="preserve"> e independe de comprovação, pois fere valores existenciais e compromete a verba destinada à subsistência da família, vindo a causar dor, sofrimento, humilhação, e preocupação pela perda injustificada de significativo montante da fonte alimentar do ser humano.</w:t>
      </w:r>
    </w:p>
    <w:p w14:paraId="116C5DB8" w14:textId="273F7B50"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Além do mais, a penosa situação que o autor passou é fato comprobatório de grande sofrimento e humilhação cabível de dano moral, visto que, dada a ignorância do idoso quanto às condições reais que abarcaram os contratos.</w:t>
      </w:r>
    </w:p>
    <w:p w14:paraId="4D35F6B1" w14:textId="79EEA008"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Constatado o ato do Banco Réu e o nexo de causalidade, resta perquirir a extensão do prejuízo, não para garantir o recebimento da indenização, mas para que o valor seja arbitrado com fundamento no artigo 944 do Código Civil, onde a indenização mede-se pelas circunstâncias do caso concreto, a gravidade da conduta, o alcance da ofensa e a capacidade econômica do ofensor e do ofendido.</w:t>
      </w:r>
    </w:p>
    <w:p w14:paraId="0198080A" w14:textId="14CA9B93"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Além disso, é certo que o valor da indenização deve atender aos princípios da proporcionalidade e razoabilidade, mostrando-se suficiente para compensar a vítima pelo dano sofrido e, ao mesmo tempo, para sancionar o causador do prejuízo e servir de desestímulo à repetição do ato ilícito, sem, contudo, causar locupletamento indevido.</w:t>
      </w:r>
    </w:p>
    <w:p w14:paraId="3E23B874" w14:textId="0AA1EEE2"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Verifica-se que o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 xml:space="preserve">, tem amargado verdadeira </w:t>
      </w:r>
      <w:r w:rsidRPr="1111EBD7">
        <w:rPr>
          <w:rStyle w:val="Nenhum"/>
          <w:rFonts w:ascii="Bookman Old Style" w:eastAsia="Bookman Old Style" w:hAnsi="Bookman Old Style" w:cs="Bookman Old Style"/>
          <w:i/>
          <w:iCs/>
          <w:sz w:val="24"/>
          <w:szCs w:val="24"/>
        </w:rPr>
        <w:t xml:space="preserve">via </w:t>
      </w:r>
      <w:proofErr w:type="spellStart"/>
      <w:r w:rsidRPr="1111EBD7">
        <w:rPr>
          <w:rStyle w:val="Nenhum"/>
          <w:rFonts w:ascii="Bookman Old Style" w:eastAsia="Bookman Old Style" w:hAnsi="Bookman Old Style" w:cs="Bookman Old Style"/>
          <w:i/>
          <w:iCs/>
          <w:sz w:val="24"/>
          <w:szCs w:val="24"/>
        </w:rPr>
        <w:t>crucis</w:t>
      </w:r>
      <w:proofErr w:type="spellEnd"/>
      <w:r w:rsidRPr="1111EBD7">
        <w:rPr>
          <w:rFonts w:ascii="Bookman Old Style" w:eastAsia="Bookman Old Style" w:hAnsi="Bookman Old Style" w:cs="Bookman Old Style"/>
          <w:lang w:val="pt-BR"/>
        </w:rPr>
        <w:t>, ao tentar solucionar a questão, com diversos requerimentos, pedidos, formulários, e, mesmo, Ação Judicial, sempre recebendo respostas evasivas, furtivas, e em dissonância com expressa previsão constitucional e em desarmonia com a jurisprudência pátria.</w:t>
      </w:r>
    </w:p>
    <w:p w14:paraId="7B1A268F" w14:textId="39BB5EDF"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Sublima a Lei Nº. 10.406/2002:</w:t>
      </w:r>
    </w:p>
    <w:p w14:paraId="0EE130D8" w14:textId="36135080"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lastRenderedPageBreak/>
        <w:t>Art. 186. Aquele que, por ação ou omissão voluntária, negligência ou imprudência, violar direito e causar dano a outrem, ainda que exclusivamente moral, comete ato ilícito.</w:t>
      </w:r>
    </w:p>
    <w:p w14:paraId="67E07402" w14:textId="572DD96B"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Art. 927. Aquele que, por ato ilícito (</w:t>
      </w:r>
      <w:proofErr w:type="spellStart"/>
      <w:r w:rsidRPr="1111EBD7">
        <w:rPr>
          <w:rStyle w:val="Nenhum"/>
          <w:rFonts w:ascii="Bookman Old Style" w:eastAsia="Bookman Old Style" w:hAnsi="Bookman Old Style" w:cs="Bookman Old Style"/>
          <w:color w:val="000000" w:themeColor="text1"/>
          <w:sz w:val="20"/>
          <w:szCs w:val="20"/>
        </w:rPr>
        <w:t>arts</w:t>
      </w:r>
      <w:proofErr w:type="spellEnd"/>
      <w:r w:rsidRPr="1111EBD7">
        <w:rPr>
          <w:rStyle w:val="Nenhum"/>
          <w:rFonts w:ascii="Bookman Old Style" w:eastAsia="Bookman Old Style" w:hAnsi="Bookman Old Style" w:cs="Bookman Old Style"/>
          <w:color w:val="000000" w:themeColor="text1"/>
          <w:sz w:val="20"/>
          <w:szCs w:val="20"/>
        </w:rPr>
        <w:t>. 186 e 187), causar dano a outrem, fica obrigado a repará-lo.</w:t>
      </w:r>
    </w:p>
    <w:p w14:paraId="558040BA" w14:textId="06FB27C4"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Parágrafo único. Haverá obrigação de reparar o dano, independentemente de culpa, nos casos especificados em lei, ou quando a atividade normalmente desenvolvida pelo autor do dano implicar, por sua natureza, risco para os direitos de outrem.</w:t>
      </w:r>
    </w:p>
    <w:p w14:paraId="1A6FE03B" w14:textId="3898017D"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jc w:val="both"/>
        <w:rPr>
          <w:rFonts w:ascii="Bookman Old Style" w:eastAsia="Bookman Old Style" w:hAnsi="Bookman Old Style" w:cs="Bookman Old Style"/>
          <w:color w:val="000000" w:themeColor="text1"/>
          <w:sz w:val="24"/>
          <w:szCs w:val="24"/>
        </w:rPr>
      </w:pPr>
    </w:p>
    <w:p w14:paraId="2B410B77" w14:textId="1CA73B0A"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É cediço que a responsabilidade civil </w:t>
      </w:r>
      <w:proofErr w:type="gramStart"/>
      <w:r w:rsidRPr="1111EBD7">
        <w:rPr>
          <w:rFonts w:ascii="Bookman Old Style" w:eastAsia="Bookman Old Style" w:hAnsi="Bookman Old Style" w:cs="Bookman Old Style"/>
          <w:lang w:val="pt-BR"/>
        </w:rPr>
        <w:t>fundamenta-se</w:t>
      </w:r>
      <w:proofErr w:type="gramEnd"/>
      <w:r w:rsidRPr="1111EBD7">
        <w:rPr>
          <w:rFonts w:ascii="Bookman Old Style" w:eastAsia="Bookman Old Style" w:hAnsi="Bookman Old Style" w:cs="Bookman Old Style"/>
          <w:lang w:val="pt-BR"/>
        </w:rPr>
        <w:t xml:space="preserve"> na comprovação da ocorrência de três pressupostos, os quais devem obrigatoriamente, estar cumulados: </w:t>
      </w:r>
      <w:r w:rsidRPr="1111EBD7">
        <w:rPr>
          <w:rStyle w:val="Nenhum"/>
          <w:rFonts w:ascii="Bookman Old Style" w:eastAsia="Bookman Old Style" w:hAnsi="Bookman Old Style" w:cs="Bookman Old Style"/>
          <w:b/>
          <w:bCs/>
          <w:sz w:val="24"/>
          <w:szCs w:val="24"/>
          <w:u w:val="single"/>
        </w:rPr>
        <w:t>ato ilícito</w:t>
      </w:r>
      <w:r w:rsidRPr="1111EBD7">
        <w:rPr>
          <w:rFonts w:ascii="Bookman Old Style" w:eastAsia="Bookman Old Style" w:hAnsi="Bookman Old Style" w:cs="Bookman Old Style"/>
          <w:lang w:val="pt-BR"/>
        </w:rPr>
        <w:t xml:space="preserve">, </w:t>
      </w:r>
      <w:r w:rsidRPr="1111EBD7">
        <w:rPr>
          <w:rStyle w:val="Nenhum"/>
          <w:rFonts w:ascii="Bookman Old Style" w:eastAsia="Bookman Old Style" w:hAnsi="Bookman Old Style" w:cs="Bookman Old Style"/>
          <w:b/>
          <w:bCs/>
          <w:sz w:val="24"/>
          <w:szCs w:val="24"/>
          <w:u w:val="single"/>
        </w:rPr>
        <w:t>dano</w:t>
      </w:r>
      <w:r w:rsidRPr="1111EBD7">
        <w:rPr>
          <w:rFonts w:ascii="Bookman Old Style" w:eastAsia="Bookman Old Style" w:hAnsi="Bookman Old Style" w:cs="Bookman Old Style"/>
          <w:lang w:val="pt-BR"/>
        </w:rPr>
        <w:t xml:space="preserve"> e </w:t>
      </w:r>
      <w:r w:rsidRPr="1111EBD7">
        <w:rPr>
          <w:rStyle w:val="Nenhum"/>
          <w:rFonts w:ascii="Bookman Old Style" w:eastAsia="Bookman Old Style" w:hAnsi="Bookman Old Style" w:cs="Bookman Old Style"/>
          <w:b/>
          <w:bCs/>
          <w:sz w:val="24"/>
          <w:szCs w:val="24"/>
          <w:u w:val="single"/>
        </w:rPr>
        <w:t>nexo de causalidade</w:t>
      </w:r>
      <w:r w:rsidRPr="1111EBD7">
        <w:rPr>
          <w:rFonts w:ascii="Bookman Old Style" w:eastAsia="Bookman Old Style" w:hAnsi="Bookman Old Style" w:cs="Bookman Old Style"/>
          <w:lang w:val="pt-BR"/>
        </w:rPr>
        <w:t>.</w:t>
      </w:r>
    </w:p>
    <w:p w14:paraId="26DF6DAE" w14:textId="6378C4C0"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O </w:t>
      </w:r>
      <w:r w:rsidRPr="1111EBD7">
        <w:rPr>
          <w:rStyle w:val="Nenhum"/>
          <w:rFonts w:ascii="Bookman Old Style" w:eastAsia="Bookman Old Style" w:hAnsi="Bookman Old Style" w:cs="Bookman Old Style"/>
          <w:b/>
          <w:bCs/>
          <w:sz w:val="24"/>
          <w:szCs w:val="24"/>
          <w:u w:val="single"/>
        </w:rPr>
        <w:t>ato ilícito</w:t>
      </w:r>
      <w:r w:rsidRPr="1111EBD7">
        <w:rPr>
          <w:rFonts w:ascii="Bookman Old Style" w:eastAsia="Bookman Old Style" w:hAnsi="Bookman Old Style" w:cs="Bookman Old Style"/>
          <w:lang w:val="pt-BR"/>
        </w:rPr>
        <w:t xml:space="preserve"> advém da negativa de cumprimento da norma constitucional e consumerista, da ausência de zelo e dever geral de cautela, dos descontos indevidos, da abusividade praticada, do desrespeito as formas legais determinadas pela legislação, bem como da dissonância da jurisprudência nacional; tendo por </w:t>
      </w:r>
      <w:r w:rsidRPr="1111EBD7">
        <w:rPr>
          <w:rStyle w:val="Nenhum"/>
          <w:rFonts w:ascii="Bookman Old Style" w:eastAsia="Bookman Old Style" w:hAnsi="Bookman Old Style" w:cs="Bookman Old Style"/>
          <w:b/>
          <w:bCs/>
          <w:sz w:val="24"/>
          <w:szCs w:val="24"/>
          <w:u w:val="single"/>
        </w:rPr>
        <w:t>dano</w:t>
      </w:r>
      <w:r w:rsidRPr="1111EBD7">
        <w:rPr>
          <w:rFonts w:ascii="Bookman Old Style" w:eastAsia="Bookman Old Style" w:hAnsi="Bookman Old Style" w:cs="Bookman Old Style"/>
          <w:lang w:val="pt-BR"/>
        </w:rPr>
        <w:t xml:space="preserve">, a negativa de direitos constitucionais de cunho previdenciário e alimentar à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 xml:space="preserve">, gerando, não apenas incertezas e constrangimentos à 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 como, também, fazendo-a dispor de sua renda e única fonte de subsistência.</w:t>
      </w:r>
    </w:p>
    <w:p w14:paraId="505EF8E8" w14:textId="41F1949C"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Conforme é sabido, o dano moral indenizável é aquele que, decorrente de uma conduta antijurídica, submete a vítima a uma dor íntima, </w:t>
      </w:r>
      <w:proofErr w:type="spellStart"/>
      <w:r w:rsidRPr="1111EBD7">
        <w:rPr>
          <w:rFonts w:ascii="Bookman Old Style" w:eastAsia="Bookman Old Style" w:hAnsi="Bookman Old Style" w:cs="Bookman Old Style"/>
          <w:lang w:val="pt-BR"/>
        </w:rPr>
        <w:t>ferindo-lhe</w:t>
      </w:r>
      <w:proofErr w:type="spellEnd"/>
      <w:r w:rsidRPr="1111EBD7">
        <w:rPr>
          <w:rFonts w:ascii="Bookman Old Style" w:eastAsia="Bookman Old Style" w:hAnsi="Bookman Old Style" w:cs="Bookman Old Style"/>
          <w:lang w:val="pt-BR"/>
        </w:rPr>
        <w:t xml:space="preserve"> a honra e a dignidade, abalando sua imagem e resultando em ofensa aos atributos pessoais que lhe são mais caros, donde se conclui que se exige que o prejuízo causado seja verdadeiramente relevante, ultrapassando a fronteira do simples </w:t>
      </w:r>
      <w:r w:rsidRPr="1111EBD7">
        <w:rPr>
          <w:rFonts w:ascii="Bookman Old Style" w:eastAsia="Bookman Old Style" w:hAnsi="Bookman Old Style" w:cs="Bookman Old Style"/>
          <w:lang w:val="pt-BR"/>
        </w:rPr>
        <w:lastRenderedPageBreak/>
        <w:t>desconforto, constrangimento ou incômodo; logo, é o dano causado injustamente a outrem, que não atinja ou diminua seu patrimônio; é a dor, a mágoa, a tristeza infligida injustamente a outrem com reflexo perante a sociedade.</w:t>
      </w:r>
    </w:p>
    <w:p w14:paraId="4734C111" w14:textId="756A8E7E"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O </w:t>
      </w:r>
      <w:r w:rsidRPr="1111EBD7">
        <w:rPr>
          <w:rStyle w:val="Nenhum"/>
          <w:rFonts w:ascii="Bookman Old Style" w:eastAsia="Bookman Old Style" w:hAnsi="Bookman Old Style" w:cs="Bookman Old Style"/>
          <w:b/>
          <w:bCs/>
          <w:sz w:val="24"/>
          <w:szCs w:val="24"/>
          <w:u w:val="single"/>
        </w:rPr>
        <w:t>Nexo de Causalidade</w:t>
      </w:r>
      <w:r w:rsidRPr="1111EBD7">
        <w:rPr>
          <w:rFonts w:ascii="Bookman Old Style" w:eastAsia="Bookman Old Style" w:hAnsi="Bookman Old Style" w:cs="Bookman Old Style"/>
          <w:lang w:val="pt-BR"/>
        </w:rPr>
        <w:t xml:space="preserve"> se extrai do próprio deslinde fático da questão, posto, não fosse a conduta desidiosa do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 xml:space="preserve">, 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w:t>
      </w:r>
      <w:r w:rsidRPr="1111EBD7">
        <w:rPr>
          <w:rStyle w:val="Nenhum"/>
          <w:rFonts w:ascii="Bookman Old Style" w:eastAsia="Bookman Old Style" w:hAnsi="Bookman Old Style" w:cs="Bookman Old Style"/>
          <w:b/>
          <w:bCs/>
          <w:sz w:val="24"/>
          <w:szCs w:val="24"/>
        </w:rPr>
        <w:t xml:space="preserve"> </w:t>
      </w:r>
      <w:r w:rsidRPr="1111EBD7">
        <w:rPr>
          <w:rFonts w:ascii="Bookman Old Style" w:eastAsia="Bookman Old Style" w:hAnsi="Bookman Old Style" w:cs="Bookman Old Style"/>
          <w:lang w:val="pt-BR"/>
        </w:rPr>
        <w:t xml:space="preserve">não teria amargado os Danos Morais e Materiais por ela experimentados, sendo que os Danos Morais são, </w:t>
      </w:r>
      <w:r w:rsidRPr="1111EBD7">
        <w:rPr>
          <w:rStyle w:val="Nenhum"/>
          <w:rFonts w:ascii="Bookman Old Style" w:eastAsia="Bookman Old Style" w:hAnsi="Bookman Old Style" w:cs="Bookman Old Style"/>
          <w:i/>
          <w:iCs/>
          <w:sz w:val="24"/>
          <w:szCs w:val="24"/>
        </w:rPr>
        <w:t>per si</w:t>
      </w:r>
      <w:r w:rsidRPr="1111EBD7">
        <w:rPr>
          <w:rFonts w:ascii="Bookman Old Style" w:eastAsia="Bookman Old Style" w:hAnsi="Bookman Old Style" w:cs="Bookman Old Style"/>
          <w:lang w:val="pt-BR"/>
        </w:rPr>
        <w:t xml:space="preserve">, presumidos e </w:t>
      </w:r>
      <w:r w:rsidRPr="1111EBD7">
        <w:rPr>
          <w:rStyle w:val="Nenhum"/>
          <w:rFonts w:ascii="Bookman Old Style" w:eastAsia="Bookman Old Style" w:hAnsi="Bookman Old Style" w:cs="Bookman Old Style"/>
          <w:i/>
          <w:iCs/>
          <w:sz w:val="24"/>
          <w:szCs w:val="24"/>
        </w:rPr>
        <w:t xml:space="preserve">in </w:t>
      </w:r>
      <w:proofErr w:type="spellStart"/>
      <w:r w:rsidRPr="1111EBD7">
        <w:rPr>
          <w:rStyle w:val="Nenhum"/>
          <w:rFonts w:ascii="Bookman Old Style" w:eastAsia="Bookman Old Style" w:hAnsi="Bookman Old Style" w:cs="Bookman Old Style"/>
          <w:i/>
          <w:iCs/>
          <w:sz w:val="24"/>
          <w:szCs w:val="24"/>
        </w:rPr>
        <w:t>re</w:t>
      </w:r>
      <w:proofErr w:type="spellEnd"/>
      <w:r w:rsidRPr="1111EBD7">
        <w:rPr>
          <w:rStyle w:val="Nenhum"/>
          <w:rFonts w:ascii="Bookman Old Style" w:eastAsia="Bookman Old Style" w:hAnsi="Bookman Old Style" w:cs="Bookman Old Style"/>
          <w:i/>
          <w:iCs/>
          <w:sz w:val="24"/>
          <w:szCs w:val="24"/>
        </w:rPr>
        <w:t xml:space="preserve"> </w:t>
      </w:r>
      <w:proofErr w:type="spellStart"/>
      <w:r w:rsidRPr="1111EBD7">
        <w:rPr>
          <w:rStyle w:val="Nenhum"/>
          <w:rFonts w:ascii="Bookman Old Style" w:eastAsia="Bookman Old Style" w:hAnsi="Bookman Old Style" w:cs="Bookman Old Style"/>
          <w:i/>
          <w:iCs/>
          <w:sz w:val="24"/>
          <w:szCs w:val="24"/>
        </w:rPr>
        <w:t>ipsa</w:t>
      </w:r>
      <w:proofErr w:type="spellEnd"/>
      <w:r w:rsidRPr="1111EBD7">
        <w:rPr>
          <w:rFonts w:ascii="Bookman Old Style" w:eastAsia="Bookman Old Style" w:hAnsi="Bookman Old Style" w:cs="Bookman Old Style"/>
          <w:lang w:val="pt-BR"/>
        </w:rPr>
        <w:t>.</w:t>
      </w:r>
    </w:p>
    <w:p w14:paraId="3380ABD5" w14:textId="7EBA15FF"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Caio Mário da Silva Pereira, didaticamente leciona que “</w:t>
      </w:r>
      <w:r w:rsidRPr="1111EBD7">
        <w:rPr>
          <w:rStyle w:val="Nenhum"/>
          <w:rFonts w:ascii="Bookman Old Style" w:eastAsia="Bookman Old Style" w:hAnsi="Bookman Old Style" w:cs="Bookman Old Style"/>
          <w:b/>
          <w:bCs/>
          <w:i/>
          <w:iCs/>
          <w:sz w:val="24"/>
          <w:szCs w:val="24"/>
        </w:rPr>
        <w:t>o indivíduo é titular de direitos integrantes de sua personalidade, o bom conceito que desfruta na sociedade, os sentimentos que estornam a sua consciência, os valores afetivos, merecedores todos de igual proteção da ordem jurídica</w:t>
      </w:r>
      <w:r w:rsidRPr="1111EBD7">
        <w:rPr>
          <w:rFonts w:ascii="Bookman Old Style" w:eastAsia="Bookman Old Style" w:hAnsi="Bookman Old Style" w:cs="Bookman Old Style"/>
          <w:lang w:val="pt-BR"/>
        </w:rPr>
        <w:t>” (In. Caio Mário da Silva. Responsabilidade Civil, 9ª ed., Ed. Rio de Janeiro, p. 59).</w:t>
      </w:r>
    </w:p>
    <w:p w14:paraId="13EF2DE6" w14:textId="6C53820F"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A própria </w:t>
      </w:r>
      <w:r w:rsidRPr="1111EBD7">
        <w:rPr>
          <w:rStyle w:val="Nenhum"/>
          <w:rFonts w:ascii="Bookman Old Style" w:eastAsia="Bookman Old Style" w:hAnsi="Bookman Old Style" w:cs="Bookman Old Style"/>
          <w:i/>
          <w:iCs/>
          <w:sz w:val="24"/>
          <w:szCs w:val="24"/>
        </w:rPr>
        <w:t xml:space="preserve">Lex </w:t>
      </w:r>
      <w:proofErr w:type="spellStart"/>
      <w:r w:rsidRPr="1111EBD7">
        <w:rPr>
          <w:rStyle w:val="Nenhum"/>
          <w:rFonts w:ascii="Bookman Old Style" w:eastAsia="Bookman Old Style" w:hAnsi="Bookman Old Style" w:cs="Bookman Old Style"/>
          <w:i/>
          <w:iCs/>
          <w:sz w:val="24"/>
          <w:szCs w:val="24"/>
        </w:rPr>
        <w:t>Fundamentalis</w:t>
      </w:r>
      <w:proofErr w:type="spellEnd"/>
      <w:r w:rsidRPr="1111EBD7">
        <w:rPr>
          <w:rFonts w:ascii="Bookman Old Style" w:eastAsia="Bookman Old Style" w:hAnsi="Bookman Old Style" w:cs="Bookman Old Style"/>
          <w:lang w:val="pt-BR"/>
        </w:rPr>
        <w:t xml:space="preserve"> preceitua em seu artigo 5º, inciso X, que:</w:t>
      </w:r>
    </w:p>
    <w:p w14:paraId="217AA13C" w14:textId="6C0B3570"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1572B104" w14:textId="6A83B975"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w:t>
      </w:r>
      <w:proofErr w:type="spellStart"/>
      <w:r w:rsidRPr="1111EBD7">
        <w:rPr>
          <w:rStyle w:val="Nenhum"/>
          <w:rFonts w:ascii="Bookman Old Style" w:eastAsia="Bookman Old Style" w:hAnsi="Bookman Old Style" w:cs="Bookman Old Style"/>
          <w:i/>
          <w:iCs/>
          <w:color w:val="000000" w:themeColor="text1"/>
          <w:sz w:val="20"/>
          <w:szCs w:val="20"/>
        </w:rPr>
        <w:t>Omissis</w:t>
      </w:r>
      <w:proofErr w:type="spellEnd"/>
      <w:r w:rsidRPr="1111EBD7">
        <w:rPr>
          <w:rStyle w:val="Nenhum"/>
          <w:rFonts w:ascii="Bookman Old Style" w:eastAsia="Bookman Old Style" w:hAnsi="Bookman Old Style" w:cs="Bookman Old Style"/>
          <w:color w:val="000000" w:themeColor="text1"/>
          <w:sz w:val="20"/>
          <w:szCs w:val="20"/>
        </w:rPr>
        <w:t>]</w:t>
      </w:r>
      <w:r w:rsidR="00840F32">
        <w:br/>
      </w:r>
      <w:r w:rsidRPr="1111EBD7">
        <w:rPr>
          <w:rStyle w:val="Nenhum"/>
          <w:rFonts w:ascii="Bookman Old Style" w:eastAsia="Bookman Old Style" w:hAnsi="Bookman Old Style" w:cs="Bookman Old Style"/>
          <w:color w:val="000000" w:themeColor="text1"/>
          <w:sz w:val="20"/>
          <w:szCs w:val="20"/>
        </w:rPr>
        <w:t>X - São invioláveis a intimidade, a vida privada, a honra e a imagem das pessoas, assegurado o direito à indenização pelo dano material ou moral decorrente de sua violação;</w:t>
      </w:r>
    </w:p>
    <w:p w14:paraId="1209CFDD" w14:textId="2DEA9246"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jc w:val="both"/>
        <w:rPr>
          <w:rFonts w:ascii="Bookman Old Style" w:eastAsia="Bookman Old Style" w:hAnsi="Bookman Old Style" w:cs="Bookman Old Style"/>
          <w:color w:val="000000" w:themeColor="text1"/>
          <w:sz w:val="24"/>
          <w:szCs w:val="24"/>
        </w:rPr>
      </w:pPr>
    </w:p>
    <w:p w14:paraId="1B7221EF" w14:textId="0069CA9B"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Dessa forma, claro é que 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 xml:space="preserve">, ao cometer imprudentes atos, afrontou confessada e conscientemente o texto </w:t>
      </w:r>
      <w:r w:rsidRPr="1111EBD7">
        <w:rPr>
          <w:rFonts w:ascii="Bookman Old Style" w:eastAsia="Bookman Old Style" w:hAnsi="Bookman Old Style" w:cs="Bookman Old Style"/>
          <w:lang w:val="pt-BR"/>
        </w:rPr>
        <w:lastRenderedPageBreak/>
        <w:t xml:space="preserve">constitucional acima transcrito, devendo, por isso, ser condenado à respectiva indenização pelo dano moral e à imagem sofrido pela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w:t>
      </w:r>
    </w:p>
    <w:p w14:paraId="5D33C58B" w14:textId="4DAA6284"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O ilustre jurista Rui </w:t>
      </w:r>
      <w:proofErr w:type="spellStart"/>
      <w:r w:rsidRPr="1111EBD7">
        <w:rPr>
          <w:rFonts w:ascii="Bookman Old Style" w:eastAsia="Bookman Old Style" w:hAnsi="Bookman Old Style" w:cs="Bookman Old Style"/>
          <w:lang w:val="pt-BR"/>
        </w:rPr>
        <w:t>Stoco</w:t>
      </w:r>
      <w:proofErr w:type="spellEnd"/>
      <w:r w:rsidRPr="1111EBD7">
        <w:rPr>
          <w:rFonts w:ascii="Bookman Old Style" w:eastAsia="Bookman Old Style" w:hAnsi="Bookman Old Style" w:cs="Bookman Old Style"/>
          <w:lang w:val="pt-BR"/>
        </w:rPr>
        <w:t>, em sua obra Responsabilidade Civil e sua Interpretação Judicial, 4ª ed., Ed. RT, p. 59, traz que “</w:t>
      </w:r>
      <w:r w:rsidRPr="1111EBD7">
        <w:rPr>
          <w:rStyle w:val="Nenhum"/>
          <w:rFonts w:ascii="Bookman Old Style" w:eastAsia="Bookman Old Style" w:hAnsi="Bookman Old Style" w:cs="Bookman Old Style"/>
          <w:b/>
          <w:bCs/>
          <w:i/>
          <w:iCs/>
          <w:sz w:val="24"/>
          <w:szCs w:val="24"/>
        </w:rPr>
        <w:t>a noção de responsabilidade é a necessidade que existe de responsabilizar alguém por seus atos danosos</w:t>
      </w:r>
      <w:r w:rsidRPr="1111EBD7">
        <w:rPr>
          <w:rFonts w:ascii="Bookman Old Style" w:eastAsia="Bookman Old Style" w:hAnsi="Bookman Old Style" w:cs="Bookman Old Style"/>
          <w:lang w:val="pt-BR"/>
        </w:rPr>
        <w:t>”.</w:t>
      </w:r>
    </w:p>
    <w:p w14:paraId="46A92946" w14:textId="6D937556"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 última conclusão a que se pode chegar é a de que, a reparabilidade do dano moral puro não mais se questiona no direito brasileiro, porquanto uma série de dispositivos, constitucionais e infraconstitucionais, garantem sua tutela legal.</w:t>
      </w:r>
    </w:p>
    <w:p w14:paraId="6B96213F" w14:textId="0A9FF084"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Para que se caracterize o dano moral, é imprescindível que haja: </w:t>
      </w:r>
    </w:p>
    <w:p w14:paraId="1B3EC77B" w14:textId="707145A5"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ind w:firstLine="1134"/>
        <w:jc w:val="both"/>
        <w:rPr>
          <w:rFonts w:ascii="Bookman Old Style" w:eastAsia="Bookman Old Style" w:hAnsi="Bookman Old Style" w:cs="Bookman Old Style"/>
          <w:color w:val="000000" w:themeColor="text1"/>
          <w:sz w:val="24"/>
          <w:szCs w:val="24"/>
        </w:rPr>
      </w:pPr>
    </w:p>
    <w:p w14:paraId="232A8963" w14:textId="384BFCC1" w:rsidR="00840F32" w:rsidRDefault="2C54D56F" w:rsidP="1111EB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color w:val="000000" w:themeColor="text1"/>
          <w:sz w:val="24"/>
          <w:szCs w:val="24"/>
        </w:rPr>
      </w:pPr>
      <w:r w:rsidRPr="1111EBD7">
        <w:rPr>
          <w:rStyle w:val="Nenhum"/>
          <w:rFonts w:ascii="Bookman Old Style" w:eastAsia="Bookman Old Style" w:hAnsi="Bookman Old Style" w:cs="Bookman Old Style"/>
          <w:b/>
          <w:bCs/>
          <w:color w:val="000000" w:themeColor="text1"/>
          <w:sz w:val="24"/>
          <w:szCs w:val="24"/>
        </w:rPr>
        <w:t>a)</w:t>
      </w:r>
      <w:r w:rsidRPr="1111EBD7">
        <w:rPr>
          <w:rFonts w:ascii="Bookman Old Style" w:eastAsia="Bookman Old Style" w:hAnsi="Bookman Old Style" w:cs="Bookman Old Style"/>
          <w:color w:val="000000" w:themeColor="text1"/>
          <w:sz w:val="24"/>
          <w:szCs w:val="24"/>
        </w:rPr>
        <w:t xml:space="preserve"> </w:t>
      </w:r>
      <w:r w:rsidRPr="1111EBD7">
        <w:rPr>
          <w:rStyle w:val="Nenhum"/>
          <w:rFonts w:ascii="Bookman Old Style" w:eastAsia="Bookman Old Style" w:hAnsi="Bookman Old Style" w:cs="Bookman Old Style"/>
          <w:b/>
          <w:bCs/>
          <w:color w:val="000000" w:themeColor="text1"/>
          <w:sz w:val="24"/>
          <w:szCs w:val="24"/>
          <w:u w:val="single"/>
        </w:rPr>
        <w:t>Ato ilícito</w:t>
      </w:r>
      <w:r w:rsidRPr="1111EBD7">
        <w:rPr>
          <w:rFonts w:ascii="Bookman Old Style" w:eastAsia="Bookman Old Style" w:hAnsi="Bookman Old Style" w:cs="Bookman Old Style"/>
          <w:color w:val="000000" w:themeColor="text1"/>
          <w:sz w:val="24"/>
          <w:szCs w:val="24"/>
        </w:rPr>
        <w:t xml:space="preserve">, causado pelo agente por ação ou omissão voluntária, negligência ou imprudência; </w:t>
      </w:r>
    </w:p>
    <w:p w14:paraId="00771794" w14:textId="2540301A" w:rsidR="00840F32" w:rsidRDefault="2C54D56F" w:rsidP="1111EB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color w:val="000000" w:themeColor="text1"/>
          <w:sz w:val="24"/>
          <w:szCs w:val="24"/>
        </w:rPr>
      </w:pPr>
      <w:r w:rsidRPr="1111EBD7">
        <w:rPr>
          <w:rStyle w:val="Nenhum"/>
          <w:rFonts w:ascii="Bookman Old Style" w:eastAsia="Bookman Old Style" w:hAnsi="Bookman Old Style" w:cs="Bookman Old Style"/>
          <w:b/>
          <w:bCs/>
          <w:color w:val="000000" w:themeColor="text1"/>
          <w:sz w:val="24"/>
          <w:szCs w:val="24"/>
        </w:rPr>
        <w:t>b)</w:t>
      </w:r>
      <w:r w:rsidRPr="1111EBD7">
        <w:rPr>
          <w:rFonts w:ascii="Bookman Old Style" w:eastAsia="Bookman Old Style" w:hAnsi="Bookman Old Style" w:cs="Bookman Old Style"/>
          <w:color w:val="000000" w:themeColor="text1"/>
          <w:sz w:val="24"/>
          <w:szCs w:val="24"/>
        </w:rPr>
        <w:t xml:space="preserve"> Ocorrência de um </w:t>
      </w:r>
      <w:r w:rsidRPr="1111EBD7">
        <w:rPr>
          <w:rStyle w:val="Nenhum"/>
          <w:rFonts w:ascii="Bookman Old Style" w:eastAsia="Bookman Old Style" w:hAnsi="Bookman Old Style" w:cs="Bookman Old Style"/>
          <w:b/>
          <w:bCs/>
          <w:color w:val="000000" w:themeColor="text1"/>
          <w:sz w:val="24"/>
          <w:szCs w:val="24"/>
          <w:u w:val="single"/>
        </w:rPr>
        <w:t>dano</w:t>
      </w:r>
      <w:r w:rsidRPr="1111EBD7">
        <w:rPr>
          <w:rFonts w:ascii="Bookman Old Style" w:eastAsia="Bookman Old Style" w:hAnsi="Bookman Old Style" w:cs="Bookman Old Style"/>
          <w:color w:val="000000" w:themeColor="text1"/>
          <w:sz w:val="24"/>
          <w:szCs w:val="24"/>
        </w:rPr>
        <w:t xml:space="preserve">, seja ele de ordem moral ou patrimonial; </w:t>
      </w:r>
    </w:p>
    <w:p w14:paraId="43C24CAD" w14:textId="27FDB8AC" w:rsidR="00840F32" w:rsidRDefault="2C54D56F" w:rsidP="1111EBD7">
      <w:pPr>
        <w:tabs>
          <w:tab w:val="left" w:pos="709"/>
          <w:tab w:val="left" w:pos="1418"/>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color w:val="000000" w:themeColor="text1"/>
          <w:sz w:val="24"/>
          <w:szCs w:val="24"/>
        </w:rPr>
      </w:pPr>
      <w:r w:rsidRPr="1111EBD7">
        <w:rPr>
          <w:rStyle w:val="Nenhum"/>
          <w:rFonts w:ascii="Bookman Old Style" w:eastAsia="Bookman Old Style" w:hAnsi="Bookman Old Style" w:cs="Bookman Old Style"/>
          <w:b/>
          <w:bCs/>
          <w:color w:val="000000" w:themeColor="text1"/>
          <w:sz w:val="24"/>
          <w:szCs w:val="24"/>
        </w:rPr>
        <w:t>c)</w:t>
      </w:r>
      <w:r w:rsidRPr="1111EBD7">
        <w:rPr>
          <w:rFonts w:ascii="Bookman Old Style" w:eastAsia="Bookman Old Style" w:hAnsi="Bookman Old Style" w:cs="Bookman Old Style"/>
          <w:color w:val="000000" w:themeColor="text1"/>
          <w:sz w:val="24"/>
          <w:szCs w:val="24"/>
        </w:rPr>
        <w:t xml:space="preserve"> </w:t>
      </w:r>
      <w:r w:rsidRPr="1111EBD7">
        <w:rPr>
          <w:rStyle w:val="Nenhum"/>
          <w:rFonts w:ascii="Bookman Old Style" w:eastAsia="Bookman Old Style" w:hAnsi="Bookman Old Style" w:cs="Bookman Old Style"/>
          <w:b/>
          <w:bCs/>
          <w:color w:val="000000" w:themeColor="text1"/>
          <w:sz w:val="24"/>
          <w:szCs w:val="24"/>
          <w:u w:val="single"/>
        </w:rPr>
        <w:t>Nexo de causalidad</w:t>
      </w:r>
      <w:r w:rsidRPr="1111EBD7">
        <w:rPr>
          <w:rFonts w:ascii="Bookman Old Style" w:eastAsia="Bookman Old Style" w:hAnsi="Bookman Old Style" w:cs="Bookman Old Style"/>
          <w:color w:val="000000" w:themeColor="text1"/>
          <w:sz w:val="24"/>
          <w:szCs w:val="24"/>
        </w:rPr>
        <w:t>e entre o dano e o comportamento do agente.</w:t>
      </w:r>
    </w:p>
    <w:p w14:paraId="4D67A174" w14:textId="06E96835" w:rsidR="00840F32" w:rsidRDefault="00840F32" w:rsidP="1111EBD7">
      <w:pPr>
        <w:tabs>
          <w:tab w:val="left" w:pos="709"/>
          <w:tab w:val="left" w:pos="1418"/>
          <w:tab w:val="left" w:pos="2160"/>
          <w:tab w:val="left" w:pos="2880"/>
          <w:tab w:val="left" w:pos="3600"/>
          <w:tab w:val="left" w:pos="4320"/>
          <w:tab w:val="left" w:pos="5040"/>
          <w:tab w:val="left" w:pos="5760"/>
          <w:tab w:val="left" w:pos="6480"/>
          <w:tab w:val="left" w:pos="7200"/>
          <w:tab w:val="left" w:pos="7920"/>
          <w:tab w:val="left" w:pos="8640"/>
        </w:tabs>
        <w:spacing w:before="240" w:after="140" w:line="360" w:lineRule="auto"/>
        <w:ind w:left="1304" w:hanging="284"/>
        <w:jc w:val="both"/>
        <w:rPr>
          <w:rFonts w:ascii="Bookman Old Style" w:eastAsia="Bookman Old Style" w:hAnsi="Bookman Old Style" w:cs="Bookman Old Style"/>
          <w:color w:val="000000" w:themeColor="text1"/>
          <w:sz w:val="24"/>
          <w:szCs w:val="24"/>
        </w:rPr>
      </w:pPr>
    </w:p>
    <w:p w14:paraId="66845A57" w14:textId="3D6639C1"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A presença do nexo de causalidade entre os litigantes está patente, sendo indiscutível o liame jurídico existente entre eles, pois se não fosse a conduta desidiosa do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 xml:space="preserve">, 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w:t>
      </w:r>
      <w:r w:rsidRPr="1111EBD7">
        <w:rPr>
          <w:rStyle w:val="Nenhum"/>
          <w:rFonts w:ascii="Bookman Old Style" w:eastAsia="Bookman Old Style" w:hAnsi="Bookman Old Style" w:cs="Bookman Old Style"/>
          <w:b/>
          <w:bCs/>
          <w:sz w:val="24"/>
          <w:szCs w:val="24"/>
        </w:rPr>
        <w:t xml:space="preserve"> </w:t>
      </w:r>
      <w:r w:rsidRPr="1111EBD7">
        <w:rPr>
          <w:rFonts w:ascii="Bookman Old Style" w:eastAsia="Bookman Old Style" w:hAnsi="Bookman Old Style" w:cs="Bookman Old Style"/>
          <w:lang w:val="pt-BR"/>
        </w:rPr>
        <w:t xml:space="preserve">não </w:t>
      </w:r>
      <w:r w:rsidRPr="1111EBD7">
        <w:rPr>
          <w:rFonts w:ascii="Bookman Old Style" w:eastAsia="Bookman Old Style" w:hAnsi="Bookman Old Style" w:cs="Bookman Old Style"/>
          <w:lang w:val="pt-BR"/>
        </w:rPr>
        <w:lastRenderedPageBreak/>
        <w:t xml:space="preserve">teria sofrido os Danos Morais por ela experimentados, e que ensejam o ajuizamento da presente ação, e, tal conduta, indiscutivelmente, foi perpetrada pelo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w:t>
      </w:r>
    </w:p>
    <w:p w14:paraId="2C77B771" w14:textId="73BEF1C4"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Tais requisitos, como retro mencionado, </w:t>
      </w:r>
      <w:proofErr w:type="spellStart"/>
      <w:r w:rsidRPr="1111EBD7">
        <w:rPr>
          <w:rFonts w:ascii="Bookman Old Style" w:eastAsia="Bookman Old Style" w:hAnsi="Bookman Old Style" w:cs="Bookman Old Style"/>
          <w:lang w:val="pt-BR"/>
        </w:rPr>
        <w:t>vêem-se</w:t>
      </w:r>
      <w:proofErr w:type="spellEnd"/>
      <w:r w:rsidRPr="1111EBD7">
        <w:rPr>
          <w:rFonts w:ascii="Bookman Old Style" w:eastAsia="Bookman Old Style" w:hAnsi="Bookman Old Style" w:cs="Bookman Old Style"/>
          <w:lang w:val="pt-BR"/>
        </w:rPr>
        <w:t xml:space="preserve"> satisfeitos, logo, inconteste o dever reparatório.</w:t>
      </w:r>
    </w:p>
    <w:p w14:paraId="5C393119" w14:textId="7824DB2D"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Evidente, pois, que devem ser acolhidos os danos morais suportados, visto que </w:t>
      </w:r>
      <w:proofErr w:type="gramStart"/>
      <w:r w:rsidRPr="1111EBD7">
        <w:rPr>
          <w:rFonts w:ascii="Bookman Old Style" w:eastAsia="Bookman Old Style" w:hAnsi="Bookman Old Style" w:cs="Bookman Old Style"/>
          <w:lang w:val="pt-BR"/>
        </w:rPr>
        <w:t>os mesmos</w:t>
      </w:r>
      <w:proofErr w:type="gramEnd"/>
      <w:r w:rsidRPr="1111EBD7">
        <w:rPr>
          <w:rFonts w:ascii="Bookman Old Style" w:eastAsia="Bookman Old Style" w:hAnsi="Bookman Old Style" w:cs="Bookman Old Style"/>
          <w:lang w:val="pt-BR"/>
        </w:rPr>
        <w:t xml:space="preserve"> advêm de culpa única e exclusiva do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w:t>
      </w:r>
    </w:p>
    <w:p w14:paraId="709810B7" w14:textId="206E4BE6"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Neste sentido, pronunciou-se o Egrégio Tribunal de Justiça do Paraná:</w:t>
      </w:r>
    </w:p>
    <w:p w14:paraId="67528DFA" w14:textId="1855A2A3"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b/>
          <w:bCs/>
          <w:color w:val="000000" w:themeColor="text1"/>
          <w:sz w:val="20"/>
          <w:szCs w:val="20"/>
        </w:rPr>
        <w:t>O dano simplesmente moral, sem repercussão no patrimônio, não há como ser provado. Ele existe tão-somente pela ofensa, e dela é presumido, sendo bastante para justificar a indenização.</w:t>
      </w:r>
    </w:p>
    <w:p w14:paraId="56ECB977" w14:textId="566AA444" w:rsidR="00840F32" w:rsidRPr="00990988"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lang w:val="en-US"/>
        </w:rPr>
      </w:pPr>
      <w:r w:rsidRPr="1111EBD7">
        <w:rPr>
          <w:rStyle w:val="Nenhum"/>
          <w:rFonts w:ascii="Bookman Old Style" w:eastAsia="Bookman Old Style" w:hAnsi="Bookman Old Style" w:cs="Bookman Old Style"/>
          <w:color w:val="000000" w:themeColor="text1"/>
          <w:sz w:val="20"/>
          <w:szCs w:val="20"/>
          <w:lang w:val="en-US"/>
        </w:rPr>
        <w:t xml:space="preserve">(TJPR – Rel. Wilson </w:t>
      </w:r>
      <w:proofErr w:type="spellStart"/>
      <w:r w:rsidRPr="1111EBD7">
        <w:rPr>
          <w:rStyle w:val="Nenhum"/>
          <w:rFonts w:ascii="Bookman Old Style" w:eastAsia="Bookman Old Style" w:hAnsi="Bookman Old Style" w:cs="Bookman Old Style"/>
          <w:color w:val="000000" w:themeColor="text1"/>
          <w:sz w:val="20"/>
          <w:szCs w:val="20"/>
          <w:lang w:val="en-US"/>
        </w:rPr>
        <w:t>Reback</w:t>
      </w:r>
      <w:proofErr w:type="spellEnd"/>
      <w:r w:rsidRPr="1111EBD7">
        <w:rPr>
          <w:rStyle w:val="Nenhum"/>
          <w:rFonts w:ascii="Bookman Old Style" w:eastAsia="Bookman Old Style" w:hAnsi="Bookman Old Style" w:cs="Bookman Old Style"/>
          <w:color w:val="000000" w:themeColor="text1"/>
          <w:sz w:val="20"/>
          <w:szCs w:val="20"/>
          <w:lang w:val="en-US"/>
        </w:rPr>
        <w:t xml:space="preserve"> – RT 681/163)</w:t>
      </w:r>
    </w:p>
    <w:p w14:paraId="439CDD1E" w14:textId="67C20E55" w:rsidR="00840F32" w:rsidRPr="00990988"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4"/>
          <w:szCs w:val="24"/>
          <w:lang w:val="en-US"/>
        </w:rPr>
      </w:pPr>
    </w:p>
    <w:p w14:paraId="4A2E556C" w14:textId="7C121A69"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Tais dissabores são, </w:t>
      </w:r>
      <w:r w:rsidRPr="1111EBD7">
        <w:rPr>
          <w:rStyle w:val="Nenhum"/>
          <w:rFonts w:ascii="Bookman Old Style" w:eastAsia="Bookman Old Style" w:hAnsi="Bookman Old Style" w:cs="Bookman Old Style"/>
          <w:i/>
          <w:iCs/>
          <w:sz w:val="24"/>
          <w:szCs w:val="24"/>
        </w:rPr>
        <w:t>per si</w:t>
      </w:r>
      <w:r w:rsidRPr="1111EBD7">
        <w:rPr>
          <w:rFonts w:ascii="Bookman Old Style" w:eastAsia="Bookman Old Style" w:hAnsi="Bookman Old Style" w:cs="Bookman Old Style"/>
          <w:lang w:val="pt-BR"/>
        </w:rPr>
        <w:t xml:space="preserve">, elementos mais que aptos a configurar o Dano Moral Indenizável, eis que 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 passou, e passa, até hoje, por constrangimento lastimável.</w:t>
      </w:r>
    </w:p>
    <w:p w14:paraId="1D54C7E1" w14:textId="5F33F62E"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ind w:firstLine="1134"/>
        <w:jc w:val="both"/>
        <w:rPr>
          <w:rFonts w:ascii="Bookman Old Style" w:eastAsia="Bookman Old Style" w:hAnsi="Bookman Old Style" w:cs="Bookman Old Style"/>
          <w:color w:val="000000" w:themeColor="text1"/>
          <w:sz w:val="24"/>
          <w:szCs w:val="24"/>
        </w:rPr>
      </w:pPr>
      <w:r w:rsidRPr="1111EBD7">
        <w:rPr>
          <w:rStyle w:val="Nenhum"/>
          <w:rFonts w:ascii="Bookman Old Style" w:eastAsia="Bookman Old Style" w:hAnsi="Bookman Old Style" w:cs="Bookman Old Style"/>
          <w:color w:val="000000" w:themeColor="text1"/>
          <w:sz w:val="24"/>
          <w:szCs w:val="24"/>
        </w:rPr>
        <w:t xml:space="preserve">Com estas considerações, tratando-se o presente caso de ocorrência de induvidoso ilícito praticado pelo </w:t>
      </w:r>
      <w:r w:rsidRPr="1111EBD7">
        <w:rPr>
          <w:rStyle w:val="Nenhum"/>
          <w:rFonts w:ascii="Bookman Old Style" w:eastAsia="Bookman Old Style" w:hAnsi="Bookman Old Style" w:cs="Bookman Old Style"/>
          <w:b/>
          <w:bCs/>
          <w:color w:val="000000" w:themeColor="text1"/>
          <w:sz w:val="24"/>
          <w:szCs w:val="24"/>
        </w:rPr>
        <w:t>REQUERIDO</w:t>
      </w:r>
      <w:r w:rsidRPr="1111EBD7">
        <w:rPr>
          <w:rStyle w:val="Nenhum"/>
          <w:rFonts w:ascii="Bookman Old Style" w:eastAsia="Bookman Old Style" w:hAnsi="Bookman Old Style" w:cs="Bookman Old Style"/>
          <w:color w:val="000000" w:themeColor="text1"/>
          <w:sz w:val="24"/>
          <w:szCs w:val="24"/>
        </w:rPr>
        <w:t>, impõe-se a indenização como medida pedagógico-punitiva, frente ao dano moral havido, reconhecer a necessidade da indenização respectiva.</w:t>
      </w:r>
    </w:p>
    <w:p w14:paraId="2B07EED3" w14:textId="36E6911B"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 respeito, o doutrinador Yussef Said Cahali aduz que “</w:t>
      </w:r>
      <w:r w:rsidRPr="1111EBD7">
        <w:rPr>
          <w:rStyle w:val="Nenhum"/>
          <w:rFonts w:ascii="Bookman Old Style" w:eastAsia="Bookman Old Style" w:hAnsi="Bookman Old Style" w:cs="Bookman Old Style"/>
          <w:b/>
          <w:bCs/>
          <w:i/>
          <w:iCs/>
          <w:sz w:val="24"/>
          <w:szCs w:val="24"/>
        </w:rPr>
        <w:t>o dano moral é presumido e, desde que verificado o pressuposto da culpabilidade, impõe-se na reparação em favor do ofendido</w:t>
      </w:r>
      <w:r w:rsidRPr="1111EBD7">
        <w:rPr>
          <w:rFonts w:ascii="Bookman Old Style" w:eastAsia="Bookman Old Style" w:hAnsi="Bookman Old Style" w:cs="Bookman Old Style"/>
          <w:lang w:val="pt-BR"/>
        </w:rPr>
        <w:t>” (</w:t>
      </w:r>
      <w:r w:rsidRPr="1111EBD7">
        <w:rPr>
          <w:rStyle w:val="Nenhum"/>
          <w:rFonts w:ascii="Bookman Old Style" w:eastAsia="Bookman Old Style" w:hAnsi="Bookman Old Style" w:cs="Bookman Old Style"/>
          <w:i/>
          <w:iCs/>
          <w:sz w:val="24"/>
          <w:szCs w:val="24"/>
        </w:rPr>
        <w:t>In</w:t>
      </w:r>
      <w:r w:rsidRPr="1111EBD7">
        <w:rPr>
          <w:rFonts w:ascii="Bookman Old Style" w:eastAsia="Bookman Old Style" w:hAnsi="Bookman Old Style" w:cs="Bookman Old Style"/>
          <w:lang w:val="pt-BR"/>
        </w:rPr>
        <w:t>. Yussef Said Cahali, Dano e sua indenização, p; 90).</w:t>
      </w:r>
    </w:p>
    <w:p w14:paraId="2FE2C0C7" w14:textId="020BEF05"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lastRenderedPageBreak/>
        <w:t>Ainda, acerca da responsabilidade objetiva, quando não evidenciada qualquer excludente de causalidade, mostra-se irrelevante a averiguação de culpa daquele que assumiu os riscos da atividade lesiva.</w:t>
      </w:r>
    </w:p>
    <w:p w14:paraId="56380F0B" w14:textId="7C055E91"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Não se pode deixar de favorecer compensações psicológicas ao ofendido moral que, obtendo legítima reparação satisfatória, poderá, porventura, ter os meios ao seu alcance de encontrar substitutivos, ou alívios, ainda que incompletos, para o sofrimento. Já que, dentro da natureza das coisas, não pode o que sofreu lesão moral recompor o “</w:t>
      </w:r>
      <w:r w:rsidRPr="1111EBD7">
        <w:rPr>
          <w:rStyle w:val="Nenhum"/>
          <w:rFonts w:ascii="Bookman Old Style" w:eastAsia="Bookman Old Style" w:hAnsi="Bookman Old Style" w:cs="Bookman Old Style"/>
          <w:i/>
          <w:iCs/>
          <w:sz w:val="24"/>
          <w:szCs w:val="24"/>
        </w:rPr>
        <w:t>status quo ante</w:t>
      </w:r>
      <w:r w:rsidRPr="1111EBD7">
        <w:rPr>
          <w:rFonts w:ascii="Bookman Old Style" w:eastAsia="Bookman Old Style" w:hAnsi="Bookman Old Style" w:cs="Bookman Old Style"/>
          <w:lang w:val="pt-BR"/>
        </w:rPr>
        <w:t>”.</w:t>
      </w:r>
    </w:p>
    <w:p w14:paraId="3B5AB967" w14:textId="3C17783F"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 ilustre professora Maria Helena Diniz, ao tratar do dano moral, ressalva que a reparação tem sua dupla função, a penal “</w:t>
      </w:r>
      <w:r w:rsidRPr="1111EBD7">
        <w:rPr>
          <w:rStyle w:val="Nenhum"/>
          <w:rFonts w:ascii="Bookman Old Style" w:eastAsia="Bookman Old Style" w:hAnsi="Bookman Old Style" w:cs="Bookman Old Style"/>
          <w:b/>
          <w:bCs/>
          <w:i/>
          <w:iCs/>
          <w:sz w:val="24"/>
          <w:szCs w:val="24"/>
        </w:rPr>
        <w:t>constituindo uma sanção imposta ao ofensor, visando à diminuição de seu patrimônio, pela indenização paga ao ofendido, visto que o bem jurídico da pessoa (integridade física, moral e intelectual) não poderá ser violado impunemente, e a função satisfatória ou compensatória como o dano moral constitui um menoscabo a interesses jurídicos extrapatrimoniais, provocando sentimentos que não têm preço, a reparação pecuniária visa a proporcionar ao prejudicado uma satisfação que atenue a ofensa causada</w:t>
      </w:r>
      <w:r w:rsidRPr="1111EBD7">
        <w:rPr>
          <w:rFonts w:ascii="Bookman Old Style" w:eastAsia="Bookman Old Style" w:hAnsi="Bookman Old Style" w:cs="Bookman Old Style"/>
          <w:lang w:val="pt-BR"/>
        </w:rPr>
        <w:t>.” (Curso de Direito Civil Brasileiro, 7º vol., 9ª ed., Saraiva). Daí, a necessidade de observar-se as condições de ambas as partes.</w:t>
      </w:r>
    </w:p>
    <w:p w14:paraId="31C876B4" w14:textId="3018BFF4"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O Dano Moral em tela existe</w:t>
      </w:r>
      <w:r w:rsidRPr="1111EBD7">
        <w:rPr>
          <w:rStyle w:val="Nenhum"/>
          <w:rFonts w:ascii="Bookman Old Style" w:eastAsia="Bookman Old Style" w:hAnsi="Bookman Old Style" w:cs="Bookman Old Style"/>
          <w:i/>
          <w:iCs/>
          <w:sz w:val="24"/>
          <w:szCs w:val="24"/>
        </w:rPr>
        <w:t xml:space="preserve"> in </w:t>
      </w:r>
      <w:proofErr w:type="spellStart"/>
      <w:r w:rsidRPr="1111EBD7">
        <w:rPr>
          <w:rStyle w:val="Nenhum"/>
          <w:rFonts w:ascii="Bookman Old Style" w:eastAsia="Bookman Old Style" w:hAnsi="Bookman Old Style" w:cs="Bookman Old Style"/>
          <w:i/>
          <w:iCs/>
          <w:sz w:val="24"/>
          <w:szCs w:val="24"/>
        </w:rPr>
        <w:t>re</w:t>
      </w:r>
      <w:proofErr w:type="spellEnd"/>
      <w:r w:rsidRPr="1111EBD7">
        <w:rPr>
          <w:rStyle w:val="Nenhum"/>
          <w:rFonts w:ascii="Bookman Old Style" w:eastAsia="Bookman Old Style" w:hAnsi="Bookman Old Style" w:cs="Bookman Old Style"/>
          <w:i/>
          <w:iCs/>
          <w:sz w:val="24"/>
          <w:szCs w:val="24"/>
        </w:rPr>
        <w:t xml:space="preserve"> </w:t>
      </w:r>
      <w:proofErr w:type="spellStart"/>
      <w:r w:rsidRPr="1111EBD7">
        <w:rPr>
          <w:rStyle w:val="Nenhum"/>
          <w:rFonts w:ascii="Bookman Old Style" w:eastAsia="Bookman Old Style" w:hAnsi="Bookman Old Style" w:cs="Bookman Old Style"/>
          <w:i/>
          <w:iCs/>
          <w:sz w:val="24"/>
          <w:szCs w:val="24"/>
        </w:rPr>
        <w:t>ipsa</w:t>
      </w:r>
      <w:proofErr w:type="spellEnd"/>
      <w:r w:rsidRPr="1111EBD7">
        <w:rPr>
          <w:rFonts w:ascii="Bookman Old Style" w:eastAsia="Bookman Old Style" w:hAnsi="Bookman Old Style" w:cs="Bookman Old Style"/>
          <w:lang w:val="pt-BR"/>
        </w:rPr>
        <w:t xml:space="preserve">. Afirma Ruggiero (STJ. </w:t>
      </w:r>
      <w:proofErr w:type="spellStart"/>
      <w:r w:rsidRPr="1111EBD7">
        <w:rPr>
          <w:rFonts w:ascii="Bookman Old Style" w:eastAsia="Bookman Old Style" w:hAnsi="Bookman Old Style" w:cs="Bookman Old Style"/>
          <w:lang w:val="pt-BR"/>
        </w:rPr>
        <w:t>REsp</w:t>
      </w:r>
      <w:proofErr w:type="spellEnd"/>
      <w:r w:rsidRPr="1111EBD7">
        <w:rPr>
          <w:rFonts w:ascii="Bookman Old Style" w:eastAsia="Bookman Old Style" w:hAnsi="Bookman Old Style" w:cs="Bookman Old Style"/>
          <w:lang w:val="pt-BR"/>
        </w:rPr>
        <w:t xml:space="preserve"> Nº. 608.918. 1ª Turma. Rel. Min. José Delgado. DJU 21/06/2004, p. 176) que “</w:t>
      </w:r>
      <w:r w:rsidRPr="1111EBD7">
        <w:rPr>
          <w:rStyle w:val="Nenhum"/>
          <w:rFonts w:ascii="Bookman Old Style" w:eastAsia="Bookman Old Style" w:hAnsi="Bookman Old Style" w:cs="Bookman Old Style"/>
          <w:b/>
          <w:bCs/>
          <w:i/>
          <w:iCs/>
          <w:sz w:val="24"/>
          <w:szCs w:val="24"/>
        </w:rPr>
        <w:t xml:space="preserve">Para o dano ser indenizável, basta a perturbação feita pelo ato ilícito nas relações psíquicas, na </w:t>
      </w:r>
      <w:proofErr w:type="spellStart"/>
      <w:r w:rsidRPr="1111EBD7">
        <w:rPr>
          <w:rStyle w:val="Nenhum"/>
          <w:rFonts w:ascii="Bookman Old Style" w:eastAsia="Bookman Old Style" w:hAnsi="Bookman Old Style" w:cs="Bookman Old Style"/>
          <w:b/>
          <w:bCs/>
          <w:i/>
          <w:iCs/>
          <w:sz w:val="24"/>
          <w:szCs w:val="24"/>
        </w:rPr>
        <w:t>tranqüilidade</w:t>
      </w:r>
      <w:proofErr w:type="spellEnd"/>
      <w:r w:rsidRPr="1111EBD7">
        <w:rPr>
          <w:rStyle w:val="Nenhum"/>
          <w:rFonts w:ascii="Bookman Old Style" w:eastAsia="Bookman Old Style" w:hAnsi="Bookman Old Style" w:cs="Bookman Old Style"/>
          <w:b/>
          <w:bCs/>
          <w:i/>
          <w:iCs/>
          <w:sz w:val="24"/>
          <w:szCs w:val="24"/>
        </w:rPr>
        <w:t xml:space="preserve">, nos sentimentos, nos afetos de uma pessoa, para produzir uma </w:t>
      </w:r>
      <w:r w:rsidRPr="1111EBD7">
        <w:rPr>
          <w:rStyle w:val="Nenhum"/>
          <w:rFonts w:ascii="Bookman Old Style" w:eastAsia="Bookman Old Style" w:hAnsi="Bookman Old Style" w:cs="Bookman Old Style"/>
          <w:b/>
          <w:bCs/>
          <w:i/>
          <w:iCs/>
          <w:sz w:val="24"/>
          <w:szCs w:val="24"/>
        </w:rPr>
        <w:lastRenderedPageBreak/>
        <w:t>diminuição no gozo do respectivo direito</w:t>
      </w:r>
      <w:r w:rsidRPr="1111EBD7">
        <w:rPr>
          <w:rFonts w:ascii="Bookman Old Style" w:eastAsia="Bookman Old Style" w:hAnsi="Bookman Old Style" w:cs="Bookman Old Style"/>
          <w:lang w:val="pt-BR"/>
        </w:rPr>
        <w:t>” (sic.).</w:t>
      </w:r>
    </w:p>
    <w:p w14:paraId="12E01009" w14:textId="18D8731A"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O célebre doutrinador, o Ínclito Jurista Ruggiero, leciona, em sua obra, menção a decisão do Superior Tribunal de Justiça da lavra do Eminente Ministro José Delgado: </w:t>
      </w:r>
    </w:p>
    <w:p w14:paraId="47D38F86" w14:textId="277699E7"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ind w:firstLine="1134"/>
        <w:jc w:val="both"/>
        <w:rPr>
          <w:rFonts w:ascii="Bookman Old Style" w:eastAsia="Bookman Old Style" w:hAnsi="Bookman Old Style" w:cs="Bookman Old Style"/>
          <w:color w:val="000000" w:themeColor="text1"/>
          <w:sz w:val="24"/>
          <w:szCs w:val="24"/>
        </w:rPr>
      </w:pPr>
    </w:p>
    <w:p w14:paraId="71DFB8AB" w14:textId="64BEB104"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Para o dano ser indenizável, basta a perturbação feita pelo ato ilícito nas relações psíquicas, na tranquilidade, nos sentimentos, nos afetos de uma pessoa, para produzir uma diminuição no gozo do respectivo direito.</w:t>
      </w:r>
    </w:p>
    <w:p w14:paraId="3A0C833F" w14:textId="7FF98038"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lang w:val="en-US"/>
        </w:rPr>
        <w:t xml:space="preserve">(STJ - </w:t>
      </w:r>
      <w:proofErr w:type="spellStart"/>
      <w:r w:rsidRPr="1111EBD7">
        <w:rPr>
          <w:rStyle w:val="Nenhum"/>
          <w:rFonts w:ascii="Bookman Old Style" w:eastAsia="Bookman Old Style" w:hAnsi="Bookman Old Style" w:cs="Bookman Old Style"/>
          <w:color w:val="000000" w:themeColor="text1"/>
          <w:sz w:val="20"/>
          <w:szCs w:val="20"/>
          <w:lang w:val="en-US"/>
        </w:rPr>
        <w:t>REsp</w:t>
      </w:r>
      <w:proofErr w:type="spellEnd"/>
      <w:r w:rsidRPr="1111EBD7">
        <w:rPr>
          <w:rStyle w:val="Nenhum"/>
          <w:rFonts w:ascii="Bookman Old Style" w:eastAsia="Bookman Old Style" w:hAnsi="Bookman Old Style" w:cs="Bookman Old Style"/>
          <w:color w:val="000000" w:themeColor="text1"/>
          <w:sz w:val="20"/>
          <w:szCs w:val="20"/>
          <w:lang w:val="en-US"/>
        </w:rPr>
        <w:t xml:space="preserve"> 608.918/RS - 1ª T. - Rel. </w:t>
      </w:r>
      <w:r w:rsidRPr="1111EBD7">
        <w:rPr>
          <w:rStyle w:val="Nenhum"/>
          <w:rFonts w:ascii="Bookman Old Style" w:eastAsia="Bookman Old Style" w:hAnsi="Bookman Old Style" w:cs="Bookman Old Style"/>
          <w:color w:val="000000" w:themeColor="text1"/>
          <w:sz w:val="20"/>
          <w:szCs w:val="20"/>
        </w:rPr>
        <w:t>Min. José Delgado. - DJU 21.06.2004 p. 176)</w:t>
      </w:r>
    </w:p>
    <w:p w14:paraId="6988FF6F" w14:textId="7438A061"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4"/>
          <w:szCs w:val="24"/>
        </w:rPr>
      </w:pPr>
    </w:p>
    <w:p w14:paraId="465E31CA" w14:textId="177295E3"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No mesmo sentido anota Antônio Herman de Vasconcelos e Benjamim (Código de Defesa do Consumidor: comentado pelos autores do anteprojeto. Ada Pellegrini </w:t>
      </w:r>
      <w:proofErr w:type="spellStart"/>
      <w:r w:rsidRPr="1111EBD7">
        <w:rPr>
          <w:rFonts w:ascii="Bookman Old Style" w:eastAsia="Bookman Old Style" w:hAnsi="Bookman Old Style" w:cs="Bookman Old Style"/>
          <w:lang w:val="pt-BR"/>
        </w:rPr>
        <w:t>Grinover</w:t>
      </w:r>
      <w:proofErr w:type="spellEnd"/>
      <w:r w:rsidRPr="1111EBD7">
        <w:rPr>
          <w:rFonts w:ascii="Bookman Old Style" w:eastAsia="Bookman Old Style" w:hAnsi="Bookman Old Style" w:cs="Bookman Old Style"/>
          <w:lang w:val="pt-BR"/>
        </w:rPr>
        <w:t xml:space="preserve"> (</w:t>
      </w:r>
      <w:r w:rsidRPr="1111EBD7">
        <w:rPr>
          <w:rStyle w:val="Nenhum"/>
          <w:rFonts w:ascii="Bookman Old Style" w:eastAsia="Bookman Old Style" w:hAnsi="Bookman Old Style" w:cs="Bookman Old Style"/>
          <w:i/>
          <w:iCs/>
          <w:sz w:val="24"/>
          <w:szCs w:val="24"/>
        </w:rPr>
        <w:t xml:space="preserve">et </w:t>
      </w:r>
      <w:proofErr w:type="spellStart"/>
      <w:r w:rsidRPr="1111EBD7">
        <w:rPr>
          <w:rStyle w:val="Nenhum"/>
          <w:rFonts w:ascii="Bookman Old Style" w:eastAsia="Bookman Old Style" w:hAnsi="Bookman Old Style" w:cs="Bookman Old Style"/>
          <w:i/>
          <w:iCs/>
          <w:sz w:val="24"/>
          <w:szCs w:val="24"/>
        </w:rPr>
        <w:t>alli</w:t>
      </w:r>
      <w:proofErr w:type="spellEnd"/>
      <w:r w:rsidRPr="1111EBD7">
        <w:rPr>
          <w:rFonts w:ascii="Bookman Old Style" w:eastAsia="Bookman Old Style" w:hAnsi="Bookman Old Style" w:cs="Bookman Old Style"/>
          <w:lang w:val="pt-BR"/>
        </w:rPr>
        <w:t>), 8ª ed. Rio de Janeiro, Forense, 2004).</w:t>
      </w:r>
    </w:p>
    <w:p w14:paraId="4379CBE3" w14:textId="23A51255"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ind w:firstLine="1134"/>
        <w:jc w:val="both"/>
        <w:rPr>
          <w:rFonts w:ascii="Bookman Old Style" w:eastAsia="Bookman Old Style" w:hAnsi="Bookman Old Style" w:cs="Bookman Old Style"/>
          <w:color w:val="000000" w:themeColor="text1"/>
          <w:sz w:val="24"/>
          <w:szCs w:val="24"/>
        </w:rPr>
      </w:pPr>
    </w:p>
    <w:p w14:paraId="50FA0CE1" w14:textId="6B39C48B" w:rsidR="00840F32" w:rsidRDefault="2C54D56F" w:rsidP="1111EBD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40" w:after="0" w:line="360" w:lineRule="auto"/>
        <w:ind w:left="907" w:hanging="907"/>
        <w:jc w:val="both"/>
        <w:rPr>
          <w:rFonts w:ascii="Bookman Old Style" w:eastAsia="Bookman Old Style" w:hAnsi="Bookman Old Style" w:cs="Bookman Old Style"/>
          <w:color w:val="000000" w:themeColor="text1"/>
          <w:sz w:val="24"/>
          <w:szCs w:val="24"/>
        </w:rPr>
      </w:pPr>
      <w:r w:rsidRPr="1111EBD7">
        <w:rPr>
          <w:rStyle w:val="Nenhum"/>
          <w:rFonts w:ascii="Bookman Old Style" w:eastAsia="Bookman Old Style" w:hAnsi="Bookman Old Style" w:cs="Bookman Old Style"/>
          <w:b/>
          <w:bCs/>
          <w:color w:val="000000" w:themeColor="text1"/>
          <w:sz w:val="24"/>
          <w:szCs w:val="24"/>
        </w:rPr>
        <w:t>3.8 - DA QUANTIFICAÇÃO DO DANO</w:t>
      </w:r>
    </w:p>
    <w:p w14:paraId="228A47CE" w14:textId="747FE24E"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Em que pese o grau de subjetivismo que envolve o tema da fixação da reparação, vez que não existem critérios determinados e fixos para a quantificação do dano moral; além do que revela-se como sendo impossível recompor a dor em seu sentido literal, eis que esta não tem preço e não pode ser quantificada ou mensurada de qualquer forma; sendo, a indenização por danos estéticos, morais, ou à imagem, uma mera compensação à vítima pela dor que lhe foi injustamente causada, visando atenuar a dor, a humilhação e o vexame sofrido; e tendo uma faceta ainda mais nobre, dado seu caráter pedagógico-punitivo, onde visa não apenas minimizar o sofrimento da vítima, mas também almeja </w:t>
      </w:r>
      <w:r w:rsidRPr="1111EBD7">
        <w:rPr>
          <w:rFonts w:ascii="Bookman Old Style" w:eastAsia="Bookman Old Style" w:hAnsi="Bookman Old Style" w:cs="Bookman Old Style"/>
          <w:lang w:val="pt-BR"/>
        </w:rPr>
        <w:lastRenderedPageBreak/>
        <w:t>estabelecer certa punição ao agente causador do dano, e, em simultâneo, reprimir a prática de condutas lesivas por parte deste, de forma que tais atos não venham mais a se repetir.</w:t>
      </w:r>
    </w:p>
    <w:p w14:paraId="48896D2A" w14:textId="0DBE7491"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É neste diapasão que Carlos Alberto Bittar nos instrui:</w:t>
      </w:r>
    </w:p>
    <w:p w14:paraId="2EC8BBFF" w14:textId="1F3871BF"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360" w:lineRule="auto"/>
        <w:ind w:firstLine="4819"/>
        <w:jc w:val="both"/>
        <w:rPr>
          <w:rFonts w:ascii="Bookman Old Style" w:eastAsia="Bookman Old Style" w:hAnsi="Bookman Old Style" w:cs="Bookman Old Style"/>
          <w:color w:val="000000" w:themeColor="text1"/>
          <w:sz w:val="24"/>
          <w:szCs w:val="24"/>
        </w:rPr>
      </w:pPr>
    </w:p>
    <w:p w14:paraId="46A407AE" w14:textId="55FCEBE1"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240" w:lineRule="auto"/>
        <w:ind w:left="2268"/>
        <w:jc w:val="both"/>
        <w:rPr>
          <w:rFonts w:ascii="Bookman Old Style" w:eastAsia="Bookman Old Style" w:hAnsi="Bookman Old Style" w:cs="Bookman Old Style"/>
          <w:color w:val="000000" w:themeColor="text1"/>
          <w:sz w:val="20"/>
          <w:szCs w:val="20"/>
        </w:rPr>
      </w:pPr>
      <w:r w:rsidRPr="1111EBD7">
        <w:rPr>
          <w:rStyle w:val="Nenhum"/>
          <w:rFonts w:ascii="Bookman Old Style" w:eastAsia="Bookman Old Style" w:hAnsi="Bookman Old Style" w:cs="Bookman Old Style"/>
          <w:color w:val="000000" w:themeColor="text1"/>
          <w:sz w:val="20"/>
          <w:szCs w:val="20"/>
        </w:rPr>
        <w:t>Danos morais são lesões sofridas pelas pessoas, físicas ou jurídicas, em certos aspectos de sua personalidade, em razão de investidas injustas de outrem. São aqueles que atingem a moralidade e a afetividade da pessoa, causando-lhe constrangimentos, vexames, dores, enfim, sentimentos e sensações negativas. Contrapõem-se aos danos denominados materiais, que são prejuízos suportados no âmbito patrimonial do lesado. Mas podem ambos conviver, em determinadas situações, sempre que os atos agressivos alcancem a esfera geral da vítima, como, dentre outros, nos casos de morte de parente próximo em acidente, ataque à honra alheia pela imprensa, violação à imagem em publicidade, reprodução indevida de obra intelectual alheia em atividade de fim econômico, e assim por diante. Os danos morais atingem, pois, as esferas íntima e valorativa do lesado, enquanto os materiais constituem reflexos negativos no patrimônio alheio. Mas ambos são suscetíveis de gerar reparação, na órbita civil, dentro da teoria da responsabilidade civil.</w:t>
      </w:r>
    </w:p>
    <w:p w14:paraId="3A878383" w14:textId="5CD0BB2E"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after="0" w:line="240" w:lineRule="auto"/>
        <w:ind w:left="2268"/>
        <w:jc w:val="both"/>
        <w:rPr>
          <w:rFonts w:ascii="Bookman Old Style" w:eastAsia="Bookman Old Style" w:hAnsi="Bookman Old Style" w:cs="Bookman Old Style"/>
          <w:color w:val="000000" w:themeColor="text1"/>
          <w:sz w:val="20"/>
          <w:szCs w:val="20"/>
        </w:rPr>
      </w:pPr>
    </w:p>
    <w:p w14:paraId="60BE7C09" w14:textId="0A63DA15"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E na aferição do quantum indenizatório, Clayton Reis (Avaliação do Dano Moral, 1998, Forense), em suas conclusões, assevera que deve ser levado em conta o grau de compreensão das pessoas sobre os seus direitos e obrigações, pois “</w:t>
      </w:r>
      <w:r w:rsidRPr="1111EBD7">
        <w:rPr>
          <w:rStyle w:val="Nenhum"/>
          <w:rFonts w:ascii="Bookman Old Style" w:eastAsia="Bookman Old Style" w:hAnsi="Bookman Old Style" w:cs="Bookman Old Style"/>
          <w:b/>
          <w:bCs/>
          <w:i/>
          <w:iCs/>
          <w:sz w:val="24"/>
          <w:szCs w:val="24"/>
        </w:rPr>
        <w:t>quanto maior, maior será a sua responsabilidade no cometimento de atos ilícitos e, por dedução lógica, maior será o grau de apenamento quando ele romper com o equilíbrio necessário na condução de sua vida social</w:t>
      </w:r>
      <w:r w:rsidRPr="1111EBD7">
        <w:rPr>
          <w:rFonts w:ascii="Bookman Old Style" w:eastAsia="Bookman Old Style" w:hAnsi="Bookman Old Style" w:cs="Bookman Old Style"/>
          <w:lang w:val="pt-BR"/>
        </w:rPr>
        <w:t xml:space="preserve">”. </w:t>
      </w:r>
      <w:proofErr w:type="gramStart"/>
      <w:r w:rsidRPr="1111EBD7">
        <w:rPr>
          <w:rFonts w:ascii="Bookman Old Style" w:eastAsia="Bookman Old Style" w:hAnsi="Bookman Old Style" w:cs="Bookman Old Style"/>
          <w:lang w:val="pt-BR"/>
        </w:rPr>
        <w:t>Continua, dizendo</w:t>
      </w:r>
      <w:proofErr w:type="gramEnd"/>
      <w:r w:rsidRPr="1111EBD7">
        <w:rPr>
          <w:rFonts w:ascii="Bookman Old Style" w:eastAsia="Bookman Old Style" w:hAnsi="Bookman Old Style" w:cs="Bookman Old Style"/>
          <w:lang w:val="pt-BR"/>
        </w:rPr>
        <w:t xml:space="preserve"> que “</w:t>
      </w:r>
      <w:r w:rsidRPr="1111EBD7">
        <w:rPr>
          <w:rStyle w:val="Nenhum"/>
          <w:rFonts w:ascii="Bookman Old Style" w:eastAsia="Bookman Old Style" w:hAnsi="Bookman Old Style" w:cs="Bookman Old Style"/>
          <w:b/>
          <w:bCs/>
          <w:i/>
          <w:iCs/>
          <w:sz w:val="24"/>
          <w:szCs w:val="24"/>
        </w:rPr>
        <w:t xml:space="preserve">dentro do preceito do ‘in dubio pro </w:t>
      </w:r>
      <w:proofErr w:type="spellStart"/>
      <w:r w:rsidRPr="1111EBD7">
        <w:rPr>
          <w:rStyle w:val="Nenhum"/>
          <w:rFonts w:ascii="Bookman Old Style" w:eastAsia="Bookman Old Style" w:hAnsi="Bookman Old Style" w:cs="Bookman Old Style"/>
          <w:b/>
          <w:bCs/>
          <w:i/>
          <w:iCs/>
          <w:sz w:val="24"/>
          <w:szCs w:val="24"/>
        </w:rPr>
        <w:t>creditori</w:t>
      </w:r>
      <w:proofErr w:type="spellEnd"/>
      <w:r w:rsidRPr="1111EBD7">
        <w:rPr>
          <w:rStyle w:val="Nenhum"/>
          <w:rFonts w:ascii="Bookman Old Style" w:eastAsia="Bookman Old Style" w:hAnsi="Bookman Old Style" w:cs="Bookman Old Style"/>
          <w:b/>
          <w:bCs/>
          <w:i/>
          <w:iCs/>
          <w:sz w:val="24"/>
          <w:szCs w:val="24"/>
        </w:rPr>
        <w:t xml:space="preserve">’ consubstanciada na norma do art. 948 do Código Civil Brasileiro, o importante é que o lesado, a principal parte do processo indenizatório seja integralmente satisfeito, de forma que </w:t>
      </w:r>
      <w:r w:rsidRPr="1111EBD7">
        <w:rPr>
          <w:rStyle w:val="Nenhum"/>
          <w:rFonts w:ascii="Bookman Old Style" w:eastAsia="Bookman Old Style" w:hAnsi="Bookman Old Style" w:cs="Bookman Old Style"/>
          <w:b/>
          <w:bCs/>
          <w:i/>
          <w:iCs/>
          <w:sz w:val="24"/>
          <w:szCs w:val="24"/>
        </w:rPr>
        <w:lastRenderedPageBreak/>
        <w:t>a compensação corresponda ao seu direito maculado pela ação lesiva</w:t>
      </w:r>
      <w:r w:rsidRPr="1111EBD7">
        <w:rPr>
          <w:rFonts w:ascii="Bookman Old Style" w:eastAsia="Bookman Old Style" w:hAnsi="Bookman Old Style" w:cs="Bookman Old Style"/>
          <w:lang w:val="pt-BR"/>
        </w:rPr>
        <w:t xml:space="preserve">.” </w:t>
      </w:r>
    </w:p>
    <w:p w14:paraId="367D0E23" w14:textId="23C04A2B"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É de conhecimento de toda a ordem jurídica que o julgador, a par da realidade fática e das implicações do </w:t>
      </w:r>
      <w:r w:rsidRPr="1111EBD7">
        <w:rPr>
          <w:rStyle w:val="Nenhum"/>
          <w:rFonts w:ascii="Bookman Old Style" w:eastAsia="Bookman Old Style" w:hAnsi="Bookman Old Style" w:cs="Bookman Old Style"/>
          <w:i/>
          <w:iCs/>
          <w:sz w:val="24"/>
          <w:szCs w:val="24"/>
        </w:rPr>
        <w:t>decisum</w:t>
      </w:r>
      <w:r w:rsidRPr="1111EBD7">
        <w:rPr>
          <w:rFonts w:ascii="Bookman Old Style" w:eastAsia="Bookman Old Style" w:hAnsi="Bookman Old Style" w:cs="Bookman Old Style"/>
          <w:lang w:val="pt-BR"/>
        </w:rPr>
        <w:t xml:space="preserve"> precisa atentar para o fato que se a indenização for de valor irrisório, se reverterá em humilhação e implicará um sofrimento moral às vezes semelhante ao que se pretende indenizar, posto permitir subentender que a dor da </w:t>
      </w:r>
      <w:r w:rsidRPr="1111EBD7">
        <w:rPr>
          <w:rStyle w:val="Nenhum"/>
          <w:rFonts w:ascii="Bookman Old Style" w:eastAsia="Bookman Old Style" w:hAnsi="Bookman Old Style" w:cs="Bookman Old Style"/>
          <w:b/>
          <w:bCs/>
          <w:sz w:val="24"/>
          <w:szCs w:val="24"/>
        </w:rPr>
        <w:t>REQUERENTE</w:t>
      </w:r>
      <w:r w:rsidRPr="1111EBD7">
        <w:rPr>
          <w:rFonts w:ascii="Bookman Old Style" w:eastAsia="Bookman Old Style" w:hAnsi="Bookman Old Style" w:cs="Bookman Old Style"/>
          <w:lang w:val="pt-BR"/>
        </w:rPr>
        <w:t xml:space="preserve">, é de pouca valia, que de pouco vale seu sofrimento e os transtornos por ele experimentados. Por outro lado, se for exorbitante o </w:t>
      </w:r>
      <w:r w:rsidRPr="1111EBD7">
        <w:rPr>
          <w:rStyle w:val="Nenhum"/>
          <w:rFonts w:ascii="Bookman Old Style" w:eastAsia="Bookman Old Style" w:hAnsi="Bookman Old Style" w:cs="Bookman Old Style"/>
          <w:i/>
          <w:iCs/>
          <w:sz w:val="24"/>
          <w:szCs w:val="24"/>
        </w:rPr>
        <w:t>quantum</w:t>
      </w:r>
      <w:r w:rsidRPr="1111EBD7">
        <w:rPr>
          <w:rFonts w:ascii="Bookman Old Style" w:eastAsia="Bookman Old Style" w:hAnsi="Bookman Old Style" w:cs="Bookman Old Style"/>
          <w:lang w:val="pt-BR"/>
        </w:rPr>
        <w:t xml:space="preserve"> indenizatório fixado, será o consagrar da imoralidade e há de representar corolário do locupletamento ilícito externado pelo enriquecimento imoderado.</w:t>
      </w:r>
    </w:p>
    <w:p w14:paraId="1ACCB20B" w14:textId="7ED73D87"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Nesta esteira, a reparação, ao mesmo tempo que não deve permitir o enriquecimento injustificado do lesado, não pode ser fixada em valor insignificante, pois deve servir de reprimenda para evitar a repetição da conduta abusiva.</w:t>
      </w:r>
    </w:p>
    <w:p w14:paraId="3A746119" w14:textId="3F1EAA27"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Outro fator a ser levado em consideração é o caráter pedagógico da medida, a fim de que seja evitada a prática do </w:t>
      </w:r>
      <w:r w:rsidRPr="1111EBD7">
        <w:rPr>
          <w:rStyle w:val="Nenhum"/>
          <w:rFonts w:ascii="Bookman Old Style" w:eastAsia="Bookman Old Style" w:hAnsi="Bookman Old Style" w:cs="Bookman Old Style"/>
          <w:b/>
          <w:bCs/>
          <w:sz w:val="24"/>
          <w:szCs w:val="24"/>
        </w:rPr>
        <w:t>REQUERIDO</w:t>
      </w:r>
      <w:r w:rsidRPr="1111EBD7">
        <w:rPr>
          <w:rFonts w:ascii="Bookman Old Style" w:eastAsia="Bookman Old Style" w:hAnsi="Bookman Old Style" w:cs="Bookman Old Style"/>
          <w:lang w:val="pt-BR"/>
        </w:rPr>
        <w:t>, de outros ilícitos da mesma natureza.</w:t>
      </w:r>
    </w:p>
    <w:p w14:paraId="1DF4C094" w14:textId="5D988FA6"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24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Assim, a fim de se proceder ao arbitramento do valor indenizatório, mais uma vez socorre-se das sábias palavras de Carlos Alberto Bittar, (Reparação Civil por danos morais, Revista de </w:t>
      </w:r>
      <w:proofErr w:type="gramStart"/>
      <w:r w:rsidRPr="1111EBD7">
        <w:rPr>
          <w:rFonts w:ascii="Bookman Old Style" w:eastAsia="Bookman Old Style" w:hAnsi="Bookman Old Style" w:cs="Bookman Old Style"/>
          <w:lang w:val="pt-BR"/>
        </w:rPr>
        <w:t>Jurisprudência  dos</w:t>
      </w:r>
      <w:proofErr w:type="gramEnd"/>
      <w:r w:rsidRPr="1111EBD7">
        <w:rPr>
          <w:rFonts w:ascii="Bookman Old Style" w:eastAsia="Bookman Old Style" w:hAnsi="Bookman Old Style" w:cs="Bookman Old Style"/>
          <w:lang w:val="pt-BR"/>
        </w:rPr>
        <w:t xml:space="preserve"> Tribunais de Alçada Cível de São Paulo, set./out. 1994, vol. 147, p. 11), o qual leciona que, na fixação do “</w:t>
      </w:r>
      <w:r w:rsidRPr="1111EBD7">
        <w:rPr>
          <w:rStyle w:val="Nenhum"/>
          <w:rFonts w:ascii="Bookman Old Style" w:eastAsia="Bookman Old Style" w:hAnsi="Bookman Old Style" w:cs="Bookman Old Style"/>
          <w:i/>
          <w:iCs/>
          <w:sz w:val="24"/>
          <w:szCs w:val="24"/>
        </w:rPr>
        <w:t>quantum</w:t>
      </w:r>
      <w:r w:rsidRPr="1111EBD7">
        <w:rPr>
          <w:rFonts w:ascii="Bookman Old Style" w:eastAsia="Bookman Old Style" w:hAnsi="Bookman Old Style" w:cs="Bookman Old Style"/>
          <w:lang w:val="pt-BR"/>
        </w:rPr>
        <w:t xml:space="preserve"> devido”, a título de dano moral, deve o julgador atentar para:</w:t>
      </w:r>
    </w:p>
    <w:p w14:paraId="6FEF49A9" w14:textId="652B9FDA"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firstLine="4819"/>
        <w:jc w:val="both"/>
        <w:rPr>
          <w:rFonts w:ascii="Bookman Old Style" w:eastAsia="Bookman Old Style" w:hAnsi="Bookman Old Style" w:cs="Bookman Old Style"/>
          <w:color w:val="000000" w:themeColor="text1"/>
          <w:sz w:val="24"/>
          <w:szCs w:val="24"/>
        </w:rPr>
      </w:pPr>
    </w:p>
    <w:p w14:paraId="1FD22D1B" w14:textId="07FEA2F5"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168" w:lineRule="auto"/>
        <w:ind w:firstLine="4819"/>
        <w:jc w:val="both"/>
        <w:rPr>
          <w:rFonts w:ascii="Bookman Old Style" w:eastAsia="Bookman Old Style" w:hAnsi="Bookman Old Style" w:cs="Bookman Old Style"/>
          <w:color w:val="000000" w:themeColor="text1"/>
          <w:sz w:val="24"/>
          <w:szCs w:val="24"/>
        </w:rPr>
      </w:pPr>
    </w:p>
    <w:p w14:paraId="58F21F9D" w14:textId="76C45318"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lastRenderedPageBreak/>
        <w:t xml:space="preserve">a) As condições das partes; </w:t>
      </w:r>
    </w:p>
    <w:p w14:paraId="03514435" w14:textId="3EDC1D51"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t>b) A gravidade da lesão e sua repercussão;</w:t>
      </w:r>
    </w:p>
    <w:p w14:paraId="00ECCC37" w14:textId="71749E4D"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t xml:space="preserve">c) As circunstâncias fáticas. </w:t>
      </w:r>
    </w:p>
    <w:p w14:paraId="62067E90" w14:textId="6403BA2D"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p>
    <w:p w14:paraId="414E2B58" w14:textId="55E41A51"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 xml:space="preserve">Afirma ainda que lhe parece de bom alvitre analisar primeiro: </w:t>
      </w:r>
    </w:p>
    <w:p w14:paraId="7A054901" w14:textId="339D8C37"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firstLine="1134"/>
        <w:jc w:val="both"/>
        <w:rPr>
          <w:rFonts w:ascii="Bookman Old Style" w:eastAsia="Bookman Old Style" w:hAnsi="Bookman Old Style" w:cs="Bookman Old Style"/>
          <w:color w:val="000000" w:themeColor="text1"/>
          <w:sz w:val="24"/>
          <w:szCs w:val="24"/>
        </w:rPr>
      </w:pPr>
    </w:p>
    <w:p w14:paraId="61818B06" w14:textId="72D82A31"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t>a) A repercussão na esfera do lesado;</w:t>
      </w:r>
    </w:p>
    <w:p w14:paraId="71889882" w14:textId="61183574"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t xml:space="preserve">b) O potencial econômico-social do lesante; </w:t>
      </w:r>
    </w:p>
    <w:p w14:paraId="6E162231" w14:textId="18196562" w:rsidR="00840F32" w:rsidRDefault="2C54D56F"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left="737"/>
        <w:jc w:val="both"/>
        <w:rPr>
          <w:rFonts w:ascii="Bookman Old Style" w:eastAsia="Bookman Old Style" w:hAnsi="Bookman Old Style" w:cs="Bookman Old Style"/>
          <w:color w:val="000000" w:themeColor="text1"/>
          <w:sz w:val="24"/>
          <w:szCs w:val="24"/>
        </w:rPr>
      </w:pPr>
      <w:r w:rsidRPr="1111EBD7">
        <w:rPr>
          <w:rStyle w:val="Hyperlink0"/>
          <w:rFonts w:ascii="Bookman Old Style" w:eastAsia="Bookman Old Style" w:hAnsi="Bookman Old Style" w:cs="Bookman Old Style"/>
          <w:color w:val="000000" w:themeColor="text1"/>
        </w:rPr>
        <w:t>c) As circunstâncias do caso.</w:t>
      </w:r>
    </w:p>
    <w:p w14:paraId="51FB9DE0" w14:textId="20DB63BD"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firstLine="1134"/>
        <w:jc w:val="both"/>
        <w:rPr>
          <w:rFonts w:ascii="Bookman Old Style" w:eastAsia="Bookman Old Style" w:hAnsi="Bookman Old Style" w:cs="Bookman Old Style"/>
          <w:color w:val="000000" w:themeColor="text1"/>
          <w:sz w:val="24"/>
          <w:szCs w:val="24"/>
        </w:rPr>
      </w:pPr>
    </w:p>
    <w:p w14:paraId="4CD454A5" w14:textId="44CB3CAD"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A fim de poder, in fine, definir o valor da indenização, alcançando-se, assim, os resultados próprios: compensação a um e sancionamento ao outro.</w:t>
      </w:r>
    </w:p>
    <w:p w14:paraId="18228CAF" w14:textId="07A11647"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Cumpre ressaltar, que os descontos indevidos através do débito automático, de fato, ocasionaram momentos de ansiedade, aflição, transtornos e angústia ao requerente, devendo ser reformada a sentença quanto ao ponto, para julgar procedente a pretensão indenizatória do autor</w:t>
      </w:r>
      <w:r w:rsidRPr="1111EBD7">
        <w:rPr>
          <w:rFonts w:ascii="Bookman Old Style" w:eastAsia="Bookman Old Style" w:hAnsi="Bookman Old Style" w:cs="Bookman Old Style"/>
          <w:color w:val="000000" w:themeColor="text1"/>
          <w:sz w:val="24"/>
          <w:szCs w:val="24"/>
        </w:rPr>
        <w:t>.</w:t>
      </w:r>
    </w:p>
    <w:p w14:paraId="684EC967" w14:textId="3533B6B4"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Segundo entendimentos</w:t>
      </w:r>
    </w:p>
    <w:p w14:paraId="2F000F91" w14:textId="363916ED"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EMENTA: DIREITO DO CONSUMIDOR. EMPRÉSTIMO CONSIGNADO. AUSÊNCIA DE CONTRATAÇÃO VÁLIDA. DESCONTOS INDEVIDOS EM BENEFÍCIO PREVIDENCIÁRIO. VERBA ALIMENTAR. DANOS MORAIS. CARACTERIZAÇÃO. QUANTIFICAÇÃO. PRINCÍPIOS DA RAZOABILIDADE E PROPORCIONALIDADE. OBSERVÂNCIA. RECURSO DESPROVIDO. </w:t>
      </w:r>
    </w:p>
    <w:p w14:paraId="5993583C" w14:textId="16F41DFA"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1. Evidencia-se a irregularidade dos descontos efetuados sobre benefício previdenciário, alusivos a empréstimo ou cartão não contratados. </w:t>
      </w:r>
    </w:p>
    <w:p w14:paraId="5AC29D2E" w14:textId="1EB33754"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rPr>
        <w:t xml:space="preserve">2. Conforme precedentes do Superior Tribunal de Justiça, a realização de descontos mensais indevidos sobre benefício previdenciário dá ensejo à indenização por dano moral, </w:t>
      </w:r>
      <w:r w:rsidRPr="1111EBD7">
        <w:rPr>
          <w:rFonts w:ascii="Bookman Old Style" w:eastAsia="Bookman Old Style" w:hAnsi="Bookman Old Style" w:cs="Bookman Old Style"/>
          <w:b/>
          <w:bCs/>
          <w:color w:val="000000" w:themeColor="text1"/>
          <w:sz w:val="20"/>
          <w:szCs w:val="20"/>
        </w:rPr>
        <w:lastRenderedPageBreak/>
        <w:t xml:space="preserve">notadamente em se considerando o caráter alimentar dos proventos de aposentadoria e pensões. </w:t>
      </w:r>
    </w:p>
    <w:p w14:paraId="52DBD595" w14:textId="29B5CA3E"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3. O valor da indenização por dano moral deve ser arbitrado em consonância com os princípios da razoabilidade e da proporcionalidade, promovendo de modo justo a compensação do ofendido e a punição do ofensor. (TJMG - Apelação Cível 1.0453.18.004199-9/001, Relator(a): Des.(a) Cabral da </w:t>
      </w:r>
      <w:proofErr w:type="gramStart"/>
      <w:r w:rsidRPr="1111EBD7">
        <w:rPr>
          <w:rFonts w:ascii="Bookman Old Style" w:eastAsia="Bookman Old Style" w:hAnsi="Bookman Old Style" w:cs="Bookman Old Style"/>
          <w:color w:val="000000" w:themeColor="text1"/>
          <w:sz w:val="20"/>
          <w:szCs w:val="20"/>
        </w:rPr>
        <w:t>Silva ,</w:t>
      </w:r>
      <w:proofErr w:type="gramEnd"/>
      <w:r w:rsidRPr="1111EBD7">
        <w:rPr>
          <w:rFonts w:ascii="Bookman Old Style" w:eastAsia="Bookman Old Style" w:hAnsi="Bookman Old Style" w:cs="Bookman Old Style"/>
          <w:color w:val="000000" w:themeColor="text1"/>
          <w:sz w:val="20"/>
          <w:szCs w:val="20"/>
        </w:rPr>
        <w:t xml:space="preserve"> 10ª CÂMARA CÍVEL, julgamento em 21/09/2021, publicação da súmula em 28/09/2021)</w:t>
      </w:r>
    </w:p>
    <w:p w14:paraId="69430B21" w14:textId="538AA10B" w:rsidR="00840F32" w:rsidRDefault="00840F32" w:rsidP="1111EBD7">
      <w:pPr>
        <w:spacing w:after="160" w:line="259" w:lineRule="auto"/>
        <w:ind w:left="2268"/>
        <w:jc w:val="both"/>
        <w:rPr>
          <w:rFonts w:ascii="Bookman Old Style" w:eastAsia="Bookman Old Style" w:hAnsi="Bookman Old Style" w:cs="Bookman Old Style"/>
          <w:color w:val="000000" w:themeColor="text1"/>
          <w:sz w:val="20"/>
          <w:szCs w:val="20"/>
        </w:rPr>
      </w:pPr>
    </w:p>
    <w:p w14:paraId="6EC29A58" w14:textId="425CED11"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Em relação ao montante da indenização, sabe-se que deve ser estipulado pelo magistrado de forma equitativa, de modo que não seja alto a ponto de importar em enriquecimento sem causa da vítima, nem baixo, sob pena de não produzir no causador do dano a sensação de punição que o leve a deixar de praticar atos similares. </w:t>
      </w:r>
    </w:p>
    <w:p w14:paraId="6F1B57B2" w14:textId="4765D6A6"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 respeito da reparação pecuniária em virtude do dano moral, Pablo </w:t>
      </w:r>
      <w:proofErr w:type="spellStart"/>
      <w:r w:rsidRPr="1111EBD7">
        <w:rPr>
          <w:rFonts w:ascii="Bookman Old Style" w:eastAsia="Bookman Old Style" w:hAnsi="Bookman Old Style" w:cs="Bookman Old Style"/>
          <w:color w:val="000000" w:themeColor="text1"/>
          <w:sz w:val="24"/>
          <w:szCs w:val="24"/>
        </w:rPr>
        <w:t>Stolze</w:t>
      </w:r>
      <w:proofErr w:type="spellEnd"/>
      <w:r w:rsidRPr="1111EBD7">
        <w:rPr>
          <w:rFonts w:ascii="Bookman Old Style" w:eastAsia="Bookman Old Style" w:hAnsi="Bookman Old Style" w:cs="Bookman Old Style"/>
          <w:color w:val="000000" w:themeColor="text1"/>
          <w:sz w:val="24"/>
          <w:szCs w:val="24"/>
        </w:rPr>
        <w:t xml:space="preserve"> </w:t>
      </w:r>
      <w:proofErr w:type="spellStart"/>
      <w:r w:rsidRPr="1111EBD7">
        <w:rPr>
          <w:rFonts w:ascii="Bookman Old Style" w:eastAsia="Bookman Old Style" w:hAnsi="Bookman Old Style" w:cs="Bookman Old Style"/>
          <w:color w:val="000000" w:themeColor="text1"/>
          <w:sz w:val="24"/>
          <w:szCs w:val="24"/>
        </w:rPr>
        <w:t>Gagliano</w:t>
      </w:r>
      <w:proofErr w:type="spellEnd"/>
      <w:r w:rsidRPr="1111EBD7">
        <w:rPr>
          <w:rFonts w:ascii="Bookman Old Style" w:eastAsia="Bookman Old Style" w:hAnsi="Bookman Old Style" w:cs="Bookman Old Style"/>
          <w:color w:val="000000" w:themeColor="text1"/>
          <w:sz w:val="24"/>
          <w:szCs w:val="24"/>
        </w:rPr>
        <w:t xml:space="preserve"> e Rodolfo Pamplona Filho lecionam:</w:t>
      </w:r>
    </w:p>
    <w:p w14:paraId="38260711" w14:textId="7CD6E9B0"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Na reparação do dano moral, o dinheiro não desempenha função de equivalência, como no dano material, mas, sim, função satisfatória. </w:t>
      </w:r>
    </w:p>
    <w:p w14:paraId="050E3268" w14:textId="62E81A61"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Quando a vítima reclama a reparação pecuniária em virtude do dano moral que recai, por exemplo, em sua honra, nome profissional e família, não está definitivamente pedindo o chamado </w:t>
      </w:r>
      <w:proofErr w:type="spellStart"/>
      <w:r w:rsidRPr="1111EBD7">
        <w:rPr>
          <w:rFonts w:ascii="Bookman Old Style" w:eastAsia="Bookman Old Style" w:hAnsi="Bookman Old Style" w:cs="Bookman Old Style"/>
          <w:color w:val="000000" w:themeColor="text1"/>
          <w:sz w:val="20"/>
          <w:szCs w:val="20"/>
        </w:rPr>
        <w:t>pretio</w:t>
      </w:r>
      <w:proofErr w:type="spellEnd"/>
      <w:r w:rsidRPr="1111EBD7">
        <w:rPr>
          <w:rFonts w:ascii="Bookman Old Style" w:eastAsia="Bookman Old Style" w:hAnsi="Bookman Old Style" w:cs="Bookman Old Style"/>
          <w:color w:val="000000" w:themeColor="text1"/>
          <w:sz w:val="20"/>
          <w:szCs w:val="20"/>
        </w:rPr>
        <w:t xml:space="preserve"> </w:t>
      </w:r>
      <w:proofErr w:type="spellStart"/>
      <w:r w:rsidRPr="1111EBD7">
        <w:rPr>
          <w:rFonts w:ascii="Bookman Old Style" w:eastAsia="Bookman Old Style" w:hAnsi="Bookman Old Style" w:cs="Bookman Old Style"/>
          <w:color w:val="000000" w:themeColor="text1"/>
          <w:sz w:val="20"/>
          <w:szCs w:val="20"/>
        </w:rPr>
        <w:t>doloris</w:t>
      </w:r>
      <w:proofErr w:type="spellEnd"/>
      <w:r w:rsidRPr="1111EBD7">
        <w:rPr>
          <w:rFonts w:ascii="Bookman Old Style" w:eastAsia="Bookman Old Style" w:hAnsi="Bookman Old Style" w:cs="Bookman Old Style"/>
          <w:color w:val="000000" w:themeColor="text1"/>
          <w:sz w:val="20"/>
          <w:szCs w:val="20"/>
        </w:rPr>
        <w:t xml:space="preserve">, mas apenas que se lhe propicie uma forma de atenuar, de modo razoável, as consequências do prejuízo sofrido, ao mesmo tempo em que pretende a punição do lesante. </w:t>
      </w:r>
    </w:p>
    <w:p w14:paraId="5CCEDD16" w14:textId="7E49C6AD"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Dessa forma, resta claro que a natureza jurídica da reparação do dano moral é sancionadora (como consequência de um ato ilícito), mas não se materializa através de uma "pena civil", e sim por meio de uma compensação material ao lesado, sem prejuízo, obviamente, das outras funções acessórias da reparação civil. (Novo curso de direito civil, v. 3, responsabilidade civil. 17ª ed. São Paulo: 2019, p. 134)</w:t>
      </w:r>
    </w:p>
    <w:p w14:paraId="32DC3B54" w14:textId="1DC946D7" w:rsidR="00840F32" w:rsidRDefault="00840F32" w:rsidP="1111EBD7">
      <w:pPr>
        <w:spacing w:after="160" w:line="259" w:lineRule="auto"/>
        <w:ind w:left="2268"/>
        <w:jc w:val="both"/>
        <w:rPr>
          <w:rFonts w:ascii="Bookman Old Style" w:eastAsia="Bookman Old Style" w:hAnsi="Bookman Old Style" w:cs="Bookman Old Style"/>
          <w:color w:val="000000" w:themeColor="text1"/>
          <w:sz w:val="20"/>
          <w:szCs w:val="20"/>
        </w:rPr>
      </w:pPr>
    </w:p>
    <w:p w14:paraId="3DDCBFCC" w14:textId="0D1CEE90"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lastRenderedPageBreak/>
        <w:t xml:space="preserve">A lei não indica os elementos que possam servir de parâmetro para se estabelecer o valor da indenização, apenas dispõe que deve ser pautada com base na extensão do dano sendo do prudente arbítrio do julgador tal ponderação, conforme preceitua o art. 944 do CC, in </w:t>
      </w:r>
      <w:proofErr w:type="spellStart"/>
      <w:r w:rsidRPr="1111EBD7">
        <w:rPr>
          <w:rFonts w:ascii="Bookman Old Style" w:eastAsia="Bookman Old Style" w:hAnsi="Bookman Old Style" w:cs="Bookman Old Style"/>
          <w:b/>
          <w:bCs/>
          <w:color w:val="000000" w:themeColor="text1"/>
          <w:sz w:val="24"/>
          <w:szCs w:val="24"/>
        </w:rPr>
        <w:t>verbis</w:t>
      </w:r>
      <w:proofErr w:type="spellEnd"/>
      <w:r w:rsidRPr="1111EBD7">
        <w:rPr>
          <w:rFonts w:ascii="Bookman Old Style" w:eastAsia="Bookman Old Style" w:hAnsi="Bookman Old Style" w:cs="Bookman Old Style"/>
          <w:b/>
          <w:bCs/>
          <w:color w:val="000000" w:themeColor="text1"/>
          <w:sz w:val="24"/>
          <w:szCs w:val="24"/>
        </w:rPr>
        <w:t>:</w:t>
      </w:r>
    </w:p>
    <w:p w14:paraId="5CA13511" w14:textId="46D204EC" w:rsidR="00840F32" w:rsidRDefault="00840F32" w:rsidP="1111EBD7">
      <w:pPr>
        <w:spacing w:after="160" w:line="259" w:lineRule="auto"/>
        <w:ind w:left="2268"/>
        <w:jc w:val="both"/>
        <w:rPr>
          <w:rFonts w:ascii="Bookman Old Style" w:eastAsia="Bookman Old Style" w:hAnsi="Bookman Old Style" w:cs="Bookman Old Style"/>
          <w:color w:val="000000" w:themeColor="text1"/>
          <w:sz w:val="20"/>
          <w:szCs w:val="20"/>
        </w:rPr>
      </w:pPr>
    </w:p>
    <w:p w14:paraId="51F4B9C7" w14:textId="1E5DFD15"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Art. 944. A indenização mede-se pela extensão do dano. </w:t>
      </w:r>
    </w:p>
    <w:p w14:paraId="438577C9" w14:textId="7412884D"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Parágrafo único. Se houver excessiva desproporção entre a gravidade da culpa e o dano, poderá o juiz reduzir, equitativamente, a indenização. </w:t>
      </w:r>
    </w:p>
    <w:p w14:paraId="103CC53F" w14:textId="7622C70D" w:rsidR="00840F32" w:rsidRDefault="00840F32" w:rsidP="1111EBD7">
      <w:pPr>
        <w:spacing w:after="160" w:line="259" w:lineRule="auto"/>
        <w:ind w:left="2268"/>
        <w:jc w:val="both"/>
        <w:rPr>
          <w:rFonts w:ascii="Bookman Old Style" w:eastAsia="Bookman Old Style" w:hAnsi="Bookman Old Style" w:cs="Bookman Old Style"/>
          <w:color w:val="000000" w:themeColor="text1"/>
          <w:sz w:val="20"/>
          <w:szCs w:val="20"/>
        </w:rPr>
      </w:pPr>
    </w:p>
    <w:p w14:paraId="09C26CB9" w14:textId="41AA940C"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Nelson </w:t>
      </w:r>
      <w:proofErr w:type="spellStart"/>
      <w:r w:rsidRPr="1111EBD7">
        <w:rPr>
          <w:rFonts w:ascii="Bookman Old Style" w:eastAsia="Bookman Old Style" w:hAnsi="Bookman Old Style" w:cs="Bookman Old Style"/>
          <w:color w:val="000000" w:themeColor="text1"/>
          <w:sz w:val="24"/>
          <w:szCs w:val="24"/>
        </w:rPr>
        <w:t>Rosenvald</w:t>
      </w:r>
      <w:proofErr w:type="spellEnd"/>
      <w:r w:rsidRPr="1111EBD7">
        <w:rPr>
          <w:rFonts w:ascii="Bookman Old Style" w:eastAsia="Bookman Old Style" w:hAnsi="Bookman Old Style" w:cs="Bookman Old Style"/>
          <w:color w:val="000000" w:themeColor="text1"/>
          <w:sz w:val="24"/>
          <w:szCs w:val="24"/>
        </w:rPr>
        <w:t xml:space="preserve"> e Felipe Braga Netto apresentam as seguintes considerações sobre o dispositivo legal supracitado: </w:t>
      </w:r>
    </w:p>
    <w:p w14:paraId="47626F19" w14:textId="72ED0F0A"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 Quanto à quantificação dos danos morais, observa-se que se tem seguido o critério bifásico, distinguindo valoração de quantificação. Na primeira fase, - de valoração -, será constatada a existência do dano extrapatrimonial pela violação a situações jurídicas existenciais. Em regra, o dano moral será "in </w:t>
      </w:r>
      <w:proofErr w:type="spellStart"/>
      <w:r w:rsidRPr="1111EBD7">
        <w:rPr>
          <w:rFonts w:ascii="Bookman Old Style" w:eastAsia="Bookman Old Style" w:hAnsi="Bookman Old Style" w:cs="Bookman Old Style"/>
          <w:color w:val="000000" w:themeColor="text1"/>
          <w:sz w:val="20"/>
          <w:szCs w:val="20"/>
        </w:rPr>
        <w:t>re</w:t>
      </w:r>
      <w:proofErr w:type="spellEnd"/>
      <w:r w:rsidRPr="1111EBD7">
        <w:rPr>
          <w:rFonts w:ascii="Bookman Old Style" w:eastAsia="Bookman Old Style" w:hAnsi="Bookman Old Style" w:cs="Bookman Old Style"/>
          <w:color w:val="000000" w:themeColor="text1"/>
          <w:sz w:val="20"/>
          <w:szCs w:val="20"/>
        </w:rPr>
        <w:t xml:space="preserve"> </w:t>
      </w:r>
      <w:proofErr w:type="spellStart"/>
      <w:r w:rsidRPr="1111EBD7">
        <w:rPr>
          <w:rFonts w:ascii="Bookman Old Style" w:eastAsia="Bookman Old Style" w:hAnsi="Bookman Old Style" w:cs="Bookman Old Style"/>
          <w:color w:val="000000" w:themeColor="text1"/>
          <w:sz w:val="20"/>
          <w:szCs w:val="20"/>
        </w:rPr>
        <w:t>ipsa</w:t>
      </w:r>
      <w:proofErr w:type="spellEnd"/>
      <w:r w:rsidRPr="1111EBD7">
        <w:rPr>
          <w:rFonts w:ascii="Bookman Old Style" w:eastAsia="Bookman Old Style" w:hAnsi="Bookman Old Style" w:cs="Bookman Old Style"/>
          <w:color w:val="000000" w:themeColor="text1"/>
          <w:sz w:val="20"/>
          <w:szCs w:val="20"/>
        </w:rPr>
        <w:t xml:space="preserve">", porém não basta a narração dos fatos para que o magistrado seja capaz de inferir a ofensa à dignidade da pessoa humana. Na segunda fase, haverá propriamente a quantificação do dano moral. Aqui, não mais cabe considerar o fato lesivo, porém sua extensão, seu impacto na pessoa da vítima, em vista da individualização do dano moral. Assim, a decisão judicial deverá revelar a razoável relação entre as particularidades da vítima e o valor da condenação. Neste segundo momento de quantificação, não caberá ao magistrado indagar a respeito da situação financeira do ofendido como elemento de maior ou menor impacto para o arbitramento de uma reparação. Por outro lado, revela-se determinante para a quantificação a gravidade objetiva do fato lesivo e suas </w:t>
      </w:r>
      <w:proofErr w:type="spellStart"/>
      <w:r w:rsidRPr="1111EBD7">
        <w:rPr>
          <w:rFonts w:ascii="Bookman Old Style" w:eastAsia="Bookman Old Style" w:hAnsi="Bookman Old Style" w:cs="Bookman Old Style"/>
          <w:color w:val="000000" w:themeColor="text1"/>
          <w:sz w:val="20"/>
          <w:szCs w:val="20"/>
        </w:rPr>
        <w:t>conseqüências</w:t>
      </w:r>
      <w:proofErr w:type="spellEnd"/>
      <w:r w:rsidRPr="1111EBD7">
        <w:rPr>
          <w:rFonts w:ascii="Bookman Old Style" w:eastAsia="Bookman Old Style" w:hAnsi="Bookman Old Style" w:cs="Bookman Old Style"/>
          <w:color w:val="000000" w:themeColor="text1"/>
          <w:sz w:val="20"/>
          <w:szCs w:val="20"/>
        </w:rPr>
        <w:t xml:space="preserve"> na subjetividade do ofendido, as quais determinarão o montante compensatório. Por isso, nos posicionamos contrariamente à tarifação ou ao tabelamento do dano. Não existem dois danos existenciais iguais, cada dano apresenta singularidades que pedem exame próprio. (Código civil comentado artigo por artigo. Salvador: </w:t>
      </w:r>
      <w:proofErr w:type="spellStart"/>
      <w:r w:rsidRPr="1111EBD7">
        <w:rPr>
          <w:rFonts w:ascii="Bookman Old Style" w:eastAsia="Bookman Old Style" w:hAnsi="Bookman Old Style" w:cs="Bookman Old Style"/>
          <w:color w:val="000000" w:themeColor="text1"/>
          <w:sz w:val="20"/>
          <w:szCs w:val="20"/>
        </w:rPr>
        <w:t>Juspodivm</w:t>
      </w:r>
      <w:proofErr w:type="spellEnd"/>
      <w:r w:rsidRPr="1111EBD7">
        <w:rPr>
          <w:rFonts w:ascii="Bookman Old Style" w:eastAsia="Bookman Old Style" w:hAnsi="Bookman Old Style" w:cs="Bookman Old Style"/>
          <w:color w:val="000000" w:themeColor="text1"/>
          <w:sz w:val="20"/>
          <w:szCs w:val="20"/>
        </w:rPr>
        <w:t xml:space="preserve">, 2020, p. 914). </w:t>
      </w:r>
    </w:p>
    <w:p w14:paraId="5C03374A" w14:textId="0324E041" w:rsidR="00840F32" w:rsidRDefault="00840F32" w:rsidP="1111EBD7">
      <w:pPr>
        <w:spacing w:after="160" w:line="259" w:lineRule="auto"/>
        <w:ind w:left="2268"/>
        <w:jc w:val="both"/>
        <w:rPr>
          <w:rFonts w:ascii="Bookman Old Style" w:eastAsia="Bookman Old Style" w:hAnsi="Bookman Old Style" w:cs="Bookman Old Style"/>
          <w:color w:val="000000" w:themeColor="text1"/>
          <w:sz w:val="23"/>
          <w:szCs w:val="23"/>
        </w:rPr>
      </w:pPr>
    </w:p>
    <w:p w14:paraId="2D5E4324" w14:textId="1EEB08DA"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rPr>
        <w:t>Outrossim, a fixação do quantum indenizatório a título de danos morais deve se pautar pelos princípios da razoabilidade e da proporcionalidade, observados o caráter pedagógico, punitivo e reparatório da indenização.</w:t>
      </w:r>
    </w:p>
    <w:p w14:paraId="26B6FDDD" w14:textId="79F6CC6E"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 xml:space="preserve">Por tal razão, requer que a indenização deve ser fixada na importância correspondente ao parâmetro usualmente utilizado pela 17ª Câmara Cível. </w:t>
      </w:r>
    </w:p>
    <w:p w14:paraId="6EAD5166" w14:textId="36A85F7E" w:rsidR="00840F32" w:rsidRDefault="2C54D56F" w:rsidP="1111EBD7">
      <w:pPr>
        <w:spacing w:before="240" w:after="240" w:line="360" w:lineRule="auto"/>
        <w:ind w:firstLine="1134"/>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A propósito, veja o julgado infra:</w:t>
      </w:r>
    </w:p>
    <w:p w14:paraId="38E112CC" w14:textId="32119082"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EMENTA: APELAÇÃO CÍVEL - PRIMEIRO RECURSO - GRATUIDADE DA JUSTIÇA NÃO CONCEDIDA À PESSOA JURÍDICA - INTIMAÇÃO PARA RECOLHIMENTO DO PREPARO RECURSAL - INÉRCIA - RECURSO NÃO CONHECIDO POR DESERÇÃO - SEGUNDO RECURSO - AÇÃO DECLARATÓRIA DE INEXISTÊNCIA DE DÉBITO C/C INDENIZAÇÃO POR DANOS MORAIS - INDENIZAÇÃO - NEGATIVAÇÃO DE NOME - INEXISTÊNCIA DE FRAUDE - VALOR - 15 </w:t>
      </w:r>
      <w:proofErr w:type="gramStart"/>
      <w:r w:rsidRPr="1111EBD7">
        <w:rPr>
          <w:rFonts w:ascii="Bookman Old Style" w:eastAsia="Bookman Old Style" w:hAnsi="Bookman Old Style" w:cs="Bookman Old Style"/>
          <w:color w:val="000000" w:themeColor="text1"/>
          <w:sz w:val="20"/>
          <w:szCs w:val="20"/>
        </w:rPr>
        <w:t>SALÁRIOS MÍNIMOS</w:t>
      </w:r>
      <w:proofErr w:type="gramEnd"/>
      <w:r w:rsidRPr="1111EBD7">
        <w:rPr>
          <w:rFonts w:ascii="Bookman Old Style" w:eastAsia="Bookman Old Style" w:hAnsi="Bookman Old Style" w:cs="Bookman Old Style"/>
          <w:color w:val="000000" w:themeColor="text1"/>
          <w:sz w:val="20"/>
          <w:szCs w:val="20"/>
        </w:rPr>
        <w:t xml:space="preserve"> - MAJORAÇÃO - CABIMENTO </w:t>
      </w:r>
    </w:p>
    <w:p w14:paraId="2A1F705E" w14:textId="2A965A7F"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 O recurso não será conhecido em relação à apelante que não é beneficiária da gratuidade da justiça e não recolheu o preparo recursal, por deserção. </w:t>
      </w:r>
    </w:p>
    <w:p w14:paraId="2B1A71C0" w14:textId="4E3A43D7"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rPr>
        <w:t xml:space="preserve">- No arbitramento do valor da indenização por dano moral, devem ser levados em consideração a reprovabilidade da conduta ilícita e a gravidade do dano impingido, de acordo com os princípios da razoabilidade e proporcionalidade, cuidando-se para que ele não propicie o enriquecimento imotivado do recebedor, bem como não seja irrisório a ponto de se afastar do caráter pedagógico inerente à medida. </w:t>
      </w:r>
    </w:p>
    <w:p w14:paraId="35AAA86D" w14:textId="576DC41E"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b/>
          <w:bCs/>
          <w:color w:val="000000" w:themeColor="text1"/>
          <w:sz w:val="20"/>
          <w:szCs w:val="20"/>
        </w:rPr>
        <w:t xml:space="preserve">- Em caso de desconto indevido em benefício previdenciário, deve a indenização por dano moral ser fixada em montante equivalente a 15 (quinze) </w:t>
      </w:r>
      <w:proofErr w:type="gramStart"/>
      <w:r w:rsidRPr="1111EBD7">
        <w:rPr>
          <w:rFonts w:ascii="Bookman Old Style" w:eastAsia="Bookman Old Style" w:hAnsi="Bookman Old Style" w:cs="Bookman Old Style"/>
          <w:b/>
          <w:bCs/>
          <w:color w:val="000000" w:themeColor="text1"/>
          <w:sz w:val="20"/>
          <w:szCs w:val="20"/>
        </w:rPr>
        <w:t>salários mínimos</w:t>
      </w:r>
      <w:proofErr w:type="gramEnd"/>
      <w:r w:rsidRPr="1111EBD7">
        <w:rPr>
          <w:rFonts w:ascii="Bookman Old Style" w:eastAsia="Bookman Old Style" w:hAnsi="Bookman Old Style" w:cs="Bookman Old Style"/>
          <w:b/>
          <w:bCs/>
          <w:color w:val="000000" w:themeColor="text1"/>
          <w:sz w:val="20"/>
          <w:szCs w:val="20"/>
        </w:rPr>
        <w:t xml:space="preserve">. </w:t>
      </w:r>
    </w:p>
    <w:p w14:paraId="05A1F645" w14:textId="59E55C8F" w:rsidR="00840F32" w:rsidRDefault="2C54D56F" w:rsidP="1111EBD7">
      <w:pPr>
        <w:spacing w:after="160" w:line="259" w:lineRule="auto"/>
        <w:ind w:left="2268"/>
        <w:jc w:val="both"/>
        <w:rPr>
          <w:rFonts w:ascii="Bookman Old Style" w:eastAsia="Bookman Old Style" w:hAnsi="Bookman Old Style" w:cs="Bookman Old Style"/>
          <w:color w:val="000000" w:themeColor="text1"/>
          <w:sz w:val="20"/>
          <w:szCs w:val="20"/>
        </w:rPr>
      </w:pPr>
      <w:r w:rsidRPr="1111EBD7">
        <w:rPr>
          <w:rFonts w:ascii="Bookman Old Style" w:eastAsia="Bookman Old Style" w:hAnsi="Bookman Old Style" w:cs="Bookman Old Style"/>
          <w:color w:val="000000" w:themeColor="text1"/>
          <w:sz w:val="20"/>
          <w:szCs w:val="20"/>
        </w:rPr>
        <w:t xml:space="preserve">- É possível majorar o valor da indenização por dano moral se foi arbitrado em quantia inferior ao que seria devido. </w:t>
      </w:r>
      <w:r w:rsidRPr="1111EBD7">
        <w:rPr>
          <w:rFonts w:ascii="Bookman Old Style" w:eastAsia="Bookman Old Style" w:hAnsi="Bookman Old Style" w:cs="Bookman Old Style"/>
          <w:b/>
          <w:bCs/>
          <w:color w:val="000000" w:themeColor="text1"/>
          <w:sz w:val="20"/>
          <w:szCs w:val="20"/>
        </w:rPr>
        <w:t xml:space="preserve">(TJMG - Apelação Cível 1.0000.21.149459-6/001, Relator(a): Des.(a) Evandro Lopes da Costa </w:t>
      </w:r>
      <w:proofErr w:type="gramStart"/>
      <w:r w:rsidRPr="1111EBD7">
        <w:rPr>
          <w:rFonts w:ascii="Bookman Old Style" w:eastAsia="Bookman Old Style" w:hAnsi="Bookman Old Style" w:cs="Bookman Old Style"/>
          <w:b/>
          <w:bCs/>
          <w:color w:val="000000" w:themeColor="text1"/>
          <w:sz w:val="20"/>
          <w:szCs w:val="20"/>
        </w:rPr>
        <w:t>Teixeira ,</w:t>
      </w:r>
      <w:proofErr w:type="gramEnd"/>
      <w:r w:rsidRPr="1111EBD7">
        <w:rPr>
          <w:rFonts w:ascii="Bookman Old Style" w:eastAsia="Bookman Old Style" w:hAnsi="Bookman Old Style" w:cs="Bookman Old Style"/>
          <w:b/>
          <w:bCs/>
          <w:color w:val="000000" w:themeColor="text1"/>
          <w:sz w:val="20"/>
          <w:szCs w:val="20"/>
        </w:rPr>
        <w:t xml:space="preserve"> 17ª CÂMARA CÍVEL, </w:t>
      </w:r>
      <w:r w:rsidRPr="1111EBD7">
        <w:rPr>
          <w:rFonts w:ascii="Bookman Old Style" w:eastAsia="Bookman Old Style" w:hAnsi="Bookman Old Style" w:cs="Bookman Old Style"/>
          <w:b/>
          <w:bCs/>
          <w:color w:val="000000" w:themeColor="text1"/>
          <w:sz w:val="20"/>
          <w:szCs w:val="20"/>
        </w:rPr>
        <w:lastRenderedPageBreak/>
        <w:t xml:space="preserve">julgamento em 15/12/2021, publicação da súmula em 16/12/2021)- </w:t>
      </w:r>
      <w:proofErr w:type="spellStart"/>
      <w:r w:rsidRPr="1111EBD7">
        <w:rPr>
          <w:rFonts w:ascii="Bookman Old Style" w:eastAsia="Bookman Old Style" w:hAnsi="Bookman Old Style" w:cs="Bookman Old Style"/>
          <w:b/>
          <w:bCs/>
          <w:color w:val="000000" w:themeColor="text1"/>
          <w:sz w:val="20"/>
          <w:szCs w:val="20"/>
        </w:rPr>
        <w:t>g.n</w:t>
      </w:r>
      <w:proofErr w:type="spellEnd"/>
      <w:r w:rsidRPr="1111EBD7">
        <w:rPr>
          <w:rFonts w:ascii="Bookman Old Style" w:eastAsia="Bookman Old Style" w:hAnsi="Bookman Old Style" w:cs="Bookman Old Style"/>
          <w:b/>
          <w:bCs/>
          <w:color w:val="000000" w:themeColor="text1"/>
          <w:sz w:val="20"/>
          <w:szCs w:val="20"/>
        </w:rPr>
        <w:t>.</w:t>
      </w:r>
    </w:p>
    <w:p w14:paraId="69740CB6" w14:textId="63510C87" w:rsidR="00840F32" w:rsidRDefault="00840F32" w:rsidP="1111EBD7">
      <w:pPr>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after="0" w:line="360" w:lineRule="auto"/>
        <w:ind w:firstLine="1134"/>
        <w:jc w:val="both"/>
        <w:rPr>
          <w:rFonts w:ascii="Bookman Old Style" w:eastAsia="Bookman Old Style" w:hAnsi="Bookman Old Style" w:cs="Bookman Old Style"/>
          <w:color w:val="000000" w:themeColor="text1"/>
          <w:sz w:val="24"/>
          <w:szCs w:val="24"/>
        </w:rPr>
      </w:pPr>
    </w:p>
    <w:p w14:paraId="0AC7227A" w14:textId="5FC90B6B" w:rsidR="00840F32" w:rsidRDefault="2C54D56F" w:rsidP="1111EBD7">
      <w:pPr>
        <w:pStyle w:val="PadroA"/>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before="0" w:line="360" w:lineRule="auto"/>
        <w:ind w:firstLine="1134"/>
        <w:jc w:val="both"/>
        <w:rPr>
          <w:rFonts w:ascii="Bookman Old Style" w:eastAsia="Bookman Old Style" w:hAnsi="Bookman Old Style" w:cs="Bookman Old Style"/>
          <w:lang w:val="pt-BR"/>
        </w:rPr>
      </w:pPr>
      <w:r w:rsidRPr="1111EBD7">
        <w:rPr>
          <w:rFonts w:ascii="Bookman Old Style" w:eastAsia="Bookman Old Style" w:hAnsi="Bookman Old Style" w:cs="Bookman Old Style"/>
          <w:lang w:val="pt-BR"/>
        </w:rPr>
        <w:t>Tendo em vista, o exposto, requer a pedido de indenização por danos morais o importe de R$ 20.000,00 (vinte mil reais).</w:t>
      </w:r>
    </w:p>
    <w:p w14:paraId="2A90C182" w14:textId="7881B53D" w:rsidR="00840F32" w:rsidRDefault="00840F32" w:rsidP="1111EBD7">
      <w:pPr>
        <w:spacing w:before="240" w:after="160" w:line="360" w:lineRule="auto"/>
        <w:ind w:right="-427" w:firstLine="708"/>
        <w:jc w:val="both"/>
        <w:rPr>
          <w:rFonts w:ascii="Bookman Old Style" w:eastAsia="Bookman Old Style" w:hAnsi="Bookman Old Style" w:cs="Bookman Old Style"/>
          <w:color w:val="000000" w:themeColor="text1"/>
        </w:rPr>
      </w:pPr>
    </w:p>
    <w:p w14:paraId="71AA02F5" w14:textId="6E8021C6" w:rsidR="00840F32" w:rsidRDefault="2C54D56F" w:rsidP="1111EBD7">
      <w:pPr>
        <w:spacing w:before="240" w:after="160" w:line="360" w:lineRule="auto"/>
        <w:ind w:right="-427"/>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3.8 DA CONCESSÃO DE TUTELA ANTECIPADA</w:t>
      </w:r>
    </w:p>
    <w:p w14:paraId="360D58F7" w14:textId="4E59940B"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Notória a necessidade de concessão de tutela de evidência, tendo em vista o preenchimento de todos os seus requisitos, uma vez que é demonstrada prova inequívoca, geradora de verossimilhança nas alegações, bem como o perigo de dano grave ou de difícil reparação (Art. 300 do CPC).</w:t>
      </w:r>
    </w:p>
    <w:p w14:paraId="473DF4E7" w14:textId="044CE10C"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De tão patente, a demonstração do preenchimento dos requisitos não comporta maiores esforços.</w:t>
      </w:r>
    </w:p>
    <w:p w14:paraId="78426D61" w14:textId="4928BF3A"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O preenchimento do primeiro pressuposto prova inequívoca, já foi excessivamente demonstrado no decorrer de toda esta petição, ademais todo o alegado pode ser comprovado de plano, pela via documental, sem a necessidade de qualquer dilação probatória.</w:t>
      </w:r>
    </w:p>
    <w:p w14:paraId="0D48ECBB" w14:textId="4082DFD7"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Tal pressuposto se encontra evidenciado por toda a documentação apresentada em anexo, </w:t>
      </w:r>
      <w:r w:rsidRPr="1111EBD7">
        <w:rPr>
          <w:rFonts w:ascii="Bookman Old Style" w:eastAsia="Bookman Old Style" w:hAnsi="Bookman Old Style" w:cs="Bookman Old Style"/>
          <w:b/>
          <w:bCs/>
          <w:color w:val="000000" w:themeColor="text1"/>
          <w:sz w:val="24"/>
          <w:szCs w:val="24"/>
        </w:rPr>
        <w:t>sendo que estes descontos indevidos vêm prejudicando a requerente.</w:t>
      </w:r>
    </w:p>
    <w:p w14:paraId="2C996D7B" w14:textId="7EC72E71"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Observa-se ainda, no presente caso, agressão frontal a direitos e garantias fundamentais asseguradas pela Constituição Federal, o que, por si só, já justifica o </w:t>
      </w:r>
      <w:r w:rsidRPr="1111EBD7">
        <w:rPr>
          <w:rFonts w:ascii="Bookman Old Style" w:eastAsia="Bookman Old Style" w:hAnsi="Bookman Old Style" w:cs="Bookman Old Style"/>
          <w:b/>
          <w:bCs/>
          <w:color w:val="000000" w:themeColor="text1"/>
          <w:sz w:val="24"/>
          <w:szCs w:val="24"/>
        </w:rPr>
        <w:t>reconhecimento da verossimilhança</w:t>
      </w:r>
      <w:r w:rsidRPr="1111EBD7">
        <w:rPr>
          <w:rFonts w:ascii="Bookman Old Style" w:eastAsia="Bookman Old Style" w:hAnsi="Bookman Old Style" w:cs="Bookman Old Style"/>
          <w:color w:val="000000" w:themeColor="text1"/>
          <w:sz w:val="24"/>
          <w:szCs w:val="24"/>
        </w:rPr>
        <w:t xml:space="preserve">. Além disso, o direito do Requerente encontra respaldo na jurisprudência </w:t>
      </w:r>
      <w:r w:rsidRPr="1111EBD7">
        <w:rPr>
          <w:rFonts w:ascii="Bookman Old Style" w:eastAsia="Bookman Old Style" w:hAnsi="Bookman Old Style" w:cs="Bookman Old Style"/>
          <w:color w:val="000000" w:themeColor="text1"/>
          <w:sz w:val="24"/>
          <w:szCs w:val="24"/>
        </w:rPr>
        <w:lastRenderedPageBreak/>
        <w:t>consolidada pelo Superior Tribunal de Justiça e dos Tribunais de Justiça.</w:t>
      </w:r>
    </w:p>
    <w:p w14:paraId="0EEC9BCF" w14:textId="14924387"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Já no tocante ao segundo requisito, perigo de dano grave ou de difícil reparação, esse se mostra também atendido, uma vez que, </w:t>
      </w:r>
      <w:r w:rsidRPr="1111EBD7">
        <w:rPr>
          <w:rFonts w:ascii="Bookman Old Style" w:eastAsia="Bookman Old Style" w:hAnsi="Bookman Old Style" w:cs="Bookman Old Style"/>
          <w:b/>
          <w:bCs/>
          <w:color w:val="000000" w:themeColor="text1"/>
          <w:sz w:val="24"/>
          <w:szCs w:val="24"/>
          <w:u w:val="single"/>
        </w:rPr>
        <w:t>havendo descontos de produto acima do contratado pela autora</w:t>
      </w:r>
      <w:r w:rsidRPr="1111EBD7">
        <w:rPr>
          <w:rFonts w:ascii="Bookman Old Style" w:eastAsia="Bookman Old Style" w:hAnsi="Bookman Old Style" w:cs="Bookman Old Style"/>
          <w:color w:val="000000" w:themeColor="text1"/>
          <w:sz w:val="24"/>
          <w:szCs w:val="24"/>
        </w:rPr>
        <w:t>, esta terá sua renda mensal excessivamente diminuída, passando por situação financeira difícil, sendo necessária a vedação de possíveis descontos.</w:t>
      </w:r>
    </w:p>
    <w:p w14:paraId="59D8A28F" w14:textId="182CA681"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color w:val="000000" w:themeColor="text1"/>
          <w:sz w:val="24"/>
          <w:szCs w:val="24"/>
        </w:rPr>
        <w:t xml:space="preserve">Desse modo, na tentativa de salvaguardar sua condição digna, somente a </w:t>
      </w:r>
      <w:r w:rsidRPr="1111EBD7">
        <w:rPr>
          <w:rFonts w:ascii="Bookman Old Style" w:eastAsia="Bookman Old Style" w:hAnsi="Bookman Old Style" w:cs="Bookman Old Style"/>
          <w:b/>
          <w:bCs/>
          <w:color w:val="000000" w:themeColor="text1"/>
          <w:sz w:val="24"/>
          <w:szCs w:val="24"/>
          <w:u w:val="single"/>
        </w:rPr>
        <w:t xml:space="preserve">concessão de um provimento antecipado que vise impedir a efetivação de descontos em seu benefício </w:t>
      </w:r>
      <w:r w:rsidRPr="1111EBD7">
        <w:rPr>
          <w:rFonts w:ascii="Bookman Old Style" w:eastAsia="Bookman Old Style" w:hAnsi="Bookman Old Style" w:cs="Bookman Old Style"/>
          <w:color w:val="000000" w:themeColor="text1"/>
          <w:sz w:val="24"/>
          <w:szCs w:val="24"/>
        </w:rPr>
        <w:t>pela requerida poderá evitar maiores percalços tanto para ele como para toda a sua família</w:t>
      </w:r>
      <w:r w:rsidRPr="1111EBD7">
        <w:rPr>
          <w:rFonts w:ascii="Bookman Old Style" w:eastAsia="Bookman Old Style" w:hAnsi="Bookman Old Style" w:cs="Bookman Old Style"/>
          <w:color w:val="000000" w:themeColor="text1"/>
        </w:rPr>
        <w:t>.</w:t>
      </w:r>
    </w:p>
    <w:p w14:paraId="72FBF8D6" w14:textId="1048E7F1"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Como é de geral sabença, a antecipação dos efeitos da tutela pode ocorrer tanto </w:t>
      </w:r>
      <w:r w:rsidRPr="1111EBD7">
        <w:rPr>
          <w:rFonts w:ascii="Bookman Old Style" w:eastAsia="Bookman Old Style" w:hAnsi="Bookman Old Style" w:cs="Bookman Old Style"/>
          <w:i/>
          <w:iCs/>
          <w:color w:val="000000" w:themeColor="text1"/>
          <w:sz w:val="24"/>
          <w:szCs w:val="24"/>
        </w:rPr>
        <w:t>in limine litis</w:t>
      </w:r>
      <w:r w:rsidRPr="1111EBD7">
        <w:rPr>
          <w:rFonts w:ascii="Bookman Old Style" w:eastAsia="Bookman Old Style" w:hAnsi="Bookman Old Style" w:cs="Bookman Old Style"/>
          <w:color w:val="000000" w:themeColor="text1"/>
          <w:sz w:val="24"/>
          <w:szCs w:val="24"/>
        </w:rPr>
        <w:t xml:space="preserve"> quanto em qualquer outro momento ulterior do procedimento; ou seja, pode ser concedida por medida liminar ou não.</w:t>
      </w:r>
    </w:p>
    <w:p w14:paraId="3446D9CE" w14:textId="4CF27A1F"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O </w:t>
      </w:r>
      <w:r w:rsidRPr="1111EBD7">
        <w:rPr>
          <w:rFonts w:ascii="Bookman Old Style" w:eastAsia="Bookman Old Style" w:hAnsi="Bookman Old Style" w:cs="Bookman Old Style"/>
          <w:i/>
          <w:iCs/>
          <w:color w:val="000000" w:themeColor="text1"/>
          <w:sz w:val="24"/>
          <w:szCs w:val="24"/>
        </w:rPr>
        <w:t>“fumus boni Iuris”</w:t>
      </w:r>
      <w:r w:rsidRPr="1111EBD7">
        <w:rPr>
          <w:rFonts w:ascii="Bookman Old Style" w:eastAsia="Bookman Old Style" w:hAnsi="Bookman Old Style" w:cs="Bookman Old Style"/>
          <w:color w:val="000000" w:themeColor="text1"/>
          <w:sz w:val="24"/>
          <w:szCs w:val="24"/>
        </w:rPr>
        <w:t xml:space="preserve"> é fato indiscutível, vez que os descontos irregulares havidos no benefício da Requerente são ilegais e diferente do pactuado, limitando seu poder aquisitivo, bem como colocando ele e a sua família em risco social, já que os descontos incessantes comprometem a economia familiar, fazendo-o inclusive a passar por séria necessidade, tendo inclusive se privado da própria alimentação para honrar com o compromisso assumido.</w:t>
      </w:r>
    </w:p>
    <w:p w14:paraId="07D4FD9D" w14:textId="42267A67"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O </w:t>
      </w:r>
      <w:r w:rsidRPr="1111EBD7">
        <w:rPr>
          <w:rFonts w:ascii="Bookman Old Style" w:eastAsia="Bookman Old Style" w:hAnsi="Bookman Old Style" w:cs="Bookman Old Style"/>
          <w:i/>
          <w:iCs/>
          <w:color w:val="000000" w:themeColor="text1"/>
          <w:sz w:val="24"/>
          <w:szCs w:val="24"/>
        </w:rPr>
        <w:t xml:space="preserve">“periculum in mora” </w:t>
      </w:r>
      <w:r w:rsidRPr="1111EBD7">
        <w:rPr>
          <w:rFonts w:ascii="Bookman Old Style" w:eastAsia="Bookman Old Style" w:hAnsi="Bookman Old Style" w:cs="Bookman Old Style"/>
          <w:color w:val="000000" w:themeColor="text1"/>
          <w:sz w:val="24"/>
          <w:szCs w:val="24"/>
        </w:rPr>
        <w:t xml:space="preserve">apresenta-se fartamente demonstrado pela Requerente, vez que os descontos abusivos vêm ocorrendo em seu </w:t>
      </w:r>
      <w:r w:rsidRPr="1111EBD7">
        <w:rPr>
          <w:rFonts w:ascii="Bookman Old Style" w:eastAsia="Bookman Old Style" w:hAnsi="Bookman Old Style" w:cs="Bookman Old Style"/>
          <w:color w:val="000000" w:themeColor="text1"/>
          <w:sz w:val="24"/>
          <w:szCs w:val="24"/>
        </w:rPr>
        <w:lastRenderedPageBreak/>
        <w:t>benefício, descontando um valor acima do pactuado, colocando assim o Requerente em desvantagem econômica.</w:t>
      </w:r>
    </w:p>
    <w:p w14:paraId="601560CC" w14:textId="31DD346F" w:rsidR="00840F32" w:rsidRDefault="2C54D56F" w:rsidP="1111EBD7">
      <w:pPr>
        <w:spacing w:before="240" w:after="160" w:line="360" w:lineRule="auto"/>
        <w:ind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b/>
          <w:bCs/>
          <w:color w:val="000000" w:themeColor="text1"/>
          <w:sz w:val="24"/>
          <w:szCs w:val="24"/>
        </w:rPr>
        <w:t>Por fim, requer a determinação da imediata cessação dos descontos, por cautelar, a fim de que o autor não sofra mais prejuízos e, que o valor incontroverso, qual seja, R$ 1.287,59 (Um mil duzentos e oitenta e sete reais e cinquenta e nove centavos), seja depositado em juízo, mensalmente, durante o decorrer processual.</w:t>
      </w:r>
    </w:p>
    <w:p w14:paraId="408F72F6" w14:textId="3F1F6E98" w:rsidR="00840F32" w:rsidRDefault="00840F32" w:rsidP="1111EBD7">
      <w:pPr>
        <w:spacing w:before="240" w:after="160" w:line="360" w:lineRule="auto"/>
        <w:ind w:right="-427" w:firstLine="708"/>
        <w:jc w:val="both"/>
        <w:rPr>
          <w:rFonts w:ascii="Bookman Old Style" w:eastAsia="Bookman Old Style" w:hAnsi="Bookman Old Style" w:cs="Bookman Old Style"/>
          <w:color w:val="000000" w:themeColor="text1"/>
        </w:rPr>
      </w:pPr>
    </w:p>
    <w:p w14:paraId="2FCF6BE5" w14:textId="76CB5630"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rPr>
      </w:pPr>
      <w:r w:rsidRPr="1111EBD7">
        <w:rPr>
          <w:rFonts w:ascii="Bookman Old Style" w:eastAsia="Bookman Old Style" w:hAnsi="Bookman Old Style" w:cs="Bookman Old Style"/>
          <w:b/>
          <w:bCs/>
          <w:color w:val="000000" w:themeColor="text1"/>
          <w:u w:val="single"/>
        </w:rPr>
        <w:t>4. DOS PEDIDOS</w:t>
      </w:r>
    </w:p>
    <w:p w14:paraId="79A9A506" w14:textId="50D1927D"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Por tudo exposto nesta petição inicial, em consonância com o melhor direito que assiste à parte Autora, requer que este MM. Juízo se digne no sentido de: </w:t>
      </w:r>
    </w:p>
    <w:p w14:paraId="2B278679" w14:textId="4B754690"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Proceder com a citação do Requerido de forma eletrônica, para que, querendo, apresentem contestação, sob pena dos efeitos da revelia;</w:t>
      </w:r>
    </w:p>
    <w:p w14:paraId="1C0E1A37" w14:textId="0E116105"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A concessão da tutela de urgência determinando a imediata cessação dos descontos, por cautelar, a fim de que o autor não sofra mais prejuízos e, que o valor incontroverso, qual seja, </w:t>
      </w:r>
      <w:r w:rsidRPr="1111EBD7">
        <w:rPr>
          <w:rFonts w:ascii="Bookman Old Style" w:eastAsia="Bookman Old Style" w:hAnsi="Bookman Old Style" w:cs="Bookman Old Style"/>
          <w:b/>
          <w:bCs/>
          <w:color w:val="000000" w:themeColor="text1"/>
          <w:sz w:val="24"/>
          <w:szCs w:val="24"/>
        </w:rPr>
        <w:t>R$ 1.287,59 (Um mil e duzentos e oitenta e sete reais e cinquenta e nove centavos)</w:t>
      </w:r>
      <w:r w:rsidRPr="1111EBD7">
        <w:rPr>
          <w:rFonts w:ascii="Bookman Old Style" w:eastAsia="Bookman Old Style" w:hAnsi="Bookman Old Style" w:cs="Bookman Old Style"/>
          <w:color w:val="000000" w:themeColor="text1"/>
          <w:sz w:val="24"/>
          <w:szCs w:val="24"/>
        </w:rPr>
        <w:t>, seja depositado em juízo, mensalmente, durante o decorrer processual.</w:t>
      </w:r>
    </w:p>
    <w:p w14:paraId="4518B885" w14:textId="4622D099"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Julgar totalmente procedente a presente demanda para: </w:t>
      </w:r>
    </w:p>
    <w:p w14:paraId="0D6FD791" w14:textId="7B80B04C"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Declarar a ilegalidade na cobrança do IOF conforme exposto em tópico específico;</w:t>
      </w:r>
    </w:p>
    <w:p w14:paraId="3AB01290" w14:textId="7B37556A"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Revisar o contrato em comento para reduzir a taxa de juros remuneratórios cobrada no empréstimo pessoal para aplicar a taxa média de mercado;</w:t>
      </w:r>
    </w:p>
    <w:p w14:paraId="0C115EDF" w14:textId="193EBAFA"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lastRenderedPageBreak/>
        <w:t>Condenar o Requerido ao pagamento de indenização por danos morais no valor de R$ 20.000,00 (vinte mil reais);</w:t>
      </w:r>
    </w:p>
    <w:p w14:paraId="2732BBCB" w14:textId="468A7571"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Conceder os benefícios da assistência judiciária gratuita nos termos do art. 98 e seguintes do Código de Processo Civil;</w:t>
      </w:r>
    </w:p>
    <w:p w14:paraId="34FF1F00" w14:textId="0BD0C25E"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Condenar os Réus ao pagamento das custas processuais e honorários advocatícios, estes em percentual não inferior a 20%, diante da complexidade que a causa se apresenta;</w:t>
      </w:r>
    </w:p>
    <w:p w14:paraId="61AD246D" w14:textId="4595061A" w:rsidR="00840F32" w:rsidRDefault="2C54D56F" w:rsidP="1111EBD7">
      <w:pPr>
        <w:pStyle w:val="PargrafodaLista"/>
        <w:numPr>
          <w:ilvl w:val="0"/>
          <w:numId w:val="9"/>
        </w:numPr>
        <w:spacing w:before="240" w:after="0" w:line="360" w:lineRule="auto"/>
        <w:ind w:left="0" w:right="-427" w:firstLine="851"/>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Reconhecer, nos termos do artigo 6º, VIII do CDC, no art. 373, §1º do CPC, a inversão do ônus da prova, dada a hipossuficiência do autor e a verossimilhança de suas alegações;</w:t>
      </w:r>
    </w:p>
    <w:p w14:paraId="10688D6B" w14:textId="08CBB43C" w:rsidR="00840F32" w:rsidRDefault="00840F32" w:rsidP="1111EBD7">
      <w:pPr>
        <w:spacing w:before="240" w:after="0" w:line="360" w:lineRule="auto"/>
        <w:ind w:left="720" w:right="-427"/>
        <w:jc w:val="both"/>
        <w:rPr>
          <w:rFonts w:ascii="Bookman Old Style" w:eastAsia="Bookman Old Style" w:hAnsi="Bookman Old Style" w:cs="Bookman Old Style"/>
          <w:color w:val="000000" w:themeColor="text1"/>
          <w:sz w:val="24"/>
          <w:szCs w:val="24"/>
        </w:rPr>
      </w:pPr>
    </w:p>
    <w:p w14:paraId="04165BD7" w14:textId="1E131A23" w:rsidR="00840F32" w:rsidRDefault="2C54D56F" w:rsidP="1111EBD7">
      <w:pPr>
        <w:spacing w:before="240" w:after="160" w:line="360" w:lineRule="auto"/>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Protesta-se provar todo o alegado, por meio de todas as provas lícitas, em especial a documental;</w:t>
      </w:r>
    </w:p>
    <w:p w14:paraId="4A933DA1" w14:textId="65669BBD" w:rsidR="00840F32" w:rsidRDefault="2C54D56F" w:rsidP="1111EBD7">
      <w:pPr>
        <w:spacing w:before="240" w:after="160" w:line="360" w:lineRule="auto"/>
        <w:ind w:right="-427"/>
        <w:jc w:val="both"/>
        <w:rPr>
          <w:rFonts w:ascii="Bookman Old Style" w:eastAsia="Bookman Old Style" w:hAnsi="Bookman Old Style" w:cs="Bookman Old Style"/>
          <w:b/>
          <w:bCs/>
          <w:color w:val="000000" w:themeColor="text1"/>
          <w:sz w:val="24"/>
          <w:szCs w:val="24"/>
        </w:rPr>
      </w:pPr>
      <w:r w:rsidRPr="1111EBD7">
        <w:rPr>
          <w:rFonts w:ascii="Bookman Old Style" w:eastAsia="Bookman Old Style" w:hAnsi="Bookman Old Style" w:cs="Bookman Old Style"/>
          <w:b/>
          <w:bCs/>
          <w:color w:val="000000" w:themeColor="text1"/>
          <w:sz w:val="24"/>
          <w:szCs w:val="24"/>
        </w:rPr>
        <w:t>Dá-se à causa o valor de R$ 20.000,00 (vinte mil reais).</w:t>
      </w:r>
    </w:p>
    <w:p w14:paraId="09474E31" w14:textId="3B943EA2" w:rsidR="00840F32" w:rsidRDefault="2C54D56F" w:rsidP="1111EBD7">
      <w:pPr>
        <w:spacing w:before="240" w:after="160" w:line="360" w:lineRule="auto"/>
        <w:ind w:right="-427" w:firstLine="708"/>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 xml:space="preserve">Por fim, requer que todas as publicações e intimações sejam em nome da Dra. </w:t>
      </w:r>
      <w:r w:rsidR="00990988">
        <w:rPr>
          <w:rFonts w:ascii="Bookman Old Style" w:eastAsia="Bookman Old Style" w:hAnsi="Bookman Old Style" w:cs="Bookman Old Style"/>
          <w:color w:val="000000" w:themeColor="text1"/>
          <w:sz w:val="24"/>
          <w:szCs w:val="24"/>
        </w:rPr>
        <w:t>XXXXXXXXXXXXX</w:t>
      </w:r>
      <w:r w:rsidRPr="1111EBD7">
        <w:rPr>
          <w:rFonts w:ascii="Bookman Old Style" w:eastAsia="Bookman Old Style" w:hAnsi="Bookman Old Style" w:cs="Bookman Old Style"/>
          <w:color w:val="000000" w:themeColor="text1"/>
          <w:sz w:val="24"/>
          <w:szCs w:val="24"/>
        </w:rPr>
        <w:t xml:space="preserve"> sob pena de nulidade. </w:t>
      </w:r>
    </w:p>
    <w:p w14:paraId="287D3369" w14:textId="55B81E28" w:rsidR="00840F32" w:rsidRDefault="00840F32" w:rsidP="1111EBD7">
      <w:pPr>
        <w:spacing w:before="240" w:after="160" w:line="360" w:lineRule="auto"/>
        <w:ind w:right="-427"/>
        <w:jc w:val="both"/>
        <w:rPr>
          <w:rFonts w:ascii="Bookman Old Style" w:eastAsia="Bookman Old Style" w:hAnsi="Bookman Old Style" w:cs="Bookman Old Style"/>
          <w:color w:val="000000" w:themeColor="text1"/>
        </w:rPr>
      </w:pPr>
    </w:p>
    <w:p w14:paraId="0B433CAB" w14:textId="7D621E6D" w:rsidR="00840F32" w:rsidRDefault="2C54D56F" w:rsidP="1111EBD7">
      <w:pPr>
        <w:spacing w:before="240" w:after="160"/>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Nesses termos,</w:t>
      </w:r>
    </w:p>
    <w:p w14:paraId="081A031A" w14:textId="72E273A3" w:rsidR="00840F32" w:rsidRDefault="2C54D56F" w:rsidP="1111EBD7">
      <w:pPr>
        <w:spacing w:before="240" w:after="160"/>
        <w:ind w:right="-427"/>
        <w:jc w:val="both"/>
        <w:rPr>
          <w:rFonts w:ascii="Bookman Old Style" w:eastAsia="Bookman Old Style" w:hAnsi="Bookman Old Style" w:cs="Bookman Old Style"/>
          <w:color w:val="000000" w:themeColor="text1"/>
          <w:sz w:val="24"/>
          <w:szCs w:val="24"/>
        </w:rPr>
      </w:pPr>
      <w:r w:rsidRPr="1111EBD7">
        <w:rPr>
          <w:rFonts w:ascii="Bookman Old Style" w:eastAsia="Bookman Old Style" w:hAnsi="Bookman Old Style" w:cs="Bookman Old Style"/>
          <w:color w:val="000000" w:themeColor="text1"/>
          <w:sz w:val="24"/>
          <w:szCs w:val="24"/>
        </w:rPr>
        <w:t>Pede deferimento.</w:t>
      </w:r>
    </w:p>
    <w:p w14:paraId="06464724" w14:textId="230074DB" w:rsidR="00840F32" w:rsidRDefault="00990988" w:rsidP="1111EBD7">
      <w:pPr>
        <w:spacing w:before="240" w:after="160" w:line="360" w:lineRule="auto"/>
        <w:ind w:right="-427"/>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XXXXXXXXXXXXX</w:t>
      </w:r>
      <w:r w:rsidR="2C54D56F" w:rsidRPr="1111EBD7">
        <w:rPr>
          <w:rFonts w:ascii="Bookman Old Style" w:eastAsia="Bookman Old Style" w:hAnsi="Bookman Old Style" w:cs="Bookman Old Style"/>
          <w:color w:val="000000" w:themeColor="text1"/>
          <w:sz w:val="24"/>
          <w:szCs w:val="24"/>
        </w:rPr>
        <w:t>, 26 de abril de 2024.</w:t>
      </w:r>
    </w:p>
    <w:p w14:paraId="3E740EA5" w14:textId="46A52763" w:rsidR="00840F32" w:rsidRDefault="00840F32" w:rsidP="1111EBD7">
      <w:pPr>
        <w:spacing w:before="240" w:after="160" w:line="360" w:lineRule="auto"/>
        <w:ind w:right="-427"/>
        <w:jc w:val="center"/>
        <w:rPr>
          <w:rFonts w:ascii="Bookman Old Style" w:eastAsia="Bookman Old Style" w:hAnsi="Bookman Old Style" w:cs="Bookman Old Style"/>
          <w:color w:val="000000" w:themeColor="text1"/>
        </w:rPr>
      </w:pPr>
    </w:p>
    <w:p w14:paraId="3335C67A" w14:textId="638FC4D5" w:rsidR="00840F32" w:rsidRDefault="00990988" w:rsidP="1111EBD7">
      <w:pPr>
        <w:spacing w:before="240" w:after="160" w:line="360" w:lineRule="auto"/>
        <w:ind w:right="-427"/>
        <w:jc w:val="center"/>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sz w:val="24"/>
          <w:szCs w:val="24"/>
        </w:rPr>
        <w:t>XXXXXXXXXXXXX</w:t>
      </w:r>
    </w:p>
    <w:p w14:paraId="5E5C5C76" w14:textId="03CB9244" w:rsidR="00840F32" w:rsidRDefault="00990988" w:rsidP="1111EBD7">
      <w:pPr>
        <w:spacing w:after="160" w:line="360" w:lineRule="auto"/>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XXXXXXXXXXXXX</w:t>
      </w:r>
    </w:p>
    <w:p w14:paraId="48A23ABD" w14:textId="77777777" w:rsidR="00840F32" w:rsidRDefault="00840F32" w:rsidP="1111EBD7"/>
    <w:p w14:paraId="672A6659" w14:textId="77777777" w:rsidR="00840F32" w:rsidRDefault="00840F32"/>
    <w:p w14:paraId="0A37501D" w14:textId="77777777" w:rsidR="00840F32" w:rsidRDefault="00840F32"/>
    <w:p w14:paraId="5DAB6C7B" w14:textId="77777777" w:rsidR="00840F32" w:rsidRDefault="00840F32"/>
    <w:p w14:paraId="02EB378F" w14:textId="77777777" w:rsidR="00840F32" w:rsidRDefault="00840F32"/>
    <w:p w14:paraId="6A05A809" w14:textId="77777777" w:rsidR="00840F32" w:rsidRDefault="00840F32"/>
    <w:p w14:paraId="5A39BBE3" w14:textId="77777777" w:rsidR="00840F32" w:rsidRDefault="00840F32"/>
    <w:p w14:paraId="41C8F396" w14:textId="77777777" w:rsidR="00840F32" w:rsidRDefault="00840F32"/>
    <w:p w14:paraId="72A3D3EC" w14:textId="77777777" w:rsidR="00840F32" w:rsidRDefault="00840F32"/>
    <w:p w14:paraId="0D0B940D" w14:textId="77777777" w:rsidR="00840F32" w:rsidRDefault="00840F32"/>
    <w:p w14:paraId="0E27B00A" w14:textId="77777777" w:rsidR="00840F32" w:rsidRDefault="00840F32"/>
    <w:sectPr w:rsidR="00840F32" w:rsidSect="00352113">
      <w:headerReference w:type="even" r:id="rId17"/>
      <w:headerReference w:type="first" r:id="rId18"/>
      <w:pgSz w:w="11906" w:h="16838"/>
      <w:pgMar w:top="2211" w:right="1701" w:bottom="221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08836E" w14:textId="77777777" w:rsidR="00352113" w:rsidRDefault="00352113" w:rsidP="00840F32">
      <w:pPr>
        <w:spacing w:after="0" w:line="240" w:lineRule="auto"/>
      </w:pPr>
      <w:r>
        <w:separator/>
      </w:r>
    </w:p>
  </w:endnote>
  <w:endnote w:type="continuationSeparator" w:id="0">
    <w:p w14:paraId="2CFDD509" w14:textId="77777777" w:rsidR="00352113" w:rsidRDefault="00352113" w:rsidP="00840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Calibri">
    <w:altName w:val="Bookman Old Style"/>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2B2B4" w14:textId="77777777" w:rsidR="00352113" w:rsidRDefault="00352113" w:rsidP="00840F32">
      <w:pPr>
        <w:spacing w:after="0" w:line="240" w:lineRule="auto"/>
      </w:pPr>
      <w:r>
        <w:separator/>
      </w:r>
    </w:p>
  </w:footnote>
  <w:footnote w:type="continuationSeparator" w:id="0">
    <w:p w14:paraId="455603F8" w14:textId="77777777" w:rsidR="00352113" w:rsidRDefault="00352113" w:rsidP="00840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61E4C" w14:textId="77777777" w:rsidR="00840F32" w:rsidRDefault="00352113">
    <w:pPr>
      <w:pStyle w:val="Cabealho"/>
    </w:pPr>
    <w:r>
      <w:rPr>
        <w:noProof/>
        <w:lang w:eastAsia="pt-BR"/>
      </w:rPr>
      <w:pict w14:anchorId="444F7F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164376" o:spid="_x0000_s1026" type="#_x0000_t75" alt="" style="position:absolute;margin-left:0;margin-top:0;width:612.35pt;height:858.95pt;z-index:-251657216;mso-wrap-edited:f;mso-width-percent:0;mso-height-percent:0;mso-position-horizontal:center;mso-position-horizontal-relative:margin;mso-position-vertical:center;mso-position-vertical-relative:margin;mso-width-percent:0;mso-height-percent:0" o:allowincell="f">
          <v:imagedata r:id="rId1" o:title="timbrad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4D5A5" w14:textId="77777777" w:rsidR="00840F32" w:rsidRDefault="00352113">
    <w:pPr>
      <w:pStyle w:val="Cabealho"/>
    </w:pPr>
    <w:r>
      <w:rPr>
        <w:noProof/>
        <w:lang w:eastAsia="pt-BR"/>
      </w:rPr>
      <w:pict w14:anchorId="30DB9B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164375" o:spid="_x0000_s1025" type="#_x0000_t75" alt="" style="position:absolute;margin-left:0;margin-top:0;width:612.35pt;height:858.95pt;z-index:-251658240;mso-wrap-edited:f;mso-width-percent:0;mso-height-percent:0;mso-position-horizontal:center;mso-position-horizontal-relative:margin;mso-position-vertical:center;mso-position-vertical-relative:margin;mso-width-percent:0;mso-height-percent:0" o:allowincell="f">
          <v:imagedata r:id="rId1" o:title="timbrad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94D0"/>
    <w:multiLevelType w:val="hybridMultilevel"/>
    <w:tmpl w:val="E0D01E88"/>
    <w:lvl w:ilvl="0" w:tplc="AA32D270">
      <w:start w:val="2"/>
      <w:numFmt w:val="lowerLetter"/>
      <w:lvlText w:val="%1)"/>
      <w:lvlJc w:val="left"/>
      <w:pPr>
        <w:ind w:left="720" w:hanging="360"/>
      </w:pPr>
      <w:rPr>
        <w:rFonts w:ascii="Bookman Old Style,Calibri" w:hAnsi="Bookman Old Style,Calibri" w:hint="default"/>
      </w:rPr>
    </w:lvl>
    <w:lvl w:ilvl="1" w:tplc="89B219B0">
      <w:start w:val="1"/>
      <w:numFmt w:val="lowerLetter"/>
      <w:lvlText w:val="%2."/>
      <w:lvlJc w:val="left"/>
      <w:pPr>
        <w:ind w:left="1440" w:hanging="360"/>
      </w:pPr>
    </w:lvl>
    <w:lvl w:ilvl="2" w:tplc="BCC2EAEA">
      <w:start w:val="1"/>
      <w:numFmt w:val="lowerRoman"/>
      <w:lvlText w:val="%3."/>
      <w:lvlJc w:val="right"/>
      <w:pPr>
        <w:ind w:left="2160" w:hanging="180"/>
      </w:pPr>
    </w:lvl>
    <w:lvl w:ilvl="3" w:tplc="C4DEF9E4">
      <w:start w:val="1"/>
      <w:numFmt w:val="decimal"/>
      <w:lvlText w:val="%4."/>
      <w:lvlJc w:val="left"/>
      <w:pPr>
        <w:ind w:left="2880" w:hanging="360"/>
      </w:pPr>
    </w:lvl>
    <w:lvl w:ilvl="4" w:tplc="56E29290">
      <w:start w:val="1"/>
      <w:numFmt w:val="lowerLetter"/>
      <w:lvlText w:val="%5."/>
      <w:lvlJc w:val="left"/>
      <w:pPr>
        <w:ind w:left="3600" w:hanging="360"/>
      </w:pPr>
    </w:lvl>
    <w:lvl w:ilvl="5" w:tplc="352C6A20">
      <w:start w:val="1"/>
      <w:numFmt w:val="lowerRoman"/>
      <w:lvlText w:val="%6."/>
      <w:lvlJc w:val="right"/>
      <w:pPr>
        <w:ind w:left="4320" w:hanging="180"/>
      </w:pPr>
    </w:lvl>
    <w:lvl w:ilvl="6" w:tplc="E2AEE5FA">
      <w:start w:val="1"/>
      <w:numFmt w:val="decimal"/>
      <w:lvlText w:val="%7."/>
      <w:lvlJc w:val="left"/>
      <w:pPr>
        <w:ind w:left="5040" w:hanging="360"/>
      </w:pPr>
    </w:lvl>
    <w:lvl w:ilvl="7" w:tplc="681C8EDA">
      <w:start w:val="1"/>
      <w:numFmt w:val="lowerLetter"/>
      <w:lvlText w:val="%8."/>
      <w:lvlJc w:val="left"/>
      <w:pPr>
        <w:ind w:left="5760" w:hanging="360"/>
      </w:pPr>
    </w:lvl>
    <w:lvl w:ilvl="8" w:tplc="A3D21C02">
      <w:start w:val="1"/>
      <w:numFmt w:val="lowerRoman"/>
      <w:lvlText w:val="%9."/>
      <w:lvlJc w:val="right"/>
      <w:pPr>
        <w:ind w:left="6480" w:hanging="180"/>
      </w:pPr>
    </w:lvl>
  </w:abstractNum>
  <w:abstractNum w:abstractNumId="1" w15:restartNumberingAfterBreak="0">
    <w:nsid w:val="09E1D734"/>
    <w:multiLevelType w:val="hybridMultilevel"/>
    <w:tmpl w:val="0AFA8A74"/>
    <w:lvl w:ilvl="0" w:tplc="F5569CB0">
      <w:start w:val="3"/>
      <w:numFmt w:val="lowerLetter"/>
      <w:lvlText w:val="%1)"/>
      <w:lvlJc w:val="left"/>
      <w:pPr>
        <w:ind w:left="720" w:hanging="360"/>
      </w:pPr>
      <w:rPr>
        <w:rFonts w:ascii="Bookman Old Style,Calibri" w:hAnsi="Bookman Old Style,Calibri" w:hint="default"/>
      </w:rPr>
    </w:lvl>
    <w:lvl w:ilvl="1" w:tplc="ABAEB38E">
      <w:start w:val="1"/>
      <w:numFmt w:val="lowerLetter"/>
      <w:lvlText w:val="%2."/>
      <w:lvlJc w:val="left"/>
      <w:pPr>
        <w:ind w:left="1440" w:hanging="360"/>
      </w:pPr>
    </w:lvl>
    <w:lvl w:ilvl="2" w:tplc="BF1AFA46">
      <w:start w:val="1"/>
      <w:numFmt w:val="lowerRoman"/>
      <w:lvlText w:val="%3."/>
      <w:lvlJc w:val="right"/>
      <w:pPr>
        <w:ind w:left="2160" w:hanging="180"/>
      </w:pPr>
    </w:lvl>
    <w:lvl w:ilvl="3" w:tplc="D70A35BA">
      <w:start w:val="1"/>
      <w:numFmt w:val="decimal"/>
      <w:lvlText w:val="%4."/>
      <w:lvlJc w:val="left"/>
      <w:pPr>
        <w:ind w:left="2880" w:hanging="360"/>
      </w:pPr>
    </w:lvl>
    <w:lvl w:ilvl="4" w:tplc="6C50B6E0">
      <w:start w:val="1"/>
      <w:numFmt w:val="lowerLetter"/>
      <w:lvlText w:val="%5."/>
      <w:lvlJc w:val="left"/>
      <w:pPr>
        <w:ind w:left="3600" w:hanging="360"/>
      </w:pPr>
    </w:lvl>
    <w:lvl w:ilvl="5" w:tplc="44CEEA1A">
      <w:start w:val="1"/>
      <w:numFmt w:val="lowerRoman"/>
      <w:lvlText w:val="%6."/>
      <w:lvlJc w:val="right"/>
      <w:pPr>
        <w:ind w:left="4320" w:hanging="180"/>
      </w:pPr>
    </w:lvl>
    <w:lvl w:ilvl="6" w:tplc="7F1E3382">
      <w:start w:val="1"/>
      <w:numFmt w:val="decimal"/>
      <w:lvlText w:val="%7."/>
      <w:lvlJc w:val="left"/>
      <w:pPr>
        <w:ind w:left="5040" w:hanging="360"/>
      </w:pPr>
    </w:lvl>
    <w:lvl w:ilvl="7" w:tplc="531CC338">
      <w:start w:val="1"/>
      <w:numFmt w:val="lowerLetter"/>
      <w:lvlText w:val="%8."/>
      <w:lvlJc w:val="left"/>
      <w:pPr>
        <w:ind w:left="5760" w:hanging="360"/>
      </w:pPr>
    </w:lvl>
    <w:lvl w:ilvl="8" w:tplc="ECBEED40">
      <w:start w:val="1"/>
      <w:numFmt w:val="lowerRoman"/>
      <w:lvlText w:val="%9."/>
      <w:lvlJc w:val="right"/>
      <w:pPr>
        <w:ind w:left="6480" w:hanging="180"/>
      </w:pPr>
    </w:lvl>
  </w:abstractNum>
  <w:abstractNum w:abstractNumId="2" w15:restartNumberingAfterBreak="0">
    <w:nsid w:val="26B065CE"/>
    <w:multiLevelType w:val="hybridMultilevel"/>
    <w:tmpl w:val="6EEE3940"/>
    <w:lvl w:ilvl="0" w:tplc="98FC67CC">
      <w:start w:val="4"/>
      <w:numFmt w:val="lowerLetter"/>
      <w:lvlText w:val="%1)"/>
      <w:lvlJc w:val="left"/>
      <w:pPr>
        <w:ind w:left="720" w:hanging="360"/>
      </w:pPr>
      <w:rPr>
        <w:rFonts w:ascii="Bookman Old Style,Calibri" w:hAnsi="Bookman Old Style,Calibri" w:hint="default"/>
      </w:rPr>
    </w:lvl>
    <w:lvl w:ilvl="1" w:tplc="67DCCD2E">
      <w:start w:val="1"/>
      <w:numFmt w:val="lowerLetter"/>
      <w:lvlText w:val="%2."/>
      <w:lvlJc w:val="left"/>
      <w:pPr>
        <w:ind w:left="1440" w:hanging="360"/>
      </w:pPr>
    </w:lvl>
    <w:lvl w:ilvl="2" w:tplc="F0687B3C">
      <w:start w:val="1"/>
      <w:numFmt w:val="lowerRoman"/>
      <w:lvlText w:val="%3."/>
      <w:lvlJc w:val="right"/>
      <w:pPr>
        <w:ind w:left="2160" w:hanging="180"/>
      </w:pPr>
    </w:lvl>
    <w:lvl w:ilvl="3" w:tplc="42E82498">
      <w:start w:val="1"/>
      <w:numFmt w:val="decimal"/>
      <w:lvlText w:val="%4."/>
      <w:lvlJc w:val="left"/>
      <w:pPr>
        <w:ind w:left="2880" w:hanging="360"/>
      </w:pPr>
    </w:lvl>
    <w:lvl w:ilvl="4" w:tplc="395AB238">
      <w:start w:val="1"/>
      <w:numFmt w:val="lowerLetter"/>
      <w:lvlText w:val="%5."/>
      <w:lvlJc w:val="left"/>
      <w:pPr>
        <w:ind w:left="3600" w:hanging="360"/>
      </w:pPr>
    </w:lvl>
    <w:lvl w:ilvl="5" w:tplc="B2CE2C2A">
      <w:start w:val="1"/>
      <w:numFmt w:val="lowerRoman"/>
      <w:lvlText w:val="%6."/>
      <w:lvlJc w:val="right"/>
      <w:pPr>
        <w:ind w:left="4320" w:hanging="180"/>
      </w:pPr>
    </w:lvl>
    <w:lvl w:ilvl="6" w:tplc="C9C07DCE">
      <w:start w:val="1"/>
      <w:numFmt w:val="decimal"/>
      <w:lvlText w:val="%7."/>
      <w:lvlJc w:val="left"/>
      <w:pPr>
        <w:ind w:left="5040" w:hanging="360"/>
      </w:pPr>
    </w:lvl>
    <w:lvl w:ilvl="7" w:tplc="CC2AE316">
      <w:start w:val="1"/>
      <w:numFmt w:val="lowerLetter"/>
      <w:lvlText w:val="%8."/>
      <w:lvlJc w:val="left"/>
      <w:pPr>
        <w:ind w:left="5760" w:hanging="360"/>
      </w:pPr>
    </w:lvl>
    <w:lvl w:ilvl="8" w:tplc="64BC0794">
      <w:start w:val="1"/>
      <w:numFmt w:val="lowerRoman"/>
      <w:lvlText w:val="%9."/>
      <w:lvlJc w:val="right"/>
      <w:pPr>
        <w:ind w:left="6480" w:hanging="180"/>
      </w:pPr>
    </w:lvl>
  </w:abstractNum>
  <w:abstractNum w:abstractNumId="3" w15:restartNumberingAfterBreak="0">
    <w:nsid w:val="29D96116"/>
    <w:multiLevelType w:val="hybridMultilevel"/>
    <w:tmpl w:val="1C624140"/>
    <w:lvl w:ilvl="0" w:tplc="B6C4EBCA">
      <w:start w:val="9"/>
      <w:numFmt w:val="lowerLetter"/>
      <w:lvlText w:val="%1)"/>
      <w:lvlJc w:val="left"/>
      <w:pPr>
        <w:ind w:left="720" w:hanging="360"/>
      </w:pPr>
      <w:rPr>
        <w:rFonts w:ascii="Bookman Old Style,Calibri" w:hAnsi="Bookman Old Style,Calibri" w:hint="default"/>
      </w:rPr>
    </w:lvl>
    <w:lvl w:ilvl="1" w:tplc="3AEA7F44">
      <w:start w:val="1"/>
      <w:numFmt w:val="lowerLetter"/>
      <w:lvlText w:val="%2."/>
      <w:lvlJc w:val="left"/>
      <w:pPr>
        <w:ind w:left="1440" w:hanging="360"/>
      </w:pPr>
    </w:lvl>
    <w:lvl w:ilvl="2" w:tplc="F6AEFFB8">
      <w:start w:val="1"/>
      <w:numFmt w:val="lowerRoman"/>
      <w:lvlText w:val="%3."/>
      <w:lvlJc w:val="right"/>
      <w:pPr>
        <w:ind w:left="2160" w:hanging="180"/>
      </w:pPr>
    </w:lvl>
    <w:lvl w:ilvl="3" w:tplc="E13079E6">
      <w:start w:val="1"/>
      <w:numFmt w:val="decimal"/>
      <w:lvlText w:val="%4."/>
      <w:lvlJc w:val="left"/>
      <w:pPr>
        <w:ind w:left="2880" w:hanging="360"/>
      </w:pPr>
    </w:lvl>
    <w:lvl w:ilvl="4" w:tplc="D6E83BC8">
      <w:start w:val="1"/>
      <w:numFmt w:val="lowerLetter"/>
      <w:lvlText w:val="%5."/>
      <w:lvlJc w:val="left"/>
      <w:pPr>
        <w:ind w:left="3600" w:hanging="360"/>
      </w:pPr>
    </w:lvl>
    <w:lvl w:ilvl="5" w:tplc="F9D4EECC">
      <w:start w:val="1"/>
      <w:numFmt w:val="lowerRoman"/>
      <w:lvlText w:val="%6."/>
      <w:lvlJc w:val="right"/>
      <w:pPr>
        <w:ind w:left="4320" w:hanging="180"/>
      </w:pPr>
    </w:lvl>
    <w:lvl w:ilvl="6" w:tplc="BD6C63A6">
      <w:start w:val="1"/>
      <w:numFmt w:val="decimal"/>
      <w:lvlText w:val="%7."/>
      <w:lvlJc w:val="left"/>
      <w:pPr>
        <w:ind w:left="5040" w:hanging="360"/>
      </w:pPr>
    </w:lvl>
    <w:lvl w:ilvl="7" w:tplc="4BB82232">
      <w:start w:val="1"/>
      <w:numFmt w:val="lowerLetter"/>
      <w:lvlText w:val="%8."/>
      <w:lvlJc w:val="left"/>
      <w:pPr>
        <w:ind w:left="5760" w:hanging="360"/>
      </w:pPr>
    </w:lvl>
    <w:lvl w:ilvl="8" w:tplc="63507EF6">
      <w:start w:val="1"/>
      <w:numFmt w:val="lowerRoman"/>
      <w:lvlText w:val="%9."/>
      <w:lvlJc w:val="right"/>
      <w:pPr>
        <w:ind w:left="6480" w:hanging="180"/>
      </w:pPr>
    </w:lvl>
  </w:abstractNum>
  <w:abstractNum w:abstractNumId="4" w15:restartNumberingAfterBreak="0">
    <w:nsid w:val="2BD953FA"/>
    <w:multiLevelType w:val="hybridMultilevel"/>
    <w:tmpl w:val="E4D07C2A"/>
    <w:lvl w:ilvl="0" w:tplc="EEE8C980">
      <w:start w:val="6"/>
      <w:numFmt w:val="lowerLetter"/>
      <w:lvlText w:val="%1)"/>
      <w:lvlJc w:val="left"/>
      <w:pPr>
        <w:ind w:left="720" w:hanging="360"/>
      </w:pPr>
      <w:rPr>
        <w:rFonts w:ascii="Bookman Old Style,Calibri" w:hAnsi="Bookman Old Style,Calibri" w:hint="default"/>
      </w:rPr>
    </w:lvl>
    <w:lvl w:ilvl="1" w:tplc="BC7EBF82">
      <w:start w:val="1"/>
      <w:numFmt w:val="lowerLetter"/>
      <w:lvlText w:val="%2."/>
      <w:lvlJc w:val="left"/>
      <w:pPr>
        <w:ind w:left="1440" w:hanging="360"/>
      </w:pPr>
    </w:lvl>
    <w:lvl w:ilvl="2" w:tplc="99E691FA">
      <w:start w:val="1"/>
      <w:numFmt w:val="lowerRoman"/>
      <w:lvlText w:val="%3."/>
      <w:lvlJc w:val="right"/>
      <w:pPr>
        <w:ind w:left="2160" w:hanging="180"/>
      </w:pPr>
    </w:lvl>
    <w:lvl w:ilvl="3" w:tplc="B8C845EE">
      <w:start w:val="1"/>
      <w:numFmt w:val="decimal"/>
      <w:lvlText w:val="%4."/>
      <w:lvlJc w:val="left"/>
      <w:pPr>
        <w:ind w:left="2880" w:hanging="360"/>
      </w:pPr>
    </w:lvl>
    <w:lvl w:ilvl="4" w:tplc="23F0F420">
      <w:start w:val="1"/>
      <w:numFmt w:val="lowerLetter"/>
      <w:lvlText w:val="%5."/>
      <w:lvlJc w:val="left"/>
      <w:pPr>
        <w:ind w:left="3600" w:hanging="360"/>
      </w:pPr>
    </w:lvl>
    <w:lvl w:ilvl="5" w:tplc="089818D0">
      <w:start w:val="1"/>
      <w:numFmt w:val="lowerRoman"/>
      <w:lvlText w:val="%6."/>
      <w:lvlJc w:val="right"/>
      <w:pPr>
        <w:ind w:left="4320" w:hanging="180"/>
      </w:pPr>
    </w:lvl>
    <w:lvl w:ilvl="6" w:tplc="652602BE">
      <w:start w:val="1"/>
      <w:numFmt w:val="decimal"/>
      <w:lvlText w:val="%7."/>
      <w:lvlJc w:val="left"/>
      <w:pPr>
        <w:ind w:left="5040" w:hanging="360"/>
      </w:pPr>
    </w:lvl>
    <w:lvl w:ilvl="7" w:tplc="A5BE0EA4">
      <w:start w:val="1"/>
      <w:numFmt w:val="lowerLetter"/>
      <w:lvlText w:val="%8."/>
      <w:lvlJc w:val="left"/>
      <w:pPr>
        <w:ind w:left="5760" w:hanging="360"/>
      </w:pPr>
    </w:lvl>
    <w:lvl w:ilvl="8" w:tplc="2CB477D6">
      <w:start w:val="1"/>
      <w:numFmt w:val="lowerRoman"/>
      <w:lvlText w:val="%9."/>
      <w:lvlJc w:val="right"/>
      <w:pPr>
        <w:ind w:left="6480" w:hanging="180"/>
      </w:pPr>
    </w:lvl>
  </w:abstractNum>
  <w:abstractNum w:abstractNumId="5" w15:restartNumberingAfterBreak="0">
    <w:nsid w:val="31151CB0"/>
    <w:multiLevelType w:val="hybridMultilevel"/>
    <w:tmpl w:val="5D5E6C12"/>
    <w:lvl w:ilvl="0" w:tplc="6A4C5040">
      <w:start w:val="5"/>
      <w:numFmt w:val="lowerLetter"/>
      <w:lvlText w:val="%1)"/>
      <w:lvlJc w:val="left"/>
      <w:pPr>
        <w:ind w:left="720" w:hanging="360"/>
      </w:pPr>
      <w:rPr>
        <w:rFonts w:ascii="Bookman Old Style,Calibri" w:hAnsi="Bookman Old Style,Calibri" w:hint="default"/>
      </w:rPr>
    </w:lvl>
    <w:lvl w:ilvl="1" w:tplc="39EC75DC">
      <w:start w:val="1"/>
      <w:numFmt w:val="lowerLetter"/>
      <w:lvlText w:val="%2."/>
      <w:lvlJc w:val="left"/>
      <w:pPr>
        <w:ind w:left="1440" w:hanging="360"/>
      </w:pPr>
    </w:lvl>
    <w:lvl w:ilvl="2" w:tplc="EAF8D398">
      <w:start w:val="1"/>
      <w:numFmt w:val="lowerRoman"/>
      <w:lvlText w:val="%3."/>
      <w:lvlJc w:val="right"/>
      <w:pPr>
        <w:ind w:left="2160" w:hanging="180"/>
      </w:pPr>
    </w:lvl>
    <w:lvl w:ilvl="3" w:tplc="2A8EF140">
      <w:start w:val="1"/>
      <w:numFmt w:val="decimal"/>
      <w:lvlText w:val="%4."/>
      <w:lvlJc w:val="left"/>
      <w:pPr>
        <w:ind w:left="2880" w:hanging="360"/>
      </w:pPr>
    </w:lvl>
    <w:lvl w:ilvl="4" w:tplc="C94E3A44">
      <w:start w:val="1"/>
      <w:numFmt w:val="lowerLetter"/>
      <w:lvlText w:val="%5."/>
      <w:lvlJc w:val="left"/>
      <w:pPr>
        <w:ind w:left="3600" w:hanging="360"/>
      </w:pPr>
    </w:lvl>
    <w:lvl w:ilvl="5" w:tplc="C5DAB27E">
      <w:start w:val="1"/>
      <w:numFmt w:val="lowerRoman"/>
      <w:lvlText w:val="%6."/>
      <w:lvlJc w:val="right"/>
      <w:pPr>
        <w:ind w:left="4320" w:hanging="180"/>
      </w:pPr>
    </w:lvl>
    <w:lvl w:ilvl="6" w:tplc="23E8F6BA">
      <w:start w:val="1"/>
      <w:numFmt w:val="decimal"/>
      <w:lvlText w:val="%7."/>
      <w:lvlJc w:val="left"/>
      <w:pPr>
        <w:ind w:left="5040" w:hanging="360"/>
      </w:pPr>
    </w:lvl>
    <w:lvl w:ilvl="7" w:tplc="04904B62">
      <w:start w:val="1"/>
      <w:numFmt w:val="lowerLetter"/>
      <w:lvlText w:val="%8."/>
      <w:lvlJc w:val="left"/>
      <w:pPr>
        <w:ind w:left="5760" w:hanging="360"/>
      </w:pPr>
    </w:lvl>
    <w:lvl w:ilvl="8" w:tplc="426442E4">
      <w:start w:val="1"/>
      <w:numFmt w:val="lowerRoman"/>
      <w:lvlText w:val="%9."/>
      <w:lvlJc w:val="right"/>
      <w:pPr>
        <w:ind w:left="6480" w:hanging="180"/>
      </w:pPr>
    </w:lvl>
  </w:abstractNum>
  <w:abstractNum w:abstractNumId="6" w15:restartNumberingAfterBreak="0">
    <w:nsid w:val="38D5A1AD"/>
    <w:multiLevelType w:val="hybridMultilevel"/>
    <w:tmpl w:val="2654E8BE"/>
    <w:lvl w:ilvl="0" w:tplc="6D109EE6">
      <w:start w:val="1"/>
      <w:numFmt w:val="decimal"/>
      <w:lvlText w:val="%1."/>
      <w:lvlJc w:val="left"/>
      <w:pPr>
        <w:ind w:left="720" w:hanging="360"/>
      </w:pPr>
      <w:rPr>
        <w:rFonts w:ascii="Bookman Old Style,Calibri" w:hAnsi="Bookman Old Style,Calibri" w:hint="default"/>
      </w:rPr>
    </w:lvl>
    <w:lvl w:ilvl="1" w:tplc="6852898A">
      <w:start w:val="1"/>
      <w:numFmt w:val="lowerLetter"/>
      <w:lvlText w:val="%2."/>
      <w:lvlJc w:val="left"/>
      <w:pPr>
        <w:ind w:left="1440" w:hanging="360"/>
      </w:pPr>
    </w:lvl>
    <w:lvl w:ilvl="2" w:tplc="01709C3A">
      <w:start w:val="1"/>
      <w:numFmt w:val="lowerRoman"/>
      <w:lvlText w:val="%3."/>
      <w:lvlJc w:val="right"/>
      <w:pPr>
        <w:ind w:left="2160" w:hanging="180"/>
      </w:pPr>
    </w:lvl>
    <w:lvl w:ilvl="3" w:tplc="E3CEEEDC">
      <w:start w:val="1"/>
      <w:numFmt w:val="decimal"/>
      <w:lvlText w:val="%4."/>
      <w:lvlJc w:val="left"/>
      <w:pPr>
        <w:ind w:left="2880" w:hanging="360"/>
      </w:pPr>
    </w:lvl>
    <w:lvl w:ilvl="4" w:tplc="1BACF172">
      <w:start w:val="1"/>
      <w:numFmt w:val="lowerLetter"/>
      <w:lvlText w:val="%5."/>
      <w:lvlJc w:val="left"/>
      <w:pPr>
        <w:ind w:left="3600" w:hanging="360"/>
      </w:pPr>
    </w:lvl>
    <w:lvl w:ilvl="5" w:tplc="4364C5AC">
      <w:start w:val="1"/>
      <w:numFmt w:val="lowerRoman"/>
      <w:lvlText w:val="%6."/>
      <w:lvlJc w:val="right"/>
      <w:pPr>
        <w:ind w:left="4320" w:hanging="180"/>
      </w:pPr>
    </w:lvl>
    <w:lvl w:ilvl="6" w:tplc="DB944F92">
      <w:start w:val="1"/>
      <w:numFmt w:val="decimal"/>
      <w:lvlText w:val="%7."/>
      <w:lvlJc w:val="left"/>
      <w:pPr>
        <w:ind w:left="5040" w:hanging="360"/>
      </w:pPr>
    </w:lvl>
    <w:lvl w:ilvl="7" w:tplc="1A0460B0">
      <w:start w:val="1"/>
      <w:numFmt w:val="lowerLetter"/>
      <w:lvlText w:val="%8."/>
      <w:lvlJc w:val="left"/>
      <w:pPr>
        <w:ind w:left="5760" w:hanging="360"/>
      </w:pPr>
    </w:lvl>
    <w:lvl w:ilvl="8" w:tplc="C960EC5C">
      <w:start w:val="1"/>
      <w:numFmt w:val="lowerRoman"/>
      <w:lvlText w:val="%9."/>
      <w:lvlJc w:val="right"/>
      <w:pPr>
        <w:ind w:left="6480" w:hanging="180"/>
      </w:pPr>
    </w:lvl>
  </w:abstractNum>
  <w:abstractNum w:abstractNumId="7" w15:restartNumberingAfterBreak="0">
    <w:nsid w:val="4119AEFE"/>
    <w:multiLevelType w:val="hybridMultilevel"/>
    <w:tmpl w:val="F030EBDE"/>
    <w:lvl w:ilvl="0" w:tplc="2466DA92">
      <w:start w:val="3"/>
      <w:numFmt w:val="decimal"/>
      <w:lvlText w:val="%1-"/>
      <w:lvlJc w:val="left"/>
      <w:pPr>
        <w:ind w:left="720" w:hanging="360"/>
      </w:pPr>
      <w:rPr>
        <w:rFonts w:ascii="Bookman Old Style,Calibri" w:hAnsi="Bookman Old Style,Calibri" w:hint="default"/>
      </w:rPr>
    </w:lvl>
    <w:lvl w:ilvl="1" w:tplc="8BFCC81E">
      <w:start w:val="1"/>
      <w:numFmt w:val="lowerLetter"/>
      <w:lvlText w:val="%2."/>
      <w:lvlJc w:val="left"/>
      <w:pPr>
        <w:ind w:left="1440" w:hanging="360"/>
      </w:pPr>
    </w:lvl>
    <w:lvl w:ilvl="2" w:tplc="B02C0478">
      <w:start w:val="1"/>
      <w:numFmt w:val="lowerRoman"/>
      <w:lvlText w:val="%3."/>
      <w:lvlJc w:val="right"/>
      <w:pPr>
        <w:ind w:left="2160" w:hanging="180"/>
      </w:pPr>
    </w:lvl>
    <w:lvl w:ilvl="3" w:tplc="DC08D37C">
      <w:start w:val="1"/>
      <w:numFmt w:val="decimal"/>
      <w:lvlText w:val="%4."/>
      <w:lvlJc w:val="left"/>
      <w:pPr>
        <w:ind w:left="2880" w:hanging="360"/>
      </w:pPr>
    </w:lvl>
    <w:lvl w:ilvl="4" w:tplc="B2FC1EDA">
      <w:start w:val="1"/>
      <w:numFmt w:val="lowerLetter"/>
      <w:lvlText w:val="%5."/>
      <w:lvlJc w:val="left"/>
      <w:pPr>
        <w:ind w:left="3600" w:hanging="360"/>
      </w:pPr>
    </w:lvl>
    <w:lvl w:ilvl="5" w:tplc="F1F6F376">
      <w:start w:val="1"/>
      <w:numFmt w:val="lowerRoman"/>
      <w:lvlText w:val="%6."/>
      <w:lvlJc w:val="right"/>
      <w:pPr>
        <w:ind w:left="4320" w:hanging="180"/>
      </w:pPr>
    </w:lvl>
    <w:lvl w:ilvl="6" w:tplc="A5982822">
      <w:start w:val="1"/>
      <w:numFmt w:val="decimal"/>
      <w:lvlText w:val="%7."/>
      <w:lvlJc w:val="left"/>
      <w:pPr>
        <w:ind w:left="5040" w:hanging="360"/>
      </w:pPr>
    </w:lvl>
    <w:lvl w:ilvl="7" w:tplc="EAF8D806">
      <w:start w:val="1"/>
      <w:numFmt w:val="lowerLetter"/>
      <w:lvlText w:val="%8."/>
      <w:lvlJc w:val="left"/>
      <w:pPr>
        <w:ind w:left="5760" w:hanging="360"/>
      </w:pPr>
    </w:lvl>
    <w:lvl w:ilvl="8" w:tplc="D74ABFC6">
      <w:start w:val="1"/>
      <w:numFmt w:val="lowerRoman"/>
      <w:lvlText w:val="%9."/>
      <w:lvlJc w:val="right"/>
      <w:pPr>
        <w:ind w:left="6480" w:hanging="180"/>
      </w:pPr>
    </w:lvl>
  </w:abstractNum>
  <w:abstractNum w:abstractNumId="8" w15:restartNumberingAfterBreak="0">
    <w:nsid w:val="4F5BD27C"/>
    <w:multiLevelType w:val="hybridMultilevel"/>
    <w:tmpl w:val="F1DC11AE"/>
    <w:lvl w:ilvl="0" w:tplc="A9967328">
      <w:start w:val="1"/>
      <w:numFmt w:val="lowerLetter"/>
      <w:lvlText w:val="%1)"/>
      <w:lvlJc w:val="left"/>
      <w:pPr>
        <w:ind w:left="720" w:hanging="360"/>
      </w:pPr>
      <w:rPr>
        <w:rFonts w:ascii="Bookman Old Style,Calibri" w:hAnsi="Bookman Old Style,Calibri" w:hint="default"/>
      </w:rPr>
    </w:lvl>
    <w:lvl w:ilvl="1" w:tplc="3912B766">
      <w:start w:val="1"/>
      <w:numFmt w:val="lowerLetter"/>
      <w:lvlText w:val="%2."/>
      <w:lvlJc w:val="left"/>
      <w:pPr>
        <w:ind w:left="1440" w:hanging="360"/>
      </w:pPr>
    </w:lvl>
    <w:lvl w:ilvl="2" w:tplc="718A269A">
      <w:start w:val="1"/>
      <w:numFmt w:val="lowerRoman"/>
      <w:lvlText w:val="%3."/>
      <w:lvlJc w:val="right"/>
      <w:pPr>
        <w:ind w:left="2160" w:hanging="180"/>
      </w:pPr>
    </w:lvl>
    <w:lvl w:ilvl="3" w:tplc="6310CE76">
      <w:start w:val="1"/>
      <w:numFmt w:val="decimal"/>
      <w:lvlText w:val="%4."/>
      <w:lvlJc w:val="left"/>
      <w:pPr>
        <w:ind w:left="2880" w:hanging="360"/>
      </w:pPr>
    </w:lvl>
    <w:lvl w:ilvl="4" w:tplc="2F4A79AC">
      <w:start w:val="1"/>
      <w:numFmt w:val="lowerLetter"/>
      <w:lvlText w:val="%5."/>
      <w:lvlJc w:val="left"/>
      <w:pPr>
        <w:ind w:left="3600" w:hanging="360"/>
      </w:pPr>
    </w:lvl>
    <w:lvl w:ilvl="5" w:tplc="26922FCE">
      <w:start w:val="1"/>
      <w:numFmt w:val="lowerRoman"/>
      <w:lvlText w:val="%6."/>
      <w:lvlJc w:val="right"/>
      <w:pPr>
        <w:ind w:left="4320" w:hanging="180"/>
      </w:pPr>
    </w:lvl>
    <w:lvl w:ilvl="6" w:tplc="73587646">
      <w:start w:val="1"/>
      <w:numFmt w:val="decimal"/>
      <w:lvlText w:val="%7."/>
      <w:lvlJc w:val="left"/>
      <w:pPr>
        <w:ind w:left="5040" w:hanging="360"/>
      </w:pPr>
    </w:lvl>
    <w:lvl w:ilvl="7" w:tplc="EA76400C">
      <w:start w:val="1"/>
      <w:numFmt w:val="lowerLetter"/>
      <w:lvlText w:val="%8."/>
      <w:lvlJc w:val="left"/>
      <w:pPr>
        <w:ind w:left="5760" w:hanging="360"/>
      </w:pPr>
    </w:lvl>
    <w:lvl w:ilvl="8" w:tplc="83FE3A96">
      <w:start w:val="1"/>
      <w:numFmt w:val="lowerRoman"/>
      <w:lvlText w:val="%9."/>
      <w:lvlJc w:val="right"/>
      <w:pPr>
        <w:ind w:left="6480" w:hanging="180"/>
      </w:pPr>
    </w:lvl>
  </w:abstractNum>
  <w:abstractNum w:abstractNumId="9" w15:restartNumberingAfterBreak="0">
    <w:nsid w:val="73B026DA"/>
    <w:multiLevelType w:val="hybridMultilevel"/>
    <w:tmpl w:val="B3E4BC5E"/>
    <w:lvl w:ilvl="0" w:tplc="E5EC1F9A">
      <w:start w:val="7"/>
      <w:numFmt w:val="lowerLetter"/>
      <w:lvlText w:val="%1)"/>
      <w:lvlJc w:val="left"/>
      <w:pPr>
        <w:ind w:left="720" w:hanging="360"/>
      </w:pPr>
      <w:rPr>
        <w:rFonts w:ascii="Bookman Old Style,Calibri" w:hAnsi="Bookman Old Style,Calibri" w:hint="default"/>
      </w:rPr>
    </w:lvl>
    <w:lvl w:ilvl="1" w:tplc="C4B4CCC2">
      <w:start w:val="1"/>
      <w:numFmt w:val="lowerLetter"/>
      <w:lvlText w:val="%2."/>
      <w:lvlJc w:val="left"/>
      <w:pPr>
        <w:ind w:left="1440" w:hanging="360"/>
      </w:pPr>
    </w:lvl>
    <w:lvl w:ilvl="2" w:tplc="B19C3F60">
      <w:start w:val="1"/>
      <w:numFmt w:val="lowerRoman"/>
      <w:lvlText w:val="%3."/>
      <w:lvlJc w:val="right"/>
      <w:pPr>
        <w:ind w:left="2160" w:hanging="180"/>
      </w:pPr>
    </w:lvl>
    <w:lvl w:ilvl="3" w:tplc="B49EA124">
      <w:start w:val="1"/>
      <w:numFmt w:val="decimal"/>
      <w:lvlText w:val="%4."/>
      <w:lvlJc w:val="left"/>
      <w:pPr>
        <w:ind w:left="2880" w:hanging="360"/>
      </w:pPr>
    </w:lvl>
    <w:lvl w:ilvl="4" w:tplc="8210255E">
      <w:start w:val="1"/>
      <w:numFmt w:val="lowerLetter"/>
      <w:lvlText w:val="%5."/>
      <w:lvlJc w:val="left"/>
      <w:pPr>
        <w:ind w:left="3600" w:hanging="360"/>
      </w:pPr>
    </w:lvl>
    <w:lvl w:ilvl="5" w:tplc="DCC626BC">
      <w:start w:val="1"/>
      <w:numFmt w:val="lowerRoman"/>
      <w:lvlText w:val="%6."/>
      <w:lvlJc w:val="right"/>
      <w:pPr>
        <w:ind w:left="4320" w:hanging="180"/>
      </w:pPr>
    </w:lvl>
    <w:lvl w:ilvl="6" w:tplc="7B4A63B8">
      <w:start w:val="1"/>
      <w:numFmt w:val="decimal"/>
      <w:lvlText w:val="%7."/>
      <w:lvlJc w:val="left"/>
      <w:pPr>
        <w:ind w:left="5040" w:hanging="360"/>
      </w:pPr>
    </w:lvl>
    <w:lvl w:ilvl="7" w:tplc="2A706D02">
      <w:start w:val="1"/>
      <w:numFmt w:val="lowerLetter"/>
      <w:lvlText w:val="%8."/>
      <w:lvlJc w:val="left"/>
      <w:pPr>
        <w:ind w:left="5760" w:hanging="360"/>
      </w:pPr>
    </w:lvl>
    <w:lvl w:ilvl="8" w:tplc="5B30BDCE">
      <w:start w:val="1"/>
      <w:numFmt w:val="lowerRoman"/>
      <w:lvlText w:val="%9."/>
      <w:lvlJc w:val="right"/>
      <w:pPr>
        <w:ind w:left="6480" w:hanging="180"/>
      </w:pPr>
    </w:lvl>
  </w:abstractNum>
  <w:abstractNum w:abstractNumId="10" w15:restartNumberingAfterBreak="0">
    <w:nsid w:val="79D2A1A8"/>
    <w:multiLevelType w:val="hybridMultilevel"/>
    <w:tmpl w:val="A79A3FD4"/>
    <w:lvl w:ilvl="0" w:tplc="FBC0AEB8">
      <w:start w:val="8"/>
      <w:numFmt w:val="lowerLetter"/>
      <w:lvlText w:val="%1)"/>
      <w:lvlJc w:val="left"/>
      <w:pPr>
        <w:ind w:left="720" w:hanging="360"/>
      </w:pPr>
      <w:rPr>
        <w:rFonts w:ascii="Bookman Old Style,Calibri" w:hAnsi="Bookman Old Style,Calibri" w:hint="default"/>
      </w:rPr>
    </w:lvl>
    <w:lvl w:ilvl="1" w:tplc="777AE5AA">
      <w:start w:val="1"/>
      <w:numFmt w:val="lowerLetter"/>
      <w:lvlText w:val="%2."/>
      <w:lvlJc w:val="left"/>
      <w:pPr>
        <w:ind w:left="1440" w:hanging="360"/>
      </w:pPr>
    </w:lvl>
    <w:lvl w:ilvl="2" w:tplc="3DD22AA2">
      <w:start w:val="1"/>
      <w:numFmt w:val="lowerRoman"/>
      <w:lvlText w:val="%3."/>
      <w:lvlJc w:val="right"/>
      <w:pPr>
        <w:ind w:left="2160" w:hanging="180"/>
      </w:pPr>
    </w:lvl>
    <w:lvl w:ilvl="3" w:tplc="150CD8DA">
      <w:start w:val="1"/>
      <w:numFmt w:val="decimal"/>
      <w:lvlText w:val="%4."/>
      <w:lvlJc w:val="left"/>
      <w:pPr>
        <w:ind w:left="2880" w:hanging="360"/>
      </w:pPr>
    </w:lvl>
    <w:lvl w:ilvl="4" w:tplc="AB406494">
      <w:start w:val="1"/>
      <w:numFmt w:val="lowerLetter"/>
      <w:lvlText w:val="%5."/>
      <w:lvlJc w:val="left"/>
      <w:pPr>
        <w:ind w:left="3600" w:hanging="360"/>
      </w:pPr>
    </w:lvl>
    <w:lvl w:ilvl="5" w:tplc="0BAC192C">
      <w:start w:val="1"/>
      <w:numFmt w:val="lowerRoman"/>
      <w:lvlText w:val="%6."/>
      <w:lvlJc w:val="right"/>
      <w:pPr>
        <w:ind w:left="4320" w:hanging="180"/>
      </w:pPr>
    </w:lvl>
    <w:lvl w:ilvl="6" w:tplc="2208F13A">
      <w:start w:val="1"/>
      <w:numFmt w:val="decimal"/>
      <w:lvlText w:val="%7."/>
      <w:lvlJc w:val="left"/>
      <w:pPr>
        <w:ind w:left="5040" w:hanging="360"/>
      </w:pPr>
    </w:lvl>
    <w:lvl w:ilvl="7" w:tplc="EF343C16">
      <w:start w:val="1"/>
      <w:numFmt w:val="lowerLetter"/>
      <w:lvlText w:val="%8."/>
      <w:lvlJc w:val="left"/>
      <w:pPr>
        <w:ind w:left="5760" w:hanging="360"/>
      </w:pPr>
    </w:lvl>
    <w:lvl w:ilvl="8" w:tplc="6E7625A4">
      <w:start w:val="1"/>
      <w:numFmt w:val="lowerRoman"/>
      <w:lvlText w:val="%9."/>
      <w:lvlJc w:val="right"/>
      <w:pPr>
        <w:ind w:left="6480" w:hanging="180"/>
      </w:pPr>
    </w:lvl>
  </w:abstractNum>
  <w:num w:numId="1" w16cid:durableId="28067924">
    <w:abstractNumId w:val="3"/>
  </w:num>
  <w:num w:numId="2" w16cid:durableId="85080226">
    <w:abstractNumId w:val="10"/>
  </w:num>
  <w:num w:numId="3" w16cid:durableId="162093923">
    <w:abstractNumId w:val="9"/>
  </w:num>
  <w:num w:numId="4" w16cid:durableId="676078796">
    <w:abstractNumId w:val="4"/>
  </w:num>
  <w:num w:numId="5" w16cid:durableId="1211458599">
    <w:abstractNumId w:val="5"/>
  </w:num>
  <w:num w:numId="6" w16cid:durableId="1546916610">
    <w:abstractNumId w:val="2"/>
  </w:num>
  <w:num w:numId="7" w16cid:durableId="141889116">
    <w:abstractNumId w:val="1"/>
  </w:num>
  <w:num w:numId="8" w16cid:durableId="74018661">
    <w:abstractNumId w:val="0"/>
  </w:num>
  <w:num w:numId="9" w16cid:durableId="2038387783">
    <w:abstractNumId w:val="8"/>
  </w:num>
  <w:num w:numId="10" w16cid:durableId="1226332762">
    <w:abstractNumId w:val="7"/>
  </w:num>
  <w:num w:numId="11" w16cid:durableId="9107009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32"/>
    <w:rsid w:val="00352113"/>
    <w:rsid w:val="00384F18"/>
    <w:rsid w:val="006508AF"/>
    <w:rsid w:val="00740F08"/>
    <w:rsid w:val="00840F32"/>
    <w:rsid w:val="00990988"/>
    <w:rsid w:val="00C06DE5"/>
    <w:rsid w:val="1111EBD7"/>
    <w:rsid w:val="2C54D56F"/>
    <w:rsid w:val="3C8D70D0"/>
    <w:rsid w:val="50C5AF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B7D74"/>
  <w15:docId w15:val="{9ECB1666-FA78-4FE4-9B7F-C468A4C06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40F3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0F32"/>
  </w:style>
  <w:style w:type="paragraph" w:styleId="Rodap">
    <w:name w:val="footer"/>
    <w:basedOn w:val="Normal"/>
    <w:link w:val="RodapChar"/>
    <w:uiPriority w:val="99"/>
    <w:unhideWhenUsed/>
    <w:rsid w:val="00840F32"/>
    <w:pPr>
      <w:tabs>
        <w:tab w:val="center" w:pos="4252"/>
        <w:tab w:val="right" w:pos="8504"/>
      </w:tabs>
      <w:spacing w:after="0" w:line="240" w:lineRule="auto"/>
    </w:pPr>
  </w:style>
  <w:style w:type="character" w:customStyle="1" w:styleId="RodapChar">
    <w:name w:val="Rodapé Char"/>
    <w:basedOn w:val="Fontepargpadro"/>
    <w:link w:val="Rodap"/>
    <w:uiPriority w:val="99"/>
    <w:rsid w:val="00840F32"/>
  </w:style>
  <w:style w:type="paragraph" w:styleId="Textodebalo">
    <w:name w:val="Balloon Text"/>
    <w:basedOn w:val="Normal"/>
    <w:link w:val="TextodebaloChar"/>
    <w:uiPriority w:val="99"/>
    <w:semiHidden/>
    <w:unhideWhenUsed/>
    <w:rsid w:val="00840F3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40F32"/>
    <w:rPr>
      <w:rFonts w:ascii="Tahoma" w:hAnsi="Tahoma" w:cs="Tahoma"/>
      <w:sz w:val="16"/>
      <w:szCs w:val="16"/>
    </w:rPr>
  </w:style>
  <w:style w:type="paragraph" w:customStyle="1" w:styleId="xmsonormal">
    <w:name w:val="x_msonormal"/>
    <w:basedOn w:val="Normal"/>
    <w:uiPriority w:val="1"/>
    <w:rsid w:val="1111EBD7"/>
    <w:pPr>
      <w:spacing w:beforeAutospacing="1" w:after="160" w:afterAutospacing="1" w:line="240" w:lineRule="auto"/>
    </w:pPr>
    <w:rPr>
      <w:rFonts w:eastAsiaTheme="minorEastAsia"/>
      <w:sz w:val="24"/>
      <w:szCs w:val="24"/>
      <w:lang w:eastAsia="pt-BR"/>
    </w:rPr>
  </w:style>
  <w:style w:type="paragraph" w:customStyle="1" w:styleId="Default">
    <w:name w:val="Default"/>
    <w:basedOn w:val="Normal"/>
    <w:uiPriority w:val="1"/>
    <w:rsid w:val="1111EBD7"/>
    <w:rPr>
      <w:rFonts w:eastAsiaTheme="minorEastAsia"/>
      <w:color w:val="000000" w:themeColor="text1"/>
      <w:sz w:val="24"/>
      <w:szCs w:val="24"/>
      <w:lang w:val="en-US" w:bidi="en-US"/>
    </w:rPr>
  </w:style>
  <w:style w:type="paragraph" w:customStyle="1" w:styleId="PadroA">
    <w:name w:val="Padrão A"/>
    <w:basedOn w:val="Normal"/>
    <w:uiPriority w:val="1"/>
    <w:rsid w:val="1111EBD7"/>
    <w:pPr>
      <w:spacing w:before="160" w:after="0" w:line="288" w:lineRule="auto"/>
    </w:pPr>
    <w:rPr>
      <w:rFonts w:eastAsiaTheme="minorEastAsia"/>
      <w:color w:val="000000" w:themeColor="text1"/>
      <w:sz w:val="24"/>
      <w:szCs w:val="24"/>
      <w:lang w:val="pt-PT" w:eastAsia="pt-BR"/>
    </w:rPr>
  </w:style>
  <w:style w:type="character" w:customStyle="1" w:styleId="Nenhum">
    <w:name w:val="Nenhum"/>
    <w:basedOn w:val="Fontepargpadro"/>
    <w:uiPriority w:val="1"/>
    <w:rsid w:val="1111EBD7"/>
    <w:rPr>
      <w:rFonts w:asciiTheme="minorHAnsi" w:eastAsiaTheme="minorEastAsia" w:hAnsiTheme="minorHAnsi" w:cstheme="minorBidi"/>
      <w:sz w:val="22"/>
      <w:szCs w:val="22"/>
      <w:lang w:val="pt-BR" w:eastAsia="en-US" w:bidi="ar-SA"/>
    </w:rPr>
  </w:style>
  <w:style w:type="paragraph" w:customStyle="1" w:styleId="CorpoA">
    <w:name w:val="Corpo A"/>
    <w:basedOn w:val="Normal"/>
    <w:uiPriority w:val="1"/>
    <w:rsid w:val="1111EBD7"/>
    <w:pPr>
      <w:spacing w:after="0" w:line="288" w:lineRule="auto"/>
      <w:ind w:firstLine="4479"/>
      <w:jc w:val="both"/>
    </w:pPr>
    <w:rPr>
      <w:rFonts w:eastAsiaTheme="minorEastAsia"/>
      <w:color w:val="000000" w:themeColor="text1"/>
      <w:sz w:val="26"/>
      <w:szCs w:val="26"/>
      <w:lang w:val="pt-PT" w:eastAsia="pt-BR"/>
    </w:rPr>
  </w:style>
  <w:style w:type="character" w:customStyle="1" w:styleId="Hyperlink0">
    <w:name w:val="Hyperlink.0"/>
    <w:basedOn w:val="Fontepargpadro"/>
    <w:uiPriority w:val="1"/>
    <w:rsid w:val="1111EBD7"/>
    <w:rPr>
      <w:rFonts w:asciiTheme="minorHAnsi" w:eastAsiaTheme="minorEastAsia" w:hAnsiTheme="minorHAnsi" w:cstheme="minorBidi"/>
      <w:sz w:val="24"/>
      <w:szCs w:val="24"/>
      <w:lang w:val="pt-BR" w:eastAsia="en-US" w:bidi="ar-SA"/>
    </w:rPr>
  </w:style>
  <w:style w:type="paragraph" w:styleId="PargrafodaLista">
    <w:name w:val="List Paragraph"/>
    <w:basedOn w:val="Normal"/>
    <w:uiPriority w:val="34"/>
    <w:qFormat/>
    <w:pPr>
      <w:ind w:left="720"/>
      <w:contextualSpacing/>
    </w:pPr>
  </w:style>
  <w:style w:type="character" w:styleId="Hyperlink">
    <w:name w:val="Hyperlink"/>
    <w:basedOn w:val="Fontepargpadro"/>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bcb.gov.br/estatisticas/reporttxjuros/path=conteudo%2Ftxcred%2FReports%2FTaxasCreditoConsolidadasporTaxasAnuaiHistorico.rdl&amp;nome=Hist%C3%B3rico%20Posterior%20a%2001%2F01%2F2012&amp;exibeparametros=tru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www.bcb.gov.br/?TXCREDMES" TargetMode="External"/><Relationship Id="rId10" Type="http://schemas.openxmlformats.org/officeDocument/2006/relationships/hyperlink" Target="https://www.bcb.gov.br/estatisticas/reporttxjuros/?parametros=tipopessoa:1;modalidade:216;encargo:10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bcb.gov.br/?ecoimp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47</Pages>
  <Words>11354</Words>
  <Characters>61317</Characters>
  <Application>Microsoft Office Word</Application>
  <DocSecurity>0</DocSecurity>
  <Lines>510</Lines>
  <Paragraphs>145</Paragraphs>
  <ScaleCrop>false</ScaleCrop>
  <Company/>
  <LinksUpToDate>false</LinksUpToDate>
  <CharactersWithSpaces>72526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Andreza Monaliza Krepe</cp:lastModifiedBy>
  <cp:revision>2</cp:revision>
  <dcterms:created xsi:type="dcterms:W3CDTF">2024-05-10T17:46:00Z</dcterms:created>
  <dcterms:modified xsi:type="dcterms:W3CDTF">2024-05-10T17:46:00Z</dcterms:modified>
</cp:coreProperties>
</file>