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62035" w14:textId="77777777" w:rsidR="002F599D" w:rsidRDefault="002F599D" w:rsidP="002F599D">
      <w:pPr>
        <w:pStyle w:val="Default"/>
        <w:rPr>
          <w:i/>
          <w:iCs/>
          <w:color w:val="365F91"/>
        </w:rPr>
      </w:pPr>
      <w:bookmarkStart w:id="0" w:name="_Toc502846790"/>
    </w:p>
    <w:p w14:paraId="336E6DB7" w14:textId="7EC5CE06" w:rsidR="002F599D" w:rsidRDefault="002F599D" w:rsidP="002F599D">
      <w:pPr>
        <w:pStyle w:val="VSCRPEn-tte"/>
        <w:spacing w:after="120"/>
        <w:jc w:val="left"/>
      </w:pPr>
      <w:r>
        <w:t xml:space="preserve">CONCOURS DE PROJET </w:t>
      </w:r>
      <w:r w:rsidR="008E7339">
        <w:t>cent</w:t>
      </w:r>
      <w:r w:rsidR="00C87566">
        <w:t>RE SOCLAIRE A SAXON</w:t>
      </w:r>
      <w:r>
        <w:t xml:space="preserve">│ </w:t>
      </w:r>
      <w:r w:rsidR="008E7339">
        <w:t xml:space="preserve">commune de </w:t>
      </w:r>
      <w:r w:rsidR="00C87566">
        <w:t>SAXON</w:t>
      </w:r>
    </w:p>
    <w:p w14:paraId="2E73E4DE" w14:textId="553A4BB3" w:rsidR="002F599D" w:rsidRDefault="002F599D" w:rsidP="002F599D">
      <w:pPr>
        <w:pStyle w:val="VSCRPEn-tte"/>
        <w:spacing w:before="120"/>
        <w:jc w:val="left"/>
      </w:pPr>
      <w:r>
        <w:t xml:space="preserve">RÈGLEMENT-PROGRAMME DE </w:t>
      </w:r>
      <w:proofErr w:type="gramStart"/>
      <w:r>
        <w:t>CONCOURS  I</w:t>
      </w:r>
      <w:proofErr w:type="gramEnd"/>
      <w:r>
        <w:t xml:space="preserve">  annexes</w:t>
      </w:r>
      <w:r w:rsidR="001B15AC">
        <w:t xml:space="preserve"> doc. 1.19.</w:t>
      </w:r>
      <w:r w:rsidR="002E40F0">
        <w:t>d</w:t>
      </w:r>
    </w:p>
    <w:p w14:paraId="2F1FD4E4" w14:textId="77777777" w:rsidR="002F599D" w:rsidRDefault="002F599D" w:rsidP="002F599D">
      <w:pPr>
        <w:pStyle w:val="Default"/>
        <w:rPr>
          <w:i/>
          <w:iCs/>
          <w:color w:val="365F91"/>
        </w:rPr>
      </w:pPr>
    </w:p>
    <w:p w14:paraId="73370A2A" w14:textId="77777777" w:rsidR="002F599D" w:rsidRDefault="002F599D" w:rsidP="002F599D">
      <w:pPr>
        <w:pStyle w:val="Default"/>
        <w:rPr>
          <w:i/>
          <w:iCs/>
          <w:color w:val="365F91"/>
        </w:rPr>
      </w:pPr>
    </w:p>
    <w:p w14:paraId="218DD735" w14:textId="77777777" w:rsidR="002F599D" w:rsidRDefault="002F599D" w:rsidP="002F599D">
      <w:pPr>
        <w:pStyle w:val="Default"/>
        <w:rPr>
          <w:rFonts w:ascii="Arial Narrow" w:hAnsi="Arial Narrow"/>
          <w:b/>
          <w:bCs/>
          <w:sz w:val="22"/>
          <w:szCs w:val="22"/>
        </w:rPr>
      </w:pPr>
      <w:r>
        <w:rPr>
          <w:i/>
          <w:iCs/>
          <w:color w:val="365F91"/>
        </w:rPr>
        <w:t>DPI 16-15 Voies d’évacuation et de sauvetage</w:t>
      </w:r>
      <w:bookmarkEnd w:id="0"/>
    </w:p>
    <w:p w14:paraId="5985E019" w14:textId="77777777" w:rsidR="002F599D" w:rsidRDefault="002F599D" w:rsidP="002F599D">
      <w:pPr>
        <w:pStyle w:val="Default"/>
        <w:rPr>
          <w:rFonts w:ascii="Arial Narrow" w:hAnsi="Arial Narrow"/>
          <w:b/>
          <w:bCs/>
          <w:sz w:val="22"/>
          <w:szCs w:val="22"/>
        </w:rPr>
      </w:pPr>
    </w:p>
    <w:p w14:paraId="7FF302BC" w14:textId="77777777" w:rsidR="002F599D" w:rsidRDefault="002F599D" w:rsidP="002F599D">
      <w:pPr>
        <w:pStyle w:val="Default"/>
      </w:pPr>
      <w:r>
        <w:rPr>
          <w:rFonts w:ascii="Arial Narrow" w:hAnsi="Arial Narrow"/>
          <w:b/>
          <w:bCs/>
          <w:sz w:val="22"/>
          <w:szCs w:val="22"/>
        </w:rPr>
        <w:t>Principe</w:t>
      </w:r>
      <w:r>
        <w:rPr>
          <w:rFonts w:ascii="Arial Narrow" w:hAnsi="Arial Narrow"/>
          <w:i/>
          <w:iCs/>
          <w:sz w:val="16"/>
          <w:szCs w:val="16"/>
        </w:rPr>
        <w:t xml:space="preserve"> DPI 16-15 2.4</w:t>
      </w:r>
    </w:p>
    <w:p w14:paraId="28BCD677" w14:textId="77777777" w:rsidR="002F599D" w:rsidRDefault="002F599D" w:rsidP="002F599D">
      <w:pPr>
        <w:pStyle w:val="Default"/>
        <w:spacing w:after="137"/>
        <w:rPr>
          <w:rFonts w:ascii="Arial Narrow" w:hAnsi="Arial Narrow"/>
          <w:sz w:val="22"/>
          <w:szCs w:val="22"/>
        </w:rPr>
      </w:pPr>
      <w:r>
        <w:rPr>
          <w:rFonts w:ascii="Arial Narrow" w:hAnsi="Arial Narrow"/>
          <w:sz w:val="22"/>
          <w:szCs w:val="22"/>
        </w:rPr>
        <w:t xml:space="preserve">1 Le nombre d'issues et de voies d'évacuation verticales (escaliers, par exemple) des bâtiments et des autres ouvrages dépend de la surface des niveaux, de la longueur des voies d'évacuation ainsi que du nombre d'occupants. </w:t>
      </w:r>
      <w:r>
        <w:rPr>
          <w:rFonts w:ascii="Arial Narrow" w:hAnsi="Arial Narrow"/>
          <w:i/>
          <w:iCs/>
          <w:sz w:val="16"/>
          <w:szCs w:val="16"/>
        </w:rPr>
        <w:t>DPI 16-15 2.4.1</w:t>
      </w:r>
    </w:p>
    <w:p w14:paraId="6F7C69EC" w14:textId="77777777" w:rsidR="002F599D" w:rsidRDefault="002F599D" w:rsidP="002F599D">
      <w:pPr>
        <w:pStyle w:val="Default"/>
        <w:rPr>
          <w:rFonts w:ascii="Arial Narrow" w:hAnsi="Arial Narrow"/>
          <w:sz w:val="22"/>
          <w:szCs w:val="22"/>
        </w:rPr>
      </w:pPr>
      <w:r>
        <w:rPr>
          <w:rFonts w:ascii="Arial Narrow" w:hAnsi="Arial Narrow"/>
          <w:sz w:val="22"/>
          <w:szCs w:val="22"/>
        </w:rPr>
        <w:t xml:space="preserve">2 Les voies d'évacuation verticales doivent mener à un lieu sûr à l'air libre. </w:t>
      </w:r>
      <w:r>
        <w:rPr>
          <w:rFonts w:ascii="Arial Narrow" w:hAnsi="Arial Narrow"/>
          <w:i/>
          <w:iCs/>
          <w:sz w:val="16"/>
          <w:szCs w:val="16"/>
        </w:rPr>
        <w:t>DPI 16-15 2.4.1</w:t>
      </w:r>
    </w:p>
    <w:p w14:paraId="12F862A5" w14:textId="77777777" w:rsidR="002F599D" w:rsidRDefault="002F599D" w:rsidP="002F599D">
      <w:pPr>
        <w:pStyle w:val="Default"/>
        <w:rPr>
          <w:rFonts w:ascii="Arial Narrow" w:hAnsi="Arial Narrow"/>
        </w:rPr>
      </w:pPr>
    </w:p>
    <w:p w14:paraId="5DED1A99" w14:textId="77777777" w:rsidR="002F599D" w:rsidRDefault="002F599D" w:rsidP="002F599D">
      <w:pPr>
        <w:pStyle w:val="Default"/>
        <w:spacing w:after="137"/>
        <w:rPr>
          <w:rFonts w:ascii="Arial Narrow" w:hAnsi="Arial Narrow"/>
          <w:sz w:val="22"/>
          <w:szCs w:val="22"/>
        </w:rPr>
      </w:pPr>
      <w:r>
        <w:rPr>
          <w:rFonts w:ascii="Arial Narrow" w:hAnsi="Arial Narrow"/>
          <w:sz w:val="22"/>
          <w:szCs w:val="22"/>
        </w:rPr>
        <w:t xml:space="preserve">3 Lorsqu'un ouvrage comporte plusieurs voies d'évacuation verticales, celles-ci doivent mener à un lieu sûr à l'air libre indépendamment les unes des autres. </w:t>
      </w:r>
      <w:r>
        <w:rPr>
          <w:rFonts w:ascii="Arial Narrow" w:hAnsi="Arial Narrow"/>
          <w:i/>
          <w:iCs/>
          <w:sz w:val="16"/>
          <w:szCs w:val="16"/>
        </w:rPr>
        <w:t>DPI 16-15 2.4.1</w:t>
      </w:r>
    </w:p>
    <w:p w14:paraId="6C22446F" w14:textId="77777777" w:rsidR="002F599D" w:rsidRDefault="002F599D" w:rsidP="002F599D">
      <w:pPr>
        <w:pStyle w:val="Default"/>
        <w:rPr>
          <w:rFonts w:ascii="Arial Narrow" w:hAnsi="Arial Narrow"/>
          <w:sz w:val="22"/>
          <w:szCs w:val="22"/>
        </w:rPr>
      </w:pPr>
      <w:r>
        <w:rPr>
          <w:rFonts w:ascii="Arial Narrow" w:hAnsi="Arial Narrow"/>
          <w:sz w:val="22"/>
          <w:szCs w:val="22"/>
        </w:rPr>
        <w:t xml:space="preserve">4 Les liaisons horizontales entre les voies d'évacuation verticales sont soumises aux mêmes exigences que ces dernières, à moins d'en être séparées par des fermetures coupe-feu. </w:t>
      </w:r>
      <w:r>
        <w:rPr>
          <w:rFonts w:ascii="Arial Narrow" w:hAnsi="Arial Narrow"/>
          <w:i/>
          <w:iCs/>
          <w:sz w:val="16"/>
          <w:szCs w:val="16"/>
        </w:rPr>
        <w:t>DPI 16-15 2.4.1</w:t>
      </w:r>
    </w:p>
    <w:p w14:paraId="79A842E4" w14:textId="77777777" w:rsidR="002F599D" w:rsidRDefault="002F599D" w:rsidP="002F599D">
      <w:pPr>
        <w:pStyle w:val="Default"/>
        <w:rPr>
          <w:rFonts w:ascii="Arial Narrow" w:hAnsi="Arial Narrow"/>
          <w:b/>
          <w:bCs/>
          <w:sz w:val="22"/>
          <w:szCs w:val="22"/>
        </w:rPr>
      </w:pPr>
    </w:p>
    <w:p w14:paraId="471B2CAC" w14:textId="77777777" w:rsidR="002F599D" w:rsidRDefault="002F599D" w:rsidP="002F599D">
      <w:pPr>
        <w:pStyle w:val="Default"/>
        <w:rPr>
          <w:rFonts w:ascii="Arial Narrow" w:hAnsi="Arial Narrow"/>
          <w:b/>
          <w:bCs/>
          <w:sz w:val="22"/>
          <w:szCs w:val="22"/>
        </w:rPr>
      </w:pPr>
      <w:r>
        <w:rPr>
          <w:rFonts w:ascii="Arial Narrow" w:hAnsi="Arial Narrow"/>
          <w:b/>
          <w:bCs/>
          <w:sz w:val="22"/>
          <w:szCs w:val="22"/>
        </w:rPr>
        <w:t>Nombre de voies d'évacuation verticales</w:t>
      </w:r>
      <w:r>
        <w:rPr>
          <w:rFonts w:ascii="Arial Narrow" w:hAnsi="Arial Narrow"/>
          <w:i/>
          <w:iCs/>
          <w:sz w:val="16"/>
          <w:szCs w:val="16"/>
        </w:rPr>
        <w:t xml:space="preserve"> DPI 16-15 2.4.2</w:t>
      </w:r>
    </w:p>
    <w:p w14:paraId="788DA875" w14:textId="77777777" w:rsidR="002F599D" w:rsidRDefault="002F599D" w:rsidP="002F599D">
      <w:pPr>
        <w:pStyle w:val="Default"/>
        <w:rPr>
          <w:rFonts w:ascii="Arial Narrow" w:hAnsi="Arial Narrow"/>
          <w:sz w:val="22"/>
          <w:szCs w:val="22"/>
        </w:rPr>
      </w:pPr>
      <w:r>
        <w:rPr>
          <w:rFonts w:ascii="Arial Narrow" w:hAnsi="Arial Narrow"/>
          <w:sz w:val="22"/>
          <w:szCs w:val="22"/>
        </w:rPr>
        <w:t xml:space="preserve">1 Les niveaux des bâtiments et autres ouvrages dont les voies d'évacuation menant de plain-pied à l'air libre ne sont pas suffisantes, doivent être desservis par des voies d'évacuation verticales selon les règles suivantes: </w:t>
      </w:r>
    </w:p>
    <w:p w14:paraId="6D8498DF" w14:textId="77777777" w:rsidR="002F599D" w:rsidRDefault="002F599D" w:rsidP="002F599D">
      <w:pPr>
        <w:pStyle w:val="Default"/>
        <w:numPr>
          <w:ilvl w:val="0"/>
          <w:numId w:val="1"/>
        </w:numPr>
        <w:rPr>
          <w:rFonts w:ascii="Arial Narrow" w:hAnsi="Arial Narrow"/>
          <w:sz w:val="22"/>
          <w:szCs w:val="22"/>
        </w:rPr>
      </w:pPr>
      <w:proofErr w:type="gramStart"/>
      <w:r>
        <w:rPr>
          <w:rFonts w:ascii="Arial Narrow" w:hAnsi="Arial Narrow"/>
          <w:sz w:val="22"/>
          <w:szCs w:val="22"/>
        </w:rPr>
        <w:t>a</w:t>
      </w:r>
      <w:proofErr w:type="gramEnd"/>
      <w:r>
        <w:rPr>
          <w:rFonts w:ascii="Arial Narrow" w:hAnsi="Arial Narrow"/>
          <w:sz w:val="22"/>
          <w:szCs w:val="22"/>
        </w:rPr>
        <w:t xml:space="preserve"> pour une surface de plancher jusqu'à 900 m2, par au moins une voie d'évacuation </w:t>
      </w:r>
      <w:proofErr w:type="gramStart"/>
      <w:r>
        <w:rPr>
          <w:rFonts w:ascii="Arial Narrow" w:hAnsi="Arial Narrow"/>
          <w:sz w:val="22"/>
          <w:szCs w:val="22"/>
        </w:rPr>
        <w:t>verticale;</w:t>
      </w:r>
      <w:proofErr w:type="gramEnd"/>
      <w:r>
        <w:rPr>
          <w:rFonts w:ascii="Arial Narrow" w:hAnsi="Arial Narrow"/>
          <w:sz w:val="22"/>
          <w:szCs w:val="22"/>
        </w:rPr>
        <w:t xml:space="preserve"> </w:t>
      </w:r>
    </w:p>
    <w:p w14:paraId="12E99355" w14:textId="77777777" w:rsidR="002F599D" w:rsidRDefault="002F599D" w:rsidP="002F599D">
      <w:pPr>
        <w:pStyle w:val="Default"/>
        <w:numPr>
          <w:ilvl w:val="0"/>
          <w:numId w:val="1"/>
        </w:numPr>
        <w:rPr>
          <w:rFonts w:ascii="Arial Narrow" w:hAnsi="Arial Narrow"/>
          <w:sz w:val="22"/>
          <w:szCs w:val="22"/>
        </w:rPr>
      </w:pPr>
      <w:proofErr w:type="gramStart"/>
      <w:r>
        <w:rPr>
          <w:rFonts w:ascii="Arial Narrow" w:hAnsi="Arial Narrow"/>
          <w:sz w:val="22"/>
          <w:szCs w:val="22"/>
        </w:rPr>
        <w:t>b</w:t>
      </w:r>
      <w:proofErr w:type="gramEnd"/>
      <w:r>
        <w:rPr>
          <w:rFonts w:ascii="Arial Narrow" w:hAnsi="Arial Narrow"/>
          <w:sz w:val="22"/>
          <w:szCs w:val="22"/>
        </w:rPr>
        <w:t xml:space="preserve"> pour une surface de plancher de plus de 900 m2, par au moins deux voies d'évacuation verticales. </w:t>
      </w:r>
    </w:p>
    <w:p w14:paraId="25C5E225" w14:textId="77777777" w:rsidR="002F599D" w:rsidRDefault="002F599D" w:rsidP="002F599D">
      <w:pPr>
        <w:pStyle w:val="Default"/>
        <w:rPr>
          <w:rFonts w:ascii="Arial Narrow" w:hAnsi="Arial Narrow"/>
          <w:sz w:val="20"/>
          <w:szCs w:val="20"/>
        </w:rPr>
      </w:pPr>
    </w:p>
    <w:p w14:paraId="33817D1C" w14:textId="77777777" w:rsidR="002F599D" w:rsidRDefault="002F599D" w:rsidP="002F599D">
      <w:pPr>
        <w:autoSpaceDE w:val="0"/>
        <w:autoSpaceDN w:val="0"/>
        <w:rPr>
          <w:rFonts w:ascii="Arial Narrow" w:hAnsi="Arial Narrow"/>
          <w:color w:val="000000"/>
        </w:rPr>
      </w:pPr>
      <w:r>
        <w:rPr>
          <w:rFonts w:ascii="Arial Narrow" w:hAnsi="Arial Narrow"/>
          <w:color w:val="000000"/>
        </w:rPr>
        <w:t xml:space="preserve">2 Les locaux recevant plus de </w:t>
      </w:r>
      <w:r>
        <w:rPr>
          <w:rFonts w:ascii="Arial Narrow" w:hAnsi="Arial Narrow"/>
          <w:b/>
          <w:bCs/>
          <w:color w:val="000000"/>
        </w:rPr>
        <w:t>100 personnes doivent être desservis par deux voies d'évacuation verticales</w:t>
      </w:r>
      <w:r>
        <w:rPr>
          <w:rFonts w:ascii="Arial Narrow" w:hAnsi="Arial Narrow"/>
          <w:color w:val="000000"/>
        </w:rPr>
        <w:t xml:space="preserve"> au minimum si les voies d'évacuation menant de plain-pied à l'air libre ne sont pas suffisantes pour les personnes. </w:t>
      </w:r>
    </w:p>
    <w:p w14:paraId="09A96295" w14:textId="77777777" w:rsidR="002F599D" w:rsidRDefault="002F599D" w:rsidP="002F599D">
      <w:pPr>
        <w:autoSpaceDE w:val="0"/>
        <w:autoSpaceDN w:val="0"/>
        <w:rPr>
          <w:rFonts w:ascii="Arial Narrow" w:hAnsi="Arial Narrow"/>
          <w:b/>
          <w:bCs/>
          <w:color w:val="000000"/>
        </w:rPr>
      </w:pPr>
    </w:p>
    <w:p w14:paraId="4237A593" w14:textId="77777777" w:rsidR="002F599D" w:rsidRDefault="002F599D" w:rsidP="002F599D">
      <w:pPr>
        <w:autoSpaceDE w:val="0"/>
        <w:autoSpaceDN w:val="0"/>
        <w:rPr>
          <w:rFonts w:ascii="Arial Narrow" w:hAnsi="Arial Narrow"/>
          <w:b/>
          <w:bCs/>
          <w:color w:val="000000"/>
        </w:rPr>
      </w:pPr>
      <w:r>
        <w:rPr>
          <w:rFonts w:ascii="Arial Narrow" w:hAnsi="Arial Narrow"/>
          <w:b/>
          <w:bCs/>
          <w:color w:val="000000"/>
        </w:rPr>
        <w:t>Longueur totale des voies d'évacuation</w:t>
      </w:r>
      <w:r>
        <w:rPr>
          <w:rFonts w:ascii="Arial Narrow" w:hAnsi="Arial Narrow"/>
          <w:i/>
          <w:iCs/>
        </w:rPr>
        <w:t xml:space="preserve"> </w:t>
      </w:r>
      <w:r>
        <w:rPr>
          <w:rFonts w:ascii="Arial Narrow" w:hAnsi="Arial Narrow"/>
          <w:i/>
          <w:iCs/>
          <w:sz w:val="16"/>
          <w:szCs w:val="16"/>
        </w:rPr>
        <w:t>DPI 16-15 2.4.3</w:t>
      </w:r>
    </w:p>
    <w:p w14:paraId="6BD7E220" w14:textId="77777777" w:rsidR="002F599D" w:rsidRDefault="002F599D" w:rsidP="002F599D">
      <w:pPr>
        <w:autoSpaceDE w:val="0"/>
        <w:autoSpaceDN w:val="0"/>
        <w:rPr>
          <w:rFonts w:ascii="Arial Narrow" w:hAnsi="Arial Narrow"/>
          <w:color w:val="000000"/>
        </w:rPr>
      </w:pPr>
      <w:r>
        <w:rPr>
          <w:rFonts w:ascii="Arial Narrow" w:hAnsi="Arial Narrow"/>
          <w:color w:val="000000"/>
        </w:rPr>
        <w:t xml:space="preserve">1 La longueur totale des voies d'évacuation est limitée à 35 m lorsqu'elles aboutissent à une seule voie d'évacuation verticale ou une seule issue donnant sur un lieu sûr à l'air libre. </w:t>
      </w:r>
    </w:p>
    <w:p w14:paraId="540ACAC7" w14:textId="77777777" w:rsidR="002F599D" w:rsidRDefault="002F599D" w:rsidP="002F599D">
      <w:pPr>
        <w:autoSpaceDE w:val="0"/>
        <w:autoSpaceDN w:val="0"/>
        <w:rPr>
          <w:rFonts w:ascii="Arial Narrow" w:hAnsi="Arial Narrow"/>
          <w:color w:val="000000"/>
        </w:rPr>
      </w:pPr>
    </w:p>
    <w:p w14:paraId="3D121686" w14:textId="77777777" w:rsidR="002F599D" w:rsidRDefault="002F599D" w:rsidP="002F599D">
      <w:pPr>
        <w:autoSpaceDE w:val="0"/>
        <w:autoSpaceDN w:val="0"/>
        <w:rPr>
          <w:rFonts w:ascii="Arial Narrow" w:hAnsi="Arial Narrow"/>
          <w:color w:val="000000"/>
        </w:rPr>
      </w:pPr>
      <w:r>
        <w:rPr>
          <w:rFonts w:ascii="Arial Narrow" w:hAnsi="Arial Narrow"/>
          <w:color w:val="000000"/>
        </w:rPr>
        <w:t xml:space="preserve">2 Leur longueur totale est limitée à 50 m lorsqu'elles aboutissent à au moins deux voies d'évacuation verticales ou issues, éloignées l'une de l'autre et donnant sur l'air libre. </w:t>
      </w:r>
    </w:p>
    <w:p w14:paraId="79F6F189" w14:textId="77777777" w:rsidR="002F599D" w:rsidRDefault="002F599D" w:rsidP="002F599D">
      <w:pPr>
        <w:autoSpaceDE w:val="0"/>
        <w:autoSpaceDN w:val="0"/>
        <w:rPr>
          <w:rFonts w:ascii="Arial Narrow" w:hAnsi="Arial Narrow"/>
          <w:b/>
          <w:bCs/>
          <w:color w:val="000000"/>
        </w:rPr>
      </w:pPr>
    </w:p>
    <w:p w14:paraId="119D1354" w14:textId="77777777" w:rsidR="002F599D" w:rsidRDefault="002F599D" w:rsidP="002F599D">
      <w:pPr>
        <w:autoSpaceDE w:val="0"/>
        <w:autoSpaceDN w:val="0"/>
        <w:rPr>
          <w:rFonts w:ascii="Arial Narrow" w:hAnsi="Arial Narrow"/>
          <w:b/>
          <w:bCs/>
          <w:color w:val="000000"/>
        </w:rPr>
      </w:pPr>
      <w:r>
        <w:rPr>
          <w:rFonts w:ascii="Arial Narrow" w:hAnsi="Arial Narrow"/>
          <w:b/>
          <w:bCs/>
          <w:color w:val="000000"/>
        </w:rPr>
        <w:t xml:space="preserve">Longueur des voies d'évacuation à l'intérieur d'une unité d'utilisation </w:t>
      </w:r>
      <w:r>
        <w:rPr>
          <w:rFonts w:ascii="Arial Narrow" w:hAnsi="Arial Narrow"/>
          <w:i/>
          <w:iCs/>
          <w:sz w:val="16"/>
          <w:szCs w:val="16"/>
        </w:rPr>
        <w:t>DPI 16-15 2.4.4</w:t>
      </w:r>
    </w:p>
    <w:p w14:paraId="51FB290C" w14:textId="77777777" w:rsidR="002F599D" w:rsidRDefault="002F599D" w:rsidP="002F599D">
      <w:pPr>
        <w:autoSpaceDE w:val="0"/>
        <w:autoSpaceDN w:val="0"/>
        <w:rPr>
          <w:rFonts w:ascii="Arial Narrow" w:hAnsi="Arial Narrow"/>
          <w:color w:val="000000"/>
        </w:rPr>
      </w:pPr>
      <w:r>
        <w:rPr>
          <w:rFonts w:ascii="Arial Narrow" w:hAnsi="Arial Narrow"/>
          <w:color w:val="000000"/>
        </w:rPr>
        <w:t xml:space="preserve">1 La longueur des voies d'évacuation à l'intérieur d'une unité d'utilisation ne doit pas excéder 35 m. </w:t>
      </w:r>
    </w:p>
    <w:p w14:paraId="2B629FA8" w14:textId="77777777" w:rsidR="002F599D" w:rsidRDefault="002F599D" w:rsidP="002F599D">
      <w:pPr>
        <w:autoSpaceDE w:val="0"/>
        <w:autoSpaceDN w:val="0"/>
        <w:rPr>
          <w:rFonts w:ascii="Arial Narrow" w:hAnsi="Arial Narrow"/>
          <w:color w:val="000000"/>
        </w:rPr>
      </w:pPr>
      <w:r>
        <w:rPr>
          <w:rFonts w:ascii="Arial Narrow" w:hAnsi="Arial Narrow"/>
          <w:color w:val="000000"/>
        </w:rPr>
        <w:t xml:space="preserve">2 Lorsque les issues ne donnent pas directement sur un lieu sûr à l'air libre ou sur une voie d'évacuation verticale dans la limite des 35 m, il faut aménager une voie d'évacuation horizontale servant de liaison (par exemple un couloir résistant au feu ou une coursive extérieure). </w:t>
      </w:r>
    </w:p>
    <w:p w14:paraId="0193B1E6" w14:textId="77777777" w:rsidR="002F599D" w:rsidRDefault="002F599D" w:rsidP="002F599D">
      <w:pPr>
        <w:autoSpaceDE w:val="0"/>
        <w:autoSpaceDN w:val="0"/>
        <w:rPr>
          <w:rFonts w:ascii="Arial" w:hAnsi="Arial" w:cs="Arial"/>
          <w:color w:val="000000"/>
        </w:rPr>
      </w:pPr>
      <w:r>
        <w:rPr>
          <w:rFonts w:ascii="Arial Narrow" w:hAnsi="Arial Narrow"/>
          <w:color w:val="000000"/>
        </w:rPr>
        <w:t xml:space="preserve">3 En concertation avec l'autorité de protection incendie, la longueur maximale de la voie d'évacuation peut être portée à 50 m dans les locaux de grande hauteur, à condition qu'il y ait plusieurs sens de fuite. </w:t>
      </w:r>
    </w:p>
    <w:p w14:paraId="1A1C6B12" w14:textId="77777777" w:rsidR="002F599D" w:rsidRDefault="002F599D" w:rsidP="002F599D">
      <w:pPr>
        <w:autoSpaceDE w:val="0"/>
        <w:autoSpaceDN w:val="0"/>
        <w:rPr>
          <w:rFonts w:ascii="Arial Narrow" w:hAnsi="Arial Narrow"/>
          <w:color w:val="000000"/>
        </w:rPr>
      </w:pPr>
    </w:p>
    <w:p w14:paraId="4F4452F4" w14:textId="77777777" w:rsidR="002F599D" w:rsidRDefault="002F599D" w:rsidP="002F599D">
      <w:pPr>
        <w:autoSpaceDE w:val="0"/>
        <w:autoSpaceDN w:val="0"/>
        <w:rPr>
          <w:rFonts w:ascii="Arial Narrow" w:hAnsi="Arial Narrow"/>
          <w:color w:val="000000"/>
        </w:rPr>
      </w:pPr>
      <w:r>
        <w:rPr>
          <w:noProof/>
          <w:lang w:eastAsia="fr-CH"/>
        </w:rPr>
        <w:lastRenderedPageBreak/>
        <w:drawing>
          <wp:inline distT="0" distB="0" distL="0" distR="0" wp14:anchorId="4F6308AC" wp14:editId="25509FC7">
            <wp:extent cx="3234690" cy="2352040"/>
            <wp:effectExtent l="0" t="0" r="3810" b="0"/>
            <wp:docPr id="2" name="Image 2" descr="Capture d’éc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descr="Capture d’écran"/>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3234690" cy="2352040"/>
                    </a:xfrm>
                    <a:prstGeom prst="rect">
                      <a:avLst/>
                    </a:prstGeom>
                    <a:noFill/>
                    <a:ln>
                      <a:noFill/>
                    </a:ln>
                  </pic:spPr>
                </pic:pic>
              </a:graphicData>
            </a:graphic>
          </wp:inline>
        </w:drawing>
      </w:r>
      <w:r>
        <w:rPr>
          <w:noProof/>
          <w:lang w:eastAsia="fr-CH"/>
        </w:rPr>
        <w:drawing>
          <wp:inline distT="0" distB="0" distL="0" distR="0" wp14:anchorId="210E6159" wp14:editId="3FB954D2">
            <wp:extent cx="3250565" cy="3187065"/>
            <wp:effectExtent l="0" t="0" r="6985" b="0"/>
            <wp:docPr id="1" name="Image 1" descr="Capture d’éc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Capture d’écran"/>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3250565" cy="3187065"/>
                    </a:xfrm>
                    <a:prstGeom prst="rect">
                      <a:avLst/>
                    </a:prstGeom>
                    <a:noFill/>
                    <a:ln>
                      <a:noFill/>
                    </a:ln>
                  </pic:spPr>
                </pic:pic>
              </a:graphicData>
            </a:graphic>
          </wp:inline>
        </w:drawing>
      </w:r>
    </w:p>
    <w:p w14:paraId="0B2F2F93" w14:textId="77777777" w:rsidR="002F599D" w:rsidRDefault="002F599D" w:rsidP="002F599D"/>
    <w:p w14:paraId="2C40DCCA" w14:textId="77777777" w:rsidR="00833638" w:rsidRDefault="00833638"/>
    <w:sectPr w:rsidR="008336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11D07"/>
    <w:multiLevelType w:val="hybridMultilevel"/>
    <w:tmpl w:val="7A905388"/>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start w:val="1"/>
      <w:numFmt w:val="bullet"/>
      <w:lvlText w:val=""/>
      <w:lvlJc w:val="left"/>
      <w:pPr>
        <w:ind w:left="2880" w:hanging="360"/>
      </w:pPr>
      <w:rPr>
        <w:rFonts w:ascii="Symbol" w:hAnsi="Symbol" w:hint="default"/>
      </w:rPr>
    </w:lvl>
    <w:lvl w:ilvl="4" w:tplc="100C0003">
      <w:start w:val="1"/>
      <w:numFmt w:val="bullet"/>
      <w:lvlText w:val="o"/>
      <w:lvlJc w:val="left"/>
      <w:pPr>
        <w:ind w:left="3600" w:hanging="360"/>
      </w:pPr>
      <w:rPr>
        <w:rFonts w:ascii="Courier New" w:hAnsi="Courier New" w:cs="Courier New" w:hint="default"/>
      </w:rPr>
    </w:lvl>
    <w:lvl w:ilvl="5" w:tplc="100C0005">
      <w:start w:val="1"/>
      <w:numFmt w:val="bullet"/>
      <w:lvlText w:val=""/>
      <w:lvlJc w:val="left"/>
      <w:pPr>
        <w:ind w:left="4320" w:hanging="360"/>
      </w:pPr>
      <w:rPr>
        <w:rFonts w:ascii="Wingdings" w:hAnsi="Wingdings" w:hint="default"/>
      </w:rPr>
    </w:lvl>
    <w:lvl w:ilvl="6" w:tplc="100C0001">
      <w:start w:val="1"/>
      <w:numFmt w:val="bullet"/>
      <w:lvlText w:val=""/>
      <w:lvlJc w:val="left"/>
      <w:pPr>
        <w:ind w:left="5040" w:hanging="360"/>
      </w:pPr>
      <w:rPr>
        <w:rFonts w:ascii="Symbol" w:hAnsi="Symbol" w:hint="default"/>
      </w:rPr>
    </w:lvl>
    <w:lvl w:ilvl="7" w:tplc="100C0003">
      <w:start w:val="1"/>
      <w:numFmt w:val="bullet"/>
      <w:lvlText w:val="o"/>
      <w:lvlJc w:val="left"/>
      <w:pPr>
        <w:ind w:left="5760" w:hanging="360"/>
      </w:pPr>
      <w:rPr>
        <w:rFonts w:ascii="Courier New" w:hAnsi="Courier New" w:cs="Courier New" w:hint="default"/>
      </w:rPr>
    </w:lvl>
    <w:lvl w:ilvl="8" w:tplc="100C0005">
      <w:start w:val="1"/>
      <w:numFmt w:val="bullet"/>
      <w:lvlText w:val=""/>
      <w:lvlJc w:val="left"/>
      <w:pPr>
        <w:ind w:left="6480" w:hanging="360"/>
      </w:pPr>
      <w:rPr>
        <w:rFonts w:ascii="Wingdings" w:hAnsi="Wingdings" w:hint="default"/>
      </w:rPr>
    </w:lvl>
  </w:abstractNum>
  <w:num w:numId="1" w16cid:durableId="1599872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99D"/>
    <w:rsid w:val="001B15AC"/>
    <w:rsid w:val="002E40F0"/>
    <w:rsid w:val="002F599D"/>
    <w:rsid w:val="00362784"/>
    <w:rsid w:val="005A42C0"/>
    <w:rsid w:val="00656174"/>
    <w:rsid w:val="00833638"/>
    <w:rsid w:val="008E7339"/>
    <w:rsid w:val="00976B29"/>
    <w:rsid w:val="0099159B"/>
    <w:rsid w:val="00AE3D63"/>
    <w:rsid w:val="00C87566"/>
    <w:rsid w:val="00EC6B40"/>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1B8B2"/>
  <w15:chartTrackingRefBased/>
  <w15:docId w15:val="{587B27A5-600C-4394-BD10-A75842851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99D"/>
    <w:pPr>
      <w:spacing w:after="0" w:line="240" w:lineRule="auto"/>
    </w:pPr>
    <w:rPr>
      <w:rFonts w:ascii="Calibri" w:hAnsi="Calibri" w:cs="Calibr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basedOn w:val="Normal"/>
    <w:rsid w:val="002F599D"/>
    <w:pPr>
      <w:autoSpaceDE w:val="0"/>
      <w:autoSpaceDN w:val="0"/>
    </w:pPr>
    <w:rPr>
      <w:rFonts w:ascii="Arial" w:hAnsi="Arial" w:cs="Arial"/>
      <w:color w:val="000000"/>
      <w:sz w:val="24"/>
      <w:szCs w:val="24"/>
    </w:rPr>
  </w:style>
  <w:style w:type="paragraph" w:customStyle="1" w:styleId="VSCRPEn-tte">
    <w:name w:val="VS_CRP_En-tête"/>
    <w:basedOn w:val="Normal"/>
    <w:link w:val="VSCRPEn-tteCar"/>
    <w:qFormat/>
    <w:rsid w:val="002F599D"/>
    <w:pPr>
      <w:overflowPunct w:val="0"/>
      <w:autoSpaceDE w:val="0"/>
      <w:autoSpaceDN w:val="0"/>
      <w:adjustRightInd w:val="0"/>
      <w:spacing w:before="160"/>
      <w:contextualSpacing/>
      <w:jc w:val="both"/>
      <w:textAlignment w:val="baseline"/>
    </w:pPr>
    <w:rPr>
      <w:rFonts w:ascii="Arial" w:eastAsia="Times New Roman" w:hAnsi="Arial" w:cs="Arial"/>
      <w:caps/>
      <w:sz w:val="15"/>
      <w:szCs w:val="15"/>
      <w:lang w:val="fr-FR" w:eastAsia="fr-FR"/>
    </w:rPr>
  </w:style>
  <w:style w:type="character" w:customStyle="1" w:styleId="VSCRPEn-tteCar">
    <w:name w:val="VS_CRP_En-tête Car"/>
    <w:basedOn w:val="Policepardfaut"/>
    <w:link w:val="VSCRPEn-tte"/>
    <w:rsid w:val="002F599D"/>
    <w:rPr>
      <w:rFonts w:ascii="Arial" w:eastAsia="Times New Roman" w:hAnsi="Arial" w:cs="Arial"/>
      <w:caps/>
      <w:sz w:val="15"/>
      <w:szCs w:val="15"/>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524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6.png@01DB5237.D72385F0"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cid:image005.png@01DB5237.D72385F0"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417</Words>
  <Characters>2294</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Etat du Valais - Staat Wallis</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LUGON-MOULIN</dc:creator>
  <cp:keywords/>
  <dc:description/>
  <cp:lastModifiedBy>Christophe LUGON-MOULIN</cp:lastModifiedBy>
  <cp:revision>6</cp:revision>
  <cp:lastPrinted>2026-07-01T12:04:00Z</cp:lastPrinted>
  <dcterms:created xsi:type="dcterms:W3CDTF">2025-01-14T13:43:00Z</dcterms:created>
  <dcterms:modified xsi:type="dcterms:W3CDTF">2026-07-01T12:04:00Z</dcterms:modified>
</cp:coreProperties>
</file>