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1F6F54"/>
          <w:sz w:val="20"/>
          <w:szCs w:val="20"/>
        </w:rPr>
        <w:t xml:space="preserve">FIELDEYES MINERAL PLATFORM</w:t>
      </w:r>
    </w:p>
    <w:p>
      <w:pPr>
        <w:spacing w:after="0" w:before="120"/>
      </w:pPr>
      <w:r>
        <w:rPr>
          <w:b/>
          <w:bCs/>
          <w:color w:val="1C1917"/>
          <w:sz w:val="60"/>
          <w:szCs w:val="60"/>
        </w:rPr>
        <w:t xml:space="preserve">Lots &amp; Compliance</w:t>
      </w:r>
    </w:p>
    <w:p>
      <w:pPr>
        <w:spacing w:after="260" w:before="40"/>
      </w:pPr>
      <w:r>
        <w:rPr>
          <w:color w:val="57534E"/>
          <w:sz w:val="28"/>
          <w:szCs w:val="28"/>
        </w:rPr>
        <w:t xml:space="preserve">A simple guide for everyone in the chain</w:t>
      </w:r>
    </w:p>
    <w:p>
      <w:pPr>
        <w:pBdr>
          <w:bottom w:val="single" w:color="1F6F54" w:sz="8"/>
        </w:pBdr>
        <w:spacing w:after="200"/>
      </w:pPr>
    </w:p>
    <w:p>
      <w:pPr>
        <w:spacing w:after="120" w:line="276"/>
      </w:pPr>
      <w:r>
        <w:rPr>
          <w:color w:val="57534E"/>
          <w:sz w:val="22"/>
          <w:szCs w:val="22"/>
        </w:rPr>
        <w:t xml:space="preserve">For mine operators, transporters, exporters and inspectors.</w:t>
      </w:r>
    </w:p>
    <w:p>
      <w:pPr>
        <w:spacing w:after="120" w:line="276"/>
      </w:pPr>
      <w:r>
        <w:rPr>
          <w:color w:val="57534E"/>
          <w:sz w:val="22"/>
          <w:szCs w:val="22"/>
        </w:rPr>
        <w:t xml:space="preserve">This guide covers the Lots &amp; Compliance section only: how to register a lot, keep its paperwork straight, hand it to the next person, and get it ready to export.</w:t>
      </w:r>
    </w:p>
    <w:p>
      <w:pPr>
        <w:spacing w:before="400"/>
      </w:pPr>
      <w:r>
        <w:br w:type="page"/>
      </w:r>
    </w:p>
    <w:p>
      <w:pPr>
        <w:pStyle w:val="Heading1"/>
        <w:spacing w:after="160" w:before="360"/>
      </w:pPr>
      <w:r>
        <w:rPr>
          <w:b/>
          <w:bCs/>
          <w:color w:val="1F6F54"/>
          <w:sz w:val="32"/>
          <w:szCs w:val="32"/>
        </w:rPr>
        <w:t xml:space="preserve">Contents</w:t>
      </w:r>
    </w:p>
    <w:p>
      <w:pPr>
        <w:spacing w:after="60"/>
      </w:pPr>
    </w:p>
    <w:p>
      <w:pPr>
        <w:spacing w:after="20" w:before="140"/>
      </w:pPr>
      <w:r>
        <w:rPr>
          <w:b/>
          <w:bCs/>
          <w:color w:val="1C1917"/>
          <w:sz w:val="22"/>
          <w:szCs w:val="22"/>
        </w:rPr>
        <w:t xml:space="preserve">1. Start here</w:t>
      </w:r>
    </w:p>
    <w:p>
      <w:pPr>
        <w:spacing w:after="0" w:line="264"/>
        <w:ind w:left="20"/>
      </w:pPr>
      <w:r>
        <w:rPr>
          <w:color w:val="57534E"/>
          <w:sz w:val="20"/>
          <w:szCs w:val="20"/>
        </w:rPr>
        <w:t xml:space="preserve">What the section is for, where to find it, and what your role sees</w:t>
      </w:r>
    </w:p>
    <w:p>
      <w:pPr>
        <w:spacing w:after="20" w:before="140"/>
      </w:pPr>
      <w:r>
        <w:rPr>
          <w:b/>
          <w:bCs/>
          <w:color w:val="1C1917"/>
          <w:sz w:val="22"/>
          <w:szCs w:val="22"/>
        </w:rPr>
        <w:t xml:space="preserve">2. The Lots tab</w:t>
      </w:r>
    </w:p>
    <w:p>
      <w:pPr>
        <w:spacing w:after="0" w:line="264"/>
        <w:ind w:left="20"/>
      </w:pPr>
      <w:r>
        <w:rPr>
          <w:color w:val="57534E"/>
          <w:sz w:val="20"/>
          <w:szCs w:val="20"/>
        </w:rPr>
        <w:t xml:space="preserve">Reading the list, registering a lot, which minerals you can choose</w:t>
      </w:r>
    </w:p>
    <w:p>
      <w:pPr>
        <w:spacing w:after="20" w:before="140"/>
      </w:pPr>
      <w:r>
        <w:rPr>
          <w:b/>
          <w:bCs/>
          <w:color w:val="1C1917"/>
          <w:sz w:val="22"/>
          <w:szCs w:val="22"/>
        </w:rPr>
        <w:t xml:space="preserve">3. The Compliance tab</w:t>
      </w:r>
    </w:p>
    <w:p>
      <w:pPr>
        <w:spacing w:after="0" w:line="264"/>
        <w:ind w:left="20"/>
      </w:pPr>
      <w:r>
        <w:rPr>
          <w:color w:val="57534E"/>
          <w:sz w:val="20"/>
          <w:szCs w:val="20"/>
        </w:rPr>
        <w:t xml:space="preserve">Status board, CoC Lots, Mine Sites, Exports, Due Diligence, Audits, Documents</w:t>
      </w:r>
    </w:p>
    <w:p>
      <w:pPr>
        <w:spacing w:after="20" w:before="140"/>
      </w:pPr>
      <w:r>
        <w:rPr>
          <w:b/>
          <w:bCs/>
          <w:color w:val="1C1917"/>
          <w:sz w:val="22"/>
          <w:szCs w:val="22"/>
        </w:rPr>
        <w:t xml:space="preserve">4. The Traceability tab</w:t>
      </w:r>
    </w:p>
    <w:p>
      <w:pPr>
        <w:spacing w:after="0" w:line="264"/>
        <w:ind w:left="20"/>
      </w:pPr>
      <w:r>
        <w:rPr>
          <w:color w:val="57534E"/>
          <w:sz w:val="20"/>
          <w:szCs w:val="20"/>
        </w:rPr>
        <w:t xml:space="preserve">Finding a lot, handovers, transport, processing, the public QR code</w:t>
      </w:r>
    </w:p>
    <w:p>
      <w:pPr>
        <w:spacing w:after="20" w:before="140"/>
      </w:pPr>
      <w:r>
        <w:rPr>
          <w:b/>
          <w:bCs/>
          <w:color w:val="1C1917"/>
          <w:sz w:val="22"/>
          <w:szCs w:val="22"/>
        </w:rPr>
        <w:t xml:space="preserve">5. A lot from start to finish</w:t>
      </w:r>
    </w:p>
    <w:p>
      <w:pPr>
        <w:spacing w:after="0" w:line="264"/>
        <w:ind w:left="20"/>
      </w:pPr>
      <w:r>
        <w:rPr>
          <w:color w:val="57534E"/>
          <w:sz w:val="20"/>
          <w:szCs w:val="20"/>
        </w:rPr>
        <w:t xml:space="preserve">One lot followed through every step</w:t>
      </w:r>
    </w:p>
    <w:p>
      <w:pPr>
        <w:spacing w:after="20" w:before="140"/>
      </w:pPr>
      <w:r>
        <w:rPr>
          <w:b/>
          <w:bCs/>
          <w:color w:val="1C1917"/>
          <w:sz w:val="22"/>
          <w:szCs w:val="22"/>
        </w:rPr>
        <w:t xml:space="preserve">6. When something does not work</w:t>
      </w:r>
    </w:p>
    <w:p>
      <w:pPr>
        <w:spacing w:after="0" w:line="264"/>
        <w:ind w:left="20"/>
      </w:pPr>
      <w:r>
        <w:rPr>
          <w:color w:val="57534E"/>
          <w:sz w:val="20"/>
          <w:szCs w:val="20"/>
        </w:rPr>
        <w:t xml:space="preserve">Common problems and what to do about them</w:t>
      </w:r>
    </w:p>
    <w:p>
      <w:pPr>
        <w:spacing w:before="200"/>
      </w:pPr>
      <w:r>
        <w:br w:type="page"/>
      </w:r>
    </w:p>
    <w:p>
      <w:pPr>
        <w:pStyle w:val="Heading1"/>
        <w:spacing w:after="160" w:before="360"/>
      </w:pPr>
      <w:r>
        <w:rPr>
          <w:b/>
          <w:bCs/>
          <w:color w:val="1F6F54"/>
          <w:sz w:val="32"/>
          <w:szCs w:val="32"/>
        </w:rPr>
        <w:t xml:space="preserve">1. Start here</w:t>
      </w:r>
    </w:p>
    <w:p>
      <w:pPr>
        <w:pStyle w:val="Heading2"/>
        <w:spacing w:after="120" w:before="280"/>
      </w:pPr>
      <w:r>
        <w:rPr>
          <w:b/>
          <w:bCs/>
          <w:color w:val="1C1917"/>
          <w:sz w:val="26"/>
          <w:szCs w:val="26"/>
        </w:rPr>
        <w:t xml:space="preserve">What this section is for</w:t>
      </w:r>
    </w:p>
    <w:p>
      <w:pPr>
        <w:spacing w:after="120" w:line="276"/>
      </w:pPr>
      <w:r>
        <w:rPr>
          <w:color w:val="1C1917"/>
          <w:sz w:val="21"/>
          <w:szCs w:val="21"/>
        </w:rPr>
        <w:t xml:space="preserve">A lot is a sealed batch of mineral that you can point to and say: this came from that pit, on that date, weighing this much, and here is everyone who has touched it since. Lots &amp; Compliance is where you create that record and keep it complete.</w:t>
      </w:r>
    </w:p>
    <w:p>
      <w:pPr>
        <w:spacing w:after="120" w:line="276"/>
      </w:pPr>
      <w:r>
        <w:rPr>
          <w:color w:val="1C1917"/>
          <w:sz w:val="21"/>
          <w:szCs w:val="21"/>
        </w:rPr>
        <w:t xml:space="preserve">Everything else follows from it. An export officer, a buyer or an inspector asks one question — can you prove where this came from? — and the platform is how you answer it without digging through a drawer of paper.</w:t>
      </w:r>
    </w:p>
    <w:p>
      <w:pPr>
        <w:pStyle w:val="Heading2"/>
        <w:spacing w:after="120" w:before="280"/>
      </w:pPr>
      <w:r>
        <w:rPr>
          <w:b/>
          <w:bCs/>
          <w:color w:val="1C1917"/>
          <w:sz w:val="26"/>
          <w:szCs w:val="26"/>
        </w:rPr>
        <w:t xml:space="preserve">Where to find it</w:t>
      </w:r>
    </w:p>
    <w:p>
      <w:pPr>
        <w:spacing w:after="120" w:line="276"/>
      </w:pPr>
      <w:r>
        <w:rPr>
          <w:color w:val="1C1917"/>
          <w:sz w:val="21"/>
          <w:szCs w:val="21"/>
        </w:rPr>
        <w:t xml:space="preserve">Sign in, then click </w:t>
      </w:r>
      <w:r>
        <w:rPr>
          <w:b/>
          <w:bCs/>
          <w:color w:val="1C1917"/>
          <w:sz w:val="21"/>
          <w:szCs w:val="21"/>
        </w:rPr>
        <w:t xml:space="preserve">Lots &amp; Compliance</w:t>
      </w:r>
      <w:r>
        <w:rPr>
          <w:color w:val="1C1917"/>
          <w:sz w:val="21"/>
          <w:szCs w:val="21"/>
        </w:rPr>
        <w:t xml:space="preserve"> in the menu on the left. Everything in this guide is on that one screen, under three tabs across the top:</w:t>
      </w:r>
    </w:p>
    <w:p>
      <w:pPr>
        <w:spacing w:after="100"/>
      </w:pPr>
    </w:p>
    <w:tbl>
      <w:tblPr>
        <w:tblW w:type="dxa" w:w="9360"/>
        <w:tblBorders>
          <w:top w:val="single" w:color="D6D3D1" w:sz="4"/>
          <w:left w:val="single" w:color="D6D3D1" w:sz="4"/>
          <w:bottom w:val="single" w:color="D6D3D1" w:sz="4"/>
          <w:right w:val="single" w:color="D6D3D1" w:sz="4"/>
          <w:insideH w:val="single" w:color="D6D3D1" w:sz="2"/>
          <w:insideV w:val="single" w:color="D6D3D1" w:sz="2"/>
        </w:tblBorders>
      </w:tblPr>
      <w:tblGrid>
        <w:gridCol w:w="2000"/>
        <w:gridCol w:w="7360"/>
      </w:tblGrid>
      <w:tr>
        <w:trPr>
          <w:cantSplit/>
          <w:tblHeader/>
        </w:trPr>
        <w:tc>
          <w:tcPr>
            <w:tcW w:type="dxa" w:w="2000"/>
            <w:shd w:fill="ECFDF5" w:val="clear"/>
            <w:tcMar>
              <w:top w:type="dxa" w:w="90"/>
              <w:left w:type="dxa" w:w="140"/>
              <w:bottom w:type="dxa" w:w="90"/>
              <w:right w:type="dxa" w:w="140"/>
            </w:tcMar>
          </w:tcPr>
          <w:p>
            <w:pPr>
              <w:spacing w:after="0" w:line="264"/>
            </w:pPr>
            <w:r>
              <w:rPr>
                <w:b/>
                <w:bCs/>
                <w:color w:val="1C1917"/>
                <w:sz w:val="20"/>
                <w:szCs w:val="20"/>
              </w:rPr>
              <w:t xml:space="preserve">Tab</w:t>
            </w:r>
          </w:p>
        </w:tc>
        <w:tc>
          <w:tcPr>
            <w:tcW w:type="dxa" w:w="7360"/>
            <w:shd w:fill="ECFDF5" w:val="clear"/>
            <w:tcMar>
              <w:top w:type="dxa" w:w="90"/>
              <w:left w:type="dxa" w:w="140"/>
              <w:bottom w:type="dxa" w:w="90"/>
              <w:right w:type="dxa" w:w="140"/>
            </w:tcMar>
          </w:tcPr>
          <w:p>
            <w:pPr>
              <w:spacing w:after="0" w:line="264"/>
            </w:pPr>
            <w:r>
              <w:rPr>
                <w:b/>
                <w:bCs/>
                <w:color w:val="1C1917"/>
                <w:sz w:val="20"/>
                <w:szCs w:val="20"/>
              </w:rPr>
              <w:t xml:space="preserve">Use it when you want to…</w:t>
            </w:r>
          </w:p>
        </w:tc>
      </w:tr>
      <w:tr>
        <w:trPr>
          <w:cantSplit/>
        </w:trPr>
        <w:tc>
          <w:tcPr>
            <w:tcW w:type="dxa" w:w="2000"/>
            <w:tcMar>
              <w:top w:type="dxa" w:w="90"/>
              <w:left w:type="dxa" w:w="140"/>
              <w:bottom w:type="dxa" w:w="90"/>
              <w:right w:type="dxa" w:w="140"/>
            </w:tcMar>
          </w:tcPr>
          <w:p>
            <w:pPr>
              <w:spacing w:after="0" w:line="264"/>
            </w:pPr>
            <w:r>
              <w:rPr>
                <w:b/>
                <w:bCs/>
                <w:color w:val="1C1917"/>
                <w:sz w:val="20"/>
                <w:szCs w:val="20"/>
              </w:rPr>
              <w:t xml:space="preserve">Lots</w:t>
            </w:r>
          </w:p>
        </w:tc>
        <w:tc>
          <w:tcPr>
            <w:tcW w:type="dxa" w:w="7360"/>
            <w:tcMar>
              <w:top w:type="dxa" w:w="90"/>
              <w:left w:type="dxa" w:w="140"/>
              <w:bottom w:type="dxa" w:w="90"/>
              <w:right w:type="dxa" w:w="140"/>
            </w:tcMar>
          </w:tcPr>
          <w:p>
            <w:pPr>
              <w:spacing w:after="0" w:line="264"/>
            </w:pPr>
            <w:r>
              <w:rPr>
                <w:b w:val="false"/>
                <w:bCs w:val="false"/>
                <w:color w:val="1C1917"/>
                <w:sz w:val="20"/>
                <w:szCs w:val="20"/>
              </w:rPr>
              <w:t xml:space="preserve">Register a new lot quickly, or see every lot you own or are holding.</w:t>
            </w:r>
          </w:p>
        </w:tc>
      </w:tr>
      <w:tr>
        <w:trPr>
          <w:cantSplit/>
        </w:trPr>
        <w:tc>
          <w:tcPr>
            <w:tcW w:type="dxa" w:w="2000"/>
            <w:shd w:fill="FAFAF9" w:val="clear"/>
            <w:tcMar>
              <w:top w:type="dxa" w:w="90"/>
              <w:left w:type="dxa" w:w="140"/>
              <w:bottom w:type="dxa" w:w="90"/>
              <w:right w:type="dxa" w:w="140"/>
            </w:tcMar>
          </w:tcPr>
          <w:p>
            <w:pPr>
              <w:spacing w:after="0" w:line="264"/>
            </w:pPr>
            <w:r>
              <w:rPr>
                <w:b/>
                <w:bCs/>
                <w:color w:val="1C1917"/>
                <w:sz w:val="20"/>
                <w:szCs w:val="20"/>
              </w:rPr>
              <w:t xml:space="preserve">Compliance</w:t>
            </w:r>
          </w:p>
        </w:tc>
        <w:tc>
          <w:tcPr>
            <w:tcW w:type="dxa" w:w="7360"/>
            <w:shd w:fill="FAFAF9" w:val="clear"/>
            <w:tcMar>
              <w:top w:type="dxa" w:w="90"/>
              <w:left w:type="dxa" w:w="140"/>
              <w:bottom w:type="dxa" w:w="90"/>
              <w:right w:type="dxa" w:w="140"/>
            </w:tcMar>
          </w:tcPr>
          <w:p>
            <w:pPr>
              <w:spacing w:after="0" w:line="264"/>
            </w:pPr>
            <w:r>
              <w:rPr>
                <w:b w:val="false"/>
                <w:bCs w:val="false"/>
                <w:color w:val="1C1917"/>
                <w:sz w:val="20"/>
                <w:szCs w:val="20"/>
              </w:rPr>
              <w:t xml:space="preserve">Check what is still missing, and keep the supporting records — mine site certificates, export applications, due diligence reports, audits and documents.</w:t>
            </w:r>
          </w:p>
        </w:tc>
      </w:tr>
      <w:tr>
        <w:trPr>
          <w:cantSplit/>
        </w:trPr>
        <w:tc>
          <w:tcPr>
            <w:tcW w:type="dxa" w:w="2000"/>
            <w:tcMar>
              <w:top w:type="dxa" w:w="90"/>
              <w:left w:type="dxa" w:w="140"/>
              <w:bottom w:type="dxa" w:w="90"/>
              <w:right w:type="dxa" w:w="140"/>
            </w:tcMar>
          </w:tcPr>
          <w:p>
            <w:pPr>
              <w:spacing w:after="0" w:line="264"/>
            </w:pPr>
            <w:r>
              <w:rPr>
                <w:b/>
                <w:bCs/>
                <w:color w:val="1C1917"/>
                <w:sz w:val="20"/>
                <w:szCs w:val="20"/>
              </w:rPr>
              <w:t xml:space="preserve">Traceability</w:t>
            </w:r>
          </w:p>
        </w:tc>
        <w:tc>
          <w:tcPr>
            <w:tcW w:type="dxa" w:w="7360"/>
            <w:tcMar>
              <w:top w:type="dxa" w:w="90"/>
              <w:left w:type="dxa" w:w="140"/>
              <w:bottom w:type="dxa" w:w="90"/>
              <w:right w:type="dxa" w:w="140"/>
            </w:tcMar>
          </w:tcPr>
          <w:p>
            <w:pPr>
              <w:spacing w:after="0" w:line="264"/>
            </w:pPr>
            <w:r>
              <w:rPr>
                <w:b w:val="false"/>
                <w:bCs w:val="false"/>
                <w:color w:val="1C1917"/>
                <w:sz w:val="20"/>
                <w:szCs w:val="20"/>
              </w:rPr>
              <w:t xml:space="preserve">Follow a lot's journey, hand it to someone else, or record transport and processing.</w:t>
            </w:r>
          </w:p>
        </w:tc>
      </w:tr>
    </w:tbl>
    <w:p>
      <w:pPr>
        <w:spacing w:after="160"/>
      </w:pPr>
    </w:p>
    <w:tbl>
      <w:tblPr>
        <w:tblW w:type="dxa" w:w="9360"/>
        <w:tblBorders>
          <w:top w:val="single" w:color="D6D3D1" w:sz="2"/>
          <w:left w:val="single" w:color="1F6F54" w:sz="18"/>
          <w:bottom w:val="single" w:color="D6D3D1" w:sz="2"/>
          <w:right w:val="single" w:color="D6D3D1" w:sz="2"/>
          <w:insideH w:val="none" w:color="FFFFFF" w:sz="0"/>
          <w:insideV w:val="none" w:color="FFFFFF" w:sz="0"/>
        </w:tblBorders>
      </w:tblPr>
      <w:tblGrid>
        <w:gridCol w:w="9360"/>
      </w:tblGrid>
      <w:tr>
        <w:trPr>
          <w:cantSplit/>
        </w:trPr>
        <w:tc>
          <w:tcPr>
            <w:tcW w:type="dxa" w:w="9360"/>
            <w:shd w:fill="F5F5F4" w:val="clear"/>
            <w:tcMar>
              <w:top w:type="dxa" w:w="140"/>
              <w:left w:type="dxa" w:w="200"/>
              <w:bottom w:type="dxa" w:w="140"/>
              <w:right w:type="dxa" w:w="200"/>
            </w:tcMar>
          </w:tcPr>
          <w:p>
            <w:pPr>
              <w:spacing w:after="60"/>
            </w:pPr>
            <w:r>
              <w:rPr>
                <w:b/>
                <w:bCs/>
                <w:color w:val="1C1917"/>
                <w:sz w:val="21"/>
                <w:szCs w:val="21"/>
              </w:rPr>
              <w:t xml:space="preserve">Tip</w:t>
            </w:r>
          </w:p>
          <w:p>
            <w:pPr>
              <w:spacing w:after="0" w:line="276"/>
            </w:pPr>
            <w:r>
              <w:rPr>
                <w:color w:val="57534E"/>
                <w:sz w:val="21"/>
                <w:szCs w:val="21"/>
              </w:rPr>
              <w:t xml:space="preserve">The tab you are on is remembered in the web address. Copy the address from your browser and send it to a colleague — it opens on the same tab you were looking at.</w:t>
            </w:r>
          </w:p>
        </w:tc>
      </w:tr>
    </w:tbl>
    <w:p>
      <w:pPr>
        <w:spacing w:after="200"/>
      </w:pPr>
    </w:p>
    <w:p>
      <w:pPr>
        <w:pStyle w:val="Heading2"/>
        <w:spacing w:after="120" w:before="280"/>
      </w:pPr>
      <w:r>
        <w:rPr>
          <w:b/>
          <w:bCs/>
          <w:color w:val="1C1917"/>
          <w:sz w:val="26"/>
          <w:szCs w:val="26"/>
        </w:rPr>
        <w:t xml:space="preserve">What you can see depends on your role</w:t>
      </w:r>
    </w:p>
    <w:p>
      <w:pPr>
        <w:spacing w:after="120" w:line="276"/>
      </w:pPr>
      <w:r>
        <w:rPr>
          <w:color w:val="1C1917"/>
          <w:sz w:val="21"/>
          <w:szCs w:val="21"/>
        </w:rPr>
        <w:t xml:space="preserve">Your account has a supply-chain role. Everyone sees Lots &amp; Compliance, but the rest of the menu is trimmed to what you actually do.</w:t>
      </w:r>
    </w:p>
    <w:p>
      <w:pPr>
        <w:spacing w:after="100"/>
      </w:pPr>
    </w:p>
    <w:tbl>
      <w:tblPr>
        <w:tblW w:type="dxa" w:w="9360"/>
        <w:tblBorders>
          <w:top w:val="single" w:color="D6D3D1" w:sz="4"/>
          <w:left w:val="single" w:color="D6D3D1" w:sz="4"/>
          <w:bottom w:val="single" w:color="D6D3D1" w:sz="4"/>
          <w:right w:val="single" w:color="D6D3D1" w:sz="4"/>
          <w:insideH w:val="single" w:color="D6D3D1" w:sz="2"/>
          <w:insideV w:val="single" w:color="D6D3D1" w:sz="2"/>
        </w:tblBorders>
      </w:tblPr>
      <w:tblGrid>
        <w:gridCol w:w="2000"/>
        <w:gridCol w:w="7360"/>
      </w:tblGrid>
      <w:tr>
        <w:trPr>
          <w:cantSplit/>
          <w:tblHeader/>
        </w:trPr>
        <w:tc>
          <w:tcPr>
            <w:tcW w:type="dxa" w:w="2000"/>
            <w:shd w:fill="ECFDF5" w:val="clear"/>
            <w:tcMar>
              <w:top w:type="dxa" w:w="90"/>
              <w:left w:type="dxa" w:w="140"/>
              <w:bottom w:type="dxa" w:w="90"/>
              <w:right w:type="dxa" w:w="140"/>
            </w:tcMar>
          </w:tcPr>
          <w:p>
            <w:pPr>
              <w:spacing w:after="0" w:line="264"/>
            </w:pPr>
            <w:r>
              <w:rPr>
                <w:b/>
                <w:bCs/>
                <w:color w:val="1C1917"/>
                <w:sz w:val="20"/>
                <w:szCs w:val="20"/>
              </w:rPr>
              <w:t xml:space="preserve">Your role</w:t>
            </w:r>
          </w:p>
        </w:tc>
        <w:tc>
          <w:tcPr>
            <w:tcW w:type="dxa" w:w="7360"/>
            <w:shd w:fill="ECFDF5" w:val="clear"/>
            <w:tcMar>
              <w:top w:type="dxa" w:w="90"/>
              <w:left w:type="dxa" w:w="140"/>
              <w:bottom w:type="dxa" w:w="90"/>
              <w:right w:type="dxa" w:w="140"/>
            </w:tcMar>
          </w:tcPr>
          <w:p>
            <w:pPr>
              <w:spacing w:after="0" w:line="264"/>
            </w:pPr>
            <w:r>
              <w:rPr>
                <w:b/>
                <w:bCs/>
                <w:color w:val="1C1917"/>
                <w:sz w:val="20"/>
                <w:szCs w:val="20"/>
              </w:rPr>
              <w:t xml:space="preserve">What you typically do here</w:t>
            </w:r>
          </w:p>
        </w:tc>
      </w:tr>
      <w:tr>
        <w:trPr>
          <w:cantSplit/>
        </w:trPr>
        <w:tc>
          <w:tcPr>
            <w:tcW w:type="dxa" w:w="2000"/>
            <w:tcMar>
              <w:top w:type="dxa" w:w="90"/>
              <w:left w:type="dxa" w:w="140"/>
              <w:bottom w:type="dxa" w:w="90"/>
              <w:right w:type="dxa" w:w="140"/>
            </w:tcMar>
          </w:tcPr>
          <w:p>
            <w:pPr>
              <w:spacing w:after="0" w:line="264"/>
            </w:pPr>
            <w:r>
              <w:rPr>
                <w:b/>
                <w:bCs/>
                <w:color w:val="1C1917"/>
                <w:sz w:val="20"/>
                <w:szCs w:val="20"/>
              </w:rPr>
              <w:t xml:space="preserve">Operator</w:t>
            </w:r>
          </w:p>
        </w:tc>
        <w:tc>
          <w:tcPr>
            <w:tcW w:type="dxa" w:w="7360"/>
            <w:tcMar>
              <w:top w:type="dxa" w:w="90"/>
              <w:left w:type="dxa" w:w="140"/>
              <w:bottom w:type="dxa" w:w="90"/>
              <w:right w:type="dxa" w:w="140"/>
            </w:tcMar>
          </w:tcPr>
          <w:p>
            <w:pPr>
              <w:spacing w:after="0" w:line="264"/>
            </w:pPr>
            <w:r>
              <w:rPr>
                <w:b w:val="false"/>
                <w:bCs w:val="false"/>
                <w:color w:val="1C1917"/>
                <w:sz w:val="20"/>
                <w:szCs w:val="20"/>
              </w:rPr>
              <w:t xml:space="preserve">Record production, register lots from it, keep mine site certificates current, and hand lots over when they leave the site.</w:t>
            </w:r>
          </w:p>
        </w:tc>
      </w:tr>
      <w:tr>
        <w:trPr>
          <w:cantSplit/>
        </w:trPr>
        <w:tc>
          <w:tcPr>
            <w:tcW w:type="dxa" w:w="2000"/>
            <w:shd w:fill="FAFAF9" w:val="clear"/>
            <w:tcMar>
              <w:top w:type="dxa" w:w="90"/>
              <w:left w:type="dxa" w:w="140"/>
              <w:bottom w:type="dxa" w:w="90"/>
              <w:right w:type="dxa" w:w="140"/>
            </w:tcMar>
          </w:tcPr>
          <w:p>
            <w:pPr>
              <w:spacing w:after="0" w:line="264"/>
            </w:pPr>
            <w:r>
              <w:rPr>
                <w:b/>
                <w:bCs/>
                <w:color w:val="1C1917"/>
                <w:sz w:val="20"/>
                <w:szCs w:val="20"/>
              </w:rPr>
              <w:t xml:space="preserve">Transporter</w:t>
            </w:r>
          </w:p>
        </w:tc>
        <w:tc>
          <w:tcPr>
            <w:tcW w:type="dxa" w:w="7360"/>
            <w:shd w:fill="FAFAF9" w:val="clear"/>
            <w:tcMar>
              <w:top w:type="dxa" w:w="90"/>
              <w:left w:type="dxa" w:w="140"/>
              <w:bottom w:type="dxa" w:w="90"/>
              <w:right w:type="dxa" w:w="140"/>
            </w:tcMar>
          </w:tcPr>
          <w:p>
            <w:pPr>
              <w:spacing w:after="0" w:line="264"/>
            </w:pPr>
            <w:r>
              <w:rPr>
                <w:b w:val="false"/>
                <w:bCs w:val="false"/>
                <w:color w:val="1C1917"/>
                <w:sz w:val="20"/>
                <w:szCs w:val="20"/>
              </w:rPr>
              <w:t xml:space="preserve">Receive lots into your custody, record the vehicle, driver, route and seals, then hand them on.</w:t>
            </w:r>
          </w:p>
        </w:tc>
      </w:tr>
      <w:tr>
        <w:trPr>
          <w:cantSplit/>
        </w:trPr>
        <w:tc>
          <w:tcPr>
            <w:tcW w:type="dxa" w:w="2000"/>
            <w:tcMar>
              <w:top w:type="dxa" w:w="90"/>
              <w:left w:type="dxa" w:w="140"/>
              <w:bottom w:type="dxa" w:w="90"/>
              <w:right w:type="dxa" w:w="140"/>
            </w:tcMar>
          </w:tcPr>
          <w:p>
            <w:pPr>
              <w:spacing w:after="0" w:line="264"/>
            </w:pPr>
            <w:r>
              <w:rPr>
                <w:b/>
                <w:bCs/>
                <w:color w:val="1C1917"/>
                <w:sz w:val="20"/>
                <w:szCs w:val="20"/>
              </w:rPr>
              <w:t xml:space="preserve">Exporter</w:t>
            </w:r>
          </w:p>
        </w:tc>
        <w:tc>
          <w:tcPr>
            <w:tcW w:type="dxa" w:w="7360"/>
            <w:tcMar>
              <w:top w:type="dxa" w:w="90"/>
              <w:left w:type="dxa" w:w="140"/>
              <w:bottom w:type="dxa" w:w="90"/>
              <w:right w:type="dxa" w:w="140"/>
            </w:tcMar>
          </w:tcPr>
          <w:p>
            <w:pPr>
              <w:spacing w:after="0" w:line="264"/>
            </w:pPr>
            <w:r>
              <w:rPr>
                <w:b w:val="false"/>
                <w:bCs w:val="false"/>
                <w:color w:val="1C1917"/>
                <w:sz w:val="20"/>
                <w:szCs w:val="20"/>
              </w:rPr>
              <w:t xml:space="preserve">Receive lots, blend them into a shipment, apply for the export certificate, and keep due diligence and audit records.</w:t>
            </w:r>
          </w:p>
        </w:tc>
      </w:tr>
      <w:tr>
        <w:trPr>
          <w:cantSplit/>
        </w:trPr>
        <w:tc>
          <w:tcPr>
            <w:tcW w:type="dxa" w:w="2000"/>
            <w:shd w:fill="FAFAF9" w:val="clear"/>
            <w:tcMar>
              <w:top w:type="dxa" w:w="90"/>
              <w:left w:type="dxa" w:w="140"/>
              <w:bottom w:type="dxa" w:w="90"/>
              <w:right w:type="dxa" w:w="140"/>
            </w:tcMar>
          </w:tcPr>
          <w:p>
            <w:pPr>
              <w:spacing w:after="0" w:line="264"/>
            </w:pPr>
            <w:r>
              <w:rPr>
                <w:b/>
                <w:bCs/>
                <w:color w:val="1C1917"/>
                <w:sz w:val="20"/>
                <w:szCs w:val="20"/>
              </w:rPr>
              <w:t xml:space="preserve">Inspector</w:t>
            </w:r>
          </w:p>
        </w:tc>
        <w:tc>
          <w:tcPr>
            <w:tcW w:type="dxa" w:w="7360"/>
            <w:shd w:fill="FAFAF9" w:val="clear"/>
            <w:tcMar>
              <w:top w:type="dxa" w:w="90"/>
              <w:left w:type="dxa" w:w="140"/>
              <w:bottom w:type="dxa" w:w="90"/>
              <w:right w:type="dxa" w:w="140"/>
            </w:tcMar>
          </w:tcPr>
          <w:p>
            <w:pPr>
              <w:spacing w:after="0" w:line="264"/>
            </w:pPr>
            <w:r>
              <w:rPr>
                <w:b w:val="false"/>
                <w:bCs w:val="false"/>
                <w:color w:val="1C1917"/>
                <w:sz w:val="20"/>
                <w:szCs w:val="20"/>
              </w:rPr>
              <w:t xml:space="preserve">See everything, without needing to record production of your own.</w:t>
            </w:r>
          </w:p>
        </w:tc>
      </w:tr>
    </w:tbl>
    <w:p>
      <w:pPr>
        <w:spacing w:after="160"/>
      </w:pPr>
    </w:p>
    <w:tbl>
      <w:tblPr>
        <w:tblW w:type="dxa" w:w="9360"/>
        <w:tblBorders>
          <w:top w:val="single" w:color="D6D3D1" w:sz="2"/>
          <w:left w:val="single" w:color="1F6F54" w:sz="18"/>
          <w:bottom w:val="single" w:color="D6D3D1" w:sz="2"/>
          <w:right w:val="single" w:color="D6D3D1" w:sz="2"/>
          <w:insideH w:val="none" w:color="FFFFFF" w:sz="0"/>
          <w:insideV w:val="none" w:color="FFFFFF" w:sz="0"/>
        </w:tblBorders>
      </w:tblPr>
      <w:tblGrid>
        <w:gridCol w:w="9360"/>
      </w:tblGrid>
      <w:tr>
        <w:trPr>
          <w:cantSplit/>
        </w:trPr>
        <w:tc>
          <w:tcPr>
            <w:tcW w:type="dxa" w:w="9360"/>
            <w:shd w:fill="F5F5F4" w:val="clear"/>
            <w:tcMar>
              <w:top w:type="dxa" w:w="140"/>
              <w:left w:type="dxa" w:w="200"/>
              <w:bottom w:type="dxa" w:w="140"/>
              <w:right w:type="dxa" w:w="200"/>
            </w:tcMar>
          </w:tcPr>
          <w:p>
            <w:pPr>
              <w:spacing w:after="60"/>
            </w:pPr>
            <w:r>
              <w:rPr>
                <w:b/>
                <w:bCs/>
                <w:color w:val="1C1917"/>
                <w:sz w:val="21"/>
                <w:szCs w:val="21"/>
              </w:rPr>
              <w:t xml:space="preserve">You do not need production records to use this</w:t>
            </w:r>
          </w:p>
          <w:p>
            <w:pPr>
              <w:spacing w:after="0" w:line="276"/>
            </w:pPr>
            <w:r>
              <w:rPr>
                <w:color w:val="57534E"/>
                <w:sz w:val="21"/>
                <w:szCs w:val="21"/>
              </w:rPr>
              <w:t xml:space="preserve">Transporters and exporters never record production, so they have no pits to browse. Lots handed over to you appear in your list automatically — start from the Lots tab or from “My lots” on the Traceability tab.</w:t>
            </w:r>
          </w:p>
        </w:tc>
      </w:tr>
    </w:tbl>
    <w:p>
      <w:pPr>
        <w:spacing w:before="200"/>
      </w:pPr>
      <w:r>
        <w:br w:type="page"/>
      </w:r>
    </w:p>
    <w:p>
      <w:pPr>
        <w:pStyle w:val="Heading1"/>
        <w:spacing w:after="160" w:before="360"/>
      </w:pPr>
      <w:r>
        <w:rPr>
          <w:b/>
          <w:bCs/>
          <w:color w:val="1F6F54"/>
          <w:sz w:val="32"/>
          <w:szCs w:val="32"/>
        </w:rPr>
        <w:t xml:space="preserve">2. The Lots tab</w:t>
      </w:r>
    </w:p>
    <w:p>
      <w:pPr>
        <w:spacing w:after="120" w:line="276"/>
      </w:pPr>
      <w:r>
        <w:rPr>
          <w:color w:val="1C1917"/>
          <w:sz w:val="21"/>
          <w:szCs w:val="21"/>
        </w:rPr>
        <w:t xml:space="preserve">This is the short, everyday view: a list of every lot you own or currently hold, and one button to add another.</w:t>
      </w:r>
    </w:p>
    <w:p>
      <w:pPr>
        <w:pStyle w:val="Heading2"/>
        <w:spacing w:after="120" w:before="280"/>
      </w:pPr>
      <w:r>
        <w:rPr>
          <w:b/>
          <w:bCs/>
          <w:color w:val="1C1917"/>
          <w:sz w:val="26"/>
          <w:szCs w:val="26"/>
        </w:rPr>
        <w:t xml:space="preserve">Reading the list</w:t>
      </w:r>
    </w:p>
    <w:p>
      <w:pPr>
        <w:spacing w:after="120" w:line="276"/>
      </w:pPr>
      <w:r>
        <w:rPr>
          <w:color w:val="1C1917"/>
          <w:sz w:val="21"/>
          <w:szCs w:val="21"/>
        </w:rPr>
        <w:t xml:space="preserve">Each line shows the lot number, then the mineral, weight, the mine site it came from, and who is holding it. On the right are two markers:</w:t>
      </w:r>
    </w:p>
    <w:p>
      <w:pPr>
        <w:pStyle w:val="ListParagraph"/>
        <w:numPr>
          <w:ilvl w:val="0"/>
          <w:numId w:val="2"/>
        </w:numPr>
        <w:spacing w:after="80" w:line="276"/>
      </w:pPr>
      <w:r>
        <w:rPr>
          <w:b/>
          <w:bCs/>
          <w:color w:val="1C1917"/>
          <w:sz w:val="21"/>
          <w:szCs w:val="21"/>
        </w:rPr>
        <w:t xml:space="preserve">red</w:t>
      </w:r>
      <w:r>
        <w:rPr>
          <w:color w:val="1C1917"/>
          <w:sz w:val="21"/>
          <w:szCs w:val="21"/>
        </w:rPr>
        <w:t xml:space="preserve"> — the mine site has been suspended. The lot cannot be traded or exported until that is lifted.</w:t>
      </w:r>
    </w:p>
    <w:p>
      <w:pPr>
        <w:pStyle w:val="ListParagraph"/>
        <w:numPr>
          <w:ilvl w:val="0"/>
          <w:numId w:val="2"/>
        </w:numPr>
        <w:spacing w:after="80" w:line="276"/>
      </w:pPr>
      <w:r>
        <w:rPr>
          <w:b/>
          <w:bCs/>
          <w:color w:val="1C1917"/>
          <w:sz w:val="21"/>
          <w:szCs w:val="21"/>
        </w:rPr>
        <w:t xml:space="preserve">a state badge</w:t>
      </w:r>
      <w:r>
        <w:rPr>
          <w:color w:val="1C1917"/>
          <w:sz w:val="21"/>
          <w:szCs w:val="21"/>
        </w:rPr>
        <w:t xml:space="preserve"> — where the lot is in its life: extracted, in transit, exported, and so on.</w:t>
      </w:r>
    </w:p>
    <w:p>
      <w:pPr>
        <w:spacing w:after="120" w:line="276"/>
      </w:pPr>
      <w:r>
        <w:rPr>
          <w:color w:val="1C1917"/>
          <w:sz w:val="21"/>
          <w:szCs w:val="21"/>
        </w:rPr>
        <w:t xml:space="preserve">Click any line to open the full lot passport, with its QR code and complete history.</w:t>
      </w:r>
    </w:p>
    <w:p>
      <w:pPr>
        <w:pStyle w:val="Heading2"/>
        <w:spacing w:after="120" w:before="280"/>
      </w:pPr>
      <w:r>
        <w:rPr>
          <w:b/>
          <w:bCs/>
          <w:color w:val="1C1917"/>
          <w:sz w:val="26"/>
          <w:szCs w:val="26"/>
        </w:rPr>
        <w:t xml:space="preserve">Registering a lot</w:t>
      </w:r>
    </w:p>
    <w:p>
      <w:pPr>
        <w:spacing w:after="120" w:line="276"/>
      </w:pPr>
      <w:r>
        <w:rPr>
          <w:color w:val="1C1917"/>
          <w:sz w:val="21"/>
          <w:szCs w:val="21"/>
        </w:rPr>
        <w:t xml:space="preserve">Use this form when the lot is straightforward. If you need the fuller record — sacks, royalties, upstream actors, purchase details — use the CoC Lots form on the Compliance tab instead (section 3.2). Both create the same kind of lot.</w:t>
      </w:r>
    </w:p>
    <w:p>
      <w:pPr>
        <w:spacing w:after="80"/>
      </w:pPr>
    </w:p>
    <w:p>
      <w:pPr>
        <w:pStyle w:val="ListParagraph"/>
        <w:numPr>
          <w:ilvl w:val="0"/>
          <w:numId w:val="3"/>
        </w:numPr>
        <w:spacing w:after="80" w:line="276"/>
      </w:pPr>
      <w:r>
        <w:rPr>
          <w:color w:val="1C1917"/>
          <w:sz w:val="21"/>
          <w:szCs w:val="21"/>
        </w:rPr>
        <w:t xml:space="preserve">Click </w:t>
      </w:r>
      <w:r>
        <w:rPr>
          <w:b/>
          <w:bCs/>
          <w:color w:val="1C1917"/>
          <w:sz w:val="21"/>
          <w:szCs w:val="21"/>
        </w:rPr>
        <w:t xml:space="preserve">Register lot</w:t>
      </w:r>
      <w:r>
        <w:rPr>
          <w:color w:val="1C1917"/>
          <w:sz w:val="21"/>
          <w:szCs w:val="21"/>
        </w:rPr>
        <w:t xml:space="preserve">.</w:t>
      </w:r>
    </w:p>
    <w:p>
      <w:pPr>
        <w:pStyle w:val="ListParagraph"/>
        <w:numPr>
          <w:ilvl w:val="0"/>
          <w:numId w:val="3"/>
        </w:numPr>
        <w:spacing w:after="80" w:line="276"/>
      </w:pPr>
      <w:r>
        <w:rPr>
          <w:color w:val="1C1917"/>
          <w:sz w:val="21"/>
          <w:szCs w:val="21"/>
        </w:rPr>
        <w:t xml:space="preserve">Choose the </w:t>
      </w:r>
      <w:r>
        <w:rPr>
          <w:b/>
          <w:bCs/>
          <w:color w:val="1C1917"/>
          <w:sz w:val="21"/>
          <w:szCs w:val="21"/>
        </w:rPr>
        <w:t xml:space="preserve">mine site</w:t>
      </w:r>
      <w:r>
        <w:rPr>
          <w:color w:val="1C1917"/>
          <w:sz w:val="21"/>
          <w:szCs w:val="21"/>
        </w:rPr>
        <w:t xml:space="preserve">. Only sites that are cleared to trade are listed — red-flagged sites are left out on purpose, and the form tells you how many were excluded.</w:t>
      </w:r>
    </w:p>
    <w:p>
      <w:pPr>
        <w:pStyle w:val="ListParagraph"/>
        <w:numPr>
          <w:ilvl w:val="0"/>
          <w:numId w:val="3"/>
        </w:numPr>
        <w:spacing w:after="80" w:line="276"/>
      </w:pPr>
      <w:r>
        <w:rPr>
          <w:color w:val="1C1917"/>
          <w:sz w:val="21"/>
          <w:szCs w:val="21"/>
        </w:rPr>
        <w:t xml:space="preserve">Choose the </w:t>
      </w:r>
      <w:r>
        <w:rPr>
          <w:b/>
          <w:bCs/>
          <w:color w:val="1C1917"/>
          <w:sz w:val="21"/>
          <w:szCs w:val="21"/>
        </w:rPr>
        <w:t xml:space="preserve">mineral</w:t>
      </w:r>
      <w:r>
        <w:rPr>
          <w:color w:val="1C1917"/>
          <w:sz w:val="21"/>
          <w:szCs w:val="21"/>
        </w:rPr>
        <w:t xml:space="preserve">. Designated minerals come first; everything else your production records can hold is listed underneath.</w:t>
      </w:r>
    </w:p>
    <w:p>
      <w:pPr>
        <w:pStyle w:val="ListParagraph"/>
        <w:numPr>
          <w:ilvl w:val="0"/>
          <w:numId w:val="3"/>
        </w:numPr>
        <w:spacing w:after="80" w:line="276"/>
      </w:pPr>
      <w:r>
        <w:rPr>
          <w:color w:val="1C1917"/>
          <w:sz w:val="21"/>
          <w:szCs w:val="21"/>
        </w:rPr>
        <w:t xml:space="preserve">If the lot was packaged from production you already recorded, tick those records under </w:t>
      </w:r>
      <w:r>
        <w:rPr>
          <w:b/>
          <w:bCs/>
          <w:color w:val="1C1917"/>
          <w:sz w:val="21"/>
          <w:szCs w:val="21"/>
        </w:rPr>
        <w:t xml:space="preserve">Package from production records</w:t>
      </w:r>
      <w:r>
        <w:rPr>
          <w:color w:val="1C1917"/>
          <w:sz w:val="21"/>
          <w:szCs w:val="21"/>
        </w:rPr>
        <w:t xml:space="preserve">. The weight fills in by itself and you cannot type over it.</w:t>
      </w:r>
    </w:p>
    <w:p>
      <w:pPr>
        <w:pStyle w:val="ListParagraph"/>
        <w:numPr>
          <w:ilvl w:val="0"/>
          <w:numId w:val="3"/>
        </w:numPr>
        <w:spacing w:after="80" w:line="276"/>
      </w:pPr>
      <w:r>
        <w:rPr>
          <w:color w:val="1C1917"/>
          <w:sz w:val="21"/>
          <w:szCs w:val="21"/>
        </w:rPr>
        <w:t xml:space="preserve">If there is no production record, type the </w:t>
      </w:r>
      <w:r>
        <w:rPr>
          <w:b/>
          <w:bCs/>
          <w:color w:val="1C1917"/>
          <w:sz w:val="21"/>
          <w:szCs w:val="21"/>
        </w:rPr>
        <w:t xml:space="preserve">weight</w:t>
      </w:r>
      <w:r>
        <w:rPr>
          <w:color w:val="1C1917"/>
          <w:sz w:val="21"/>
          <w:szCs w:val="21"/>
        </w:rPr>
        <w:t xml:space="preserve"> and pick the unit by hand.</w:t>
      </w:r>
    </w:p>
    <w:p>
      <w:pPr>
        <w:pStyle w:val="ListParagraph"/>
        <w:numPr>
          <w:ilvl w:val="0"/>
          <w:numId w:val="3"/>
        </w:numPr>
        <w:spacing w:after="80" w:line="276"/>
      </w:pPr>
      <w:r>
        <w:rPr>
          <w:color w:val="1C1917"/>
          <w:sz w:val="21"/>
          <w:szCs w:val="21"/>
        </w:rPr>
        <w:t xml:space="preserve">Add the </w:t>
      </w:r>
      <w:r>
        <w:rPr>
          <w:b/>
          <w:bCs/>
          <w:color w:val="1C1917"/>
          <w:sz w:val="21"/>
          <w:szCs w:val="21"/>
        </w:rPr>
        <w:t xml:space="preserve">grade</w:t>
      </w:r>
      <w:r>
        <w:rPr>
          <w:color w:val="1C1917"/>
          <w:sz w:val="21"/>
          <w:szCs w:val="21"/>
        </w:rPr>
        <w:t xml:space="preserve"> if it has been assayed. The grade units offered change to suit the mineral — g/t Au for gold, % Sn for tin, % Ta₂O₅ for tantalum, and so on.</w:t>
      </w:r>
    </w:p>
    <w:p>
      <w:pPr>
        <w:pStyle w:val="ListParagraph"/>
        <w:numPr>
          <w:ilvl w:val="0"/>
          <w:numId w:val="3"/>
        </w:numPr>
        <w:spacing w:after="80" w:line="276"/>
      </w:pPr>
      <w:r>
        <w:rPr>
          <w:color w:val="1C1917"/>
          <w:sz w:val="21"/>
          <w:szCs w:val="21"/>
        </w:rPr>
        <w:t xml:space="preserve">Record the </w:t>
      </w:r>
      <w:r>
        <w:rPr>
          <w:b/>
          <w:bCs/>
          <w:color w:val="1C1917"/>
          <w:sz w:val="21"/>
          <w:szCs w:val="21"/>
        </w:rPr>
        <w:t xml:space="preserve">seal number</w:t>
      </w:r>
      <w:r>
        <w:rPr>
          <w:color w:val="1C1917"/>
          <w:sz w:val="21"/>
          <w:szCs w:val="21"/>
        </w:rPr>
        <w:t xml:space="preserve"> from the physical tag, and who </w:t>
      </w:r>
      <w:r>
        <w:rPr>
          <w:b/>
          <w:bCs/>
          <w:color w:val="1C1917"/>
          <w:sz w:val="21"/>
          <w:szCs w:val="21"/>
        </w:rPr>
        <w:t xml:space="preserve">verified</w:t>
      </w:r>
      <w:r>
        <w:rPr>
          <w:color w:val="1C1917"/>
          <w:sz w:val="21"/>
          <w:szCs w:val="21"/>
        </w:rPr>
        <w:t xml:space="preserve"> the documents.</w:t>
      </w:r>
    </w:p>
    <w:p>
      <w:pPr>
        <w:pStyle w:val="ListParagraph"/>
        <w:numPr>
          <w:ilvl w:val="0"/>
          <w:numId w:val="3"/>
        </w:numPr>
        <w:spacing w:after="80" w:line="276"/>
      </w:pPr>
      <w:r>
        <w:rPr>
          <w:color w:val="1C1917"/>
          <w:sz w:val="21"/>
          <w:szCs w:val="21"/>
        </w:rPr>
        <w:t xml:space="preserve">Click </w:t>
      </w:r>
      <w:r>
        <w:rPr>
          <w:b/>
          <w:bCs/>
          <w:color w:val="1C1917"/>
          <w:sz w:val="21"/>
          <w:szCs w:val="21"/>
        </w:rPr>
        <w:t xml:space="preserve">Register lot</w:t>
      </w:r>
      <w:r>
        <w:rPr>
          <w:color w:val="1C1917"/>
          <w:sz w:val="21"/>
          <w:szCs w:val="21"/>
        </w:rPr>
        <w:t xml:space="preserve">. The lot number and a public QR verification code are created for you.</w:t>
      </w:r>
    </w:p>
    <w:p>
      <w:pPr>
        <w:spacing w:after="140"/>
      </w:pPr>
    </w:p>
    <w:tbl>
      <w:tblPr>
        <w:tblW w:type="dxa" w:w="9360"/>
        <w:tblBorders>
          <w:top w:val="single" w:color="D6D3D1" w:sz="2"/>
          <w:left w:val="single" w:color="1F6F54" w:sz="18"/>
          <w:bottom w:val="single" w:color="D6D3D1" w:sz="2"/>
          <w:right w:val="single" w:color="D6D3D1" w:sz="2"/>
          <w:insideH w:val="none" w:color="FFFFFF" w:sz="0"/>
          <w:insideV w:val="none" w:color="FFFFFF" w:sz="0"/>
        </w:tblBorders>
      </w:tblPr>
      <w:tblGrid>
        <w:gridCol w:w="9360"/>
      </w:tblGrid>
      <w:tr>
        <w:trPr>
          <w:cantSplit/>
        </w:trPr>
        <w:tc>
          <w:tcPr>
            <w:tcW w:type="dxa" w:w="9360"/>
            <w:shd w:fill="F5F5F4" w:val="clear"/>
            <w:tcMar>
              <w:top w:type="dxa" w:w="140"/>
              <w:left w:type="dxa" w:w="200"/>
              <w:bottom w:type="dxa" w:w="140"/>
              <w:right w:type="dxa" w:w="200"/>
            </w:tcMar>
          </w:tcPr>
          <w:p>
            <w:pPr>
              <w:spacing w:after="60"/>
            </w:pPr>
            <w:r>
              <w:rPr>
                <w:b/>
                <w:bCs/>
                <w:color w:val="1C1917"/>
                <w:sz w:val="21"/>
                <w:szCs w:val="21"/>
              </w:rPr>
              <w:t xml:space="preserve">Why ticking production records matters</w:t>
            </w:r>
          </w:p>
          <w:p>
            <w:pPr>
              <w:spacing w:after="0" w:line="276"/>
            </w:pPr>
            <w:r>
              <w:rPr>
                <w:color w:val="57534E"/>
                <w:sz w:val="21"/>
                <w:szCs w:val="21"/>
              </w:rPr>
              <w:t xml:space="preserve">A lot linked to production records can prove its own origin — the weight, grade and pit come straight from what was recorded at the mine, so nobody retypes them and nobody can quietly change them. A lot with a typed-in weight and no link shows “Origin not demonstrated” on the compliance board.</w:t>
            </w:r>
          </w:p>
        </w:tc>
      </w:tr>
    </w:tbl>
    <w:p>
      <w:pPr>
        <w:spacing w:after="180"/>
      </w:pPr>
    </w:p>
    <w:p>
      <w:pPr>
        <w:pStyle w:val="Heading2"/>
        <w:spacing w:after="120" w:before="280"/>
      </w:pPr>
      <w:r>
        <w:rPr>
          <w:b/>
          <w:bCs/>
          <w:color w:val="1C1917"/>
          <w:sz w:val="26"/>
          <w:szCs w:val="26"/>
        </w:rPr>
        <w:t xml:space="preserve">Which minerals you can choose</w:t>
      </w:r>
    </w:p>
    <w:p>
      <w:pPr>
        <w:spacing w:after="120" w:line="276"/>
      </w:pPr>
      <w:r>
        <w:rPr>
          <w:color w:val="1C1917"/>
          <w:sz w:val="21"/>
          <w:szCs w:val="21"/>
        </w:rPr>
        <w:t xml:space="preserve">The dropdown is in two groups.</w:t>
      </w:r>
    </w:p>
    <w:p>
      <w:pPr>
        <w:spacing w:after="100"/>
      </w:pPr>
    </w:p>
    <w:tbl>
      <w:tblPr>
        <w:tblW w:type="dxa" w:w="9360"/>
        <w:tblBorders>
          <w:top w:val="single" w:color="D6D3D1" w:sz="4"/>
          <w:left w:val="single" w:color="D6D3D1" w:sz="4"/>
          <w:bottom w:val="single" w:color="D6D3D1" w:sz="4"/>
          <w:right w:val="single" w:color="D6D3D1" w:sz="4"/>
          <w:insideH w:val="single" w:color="D6D3D1" w:sz="2"/>
          <w:insideV w:val="single" w:color="D6D3D1" w:sz="2"/>
        </w:tblBorders>
      </w:tblPr>
      <w:tblGrid>
        <w:gridCol w:w="2400"/>
        <w:gridCol w:w="6960"/>
      </w:tblGrid>
      <w:tr>
        <w:trPr>
          <w:cantSplit/>
          <w:tblHeader/>
        </w:trPr>
        <w:tc>
          <w:tcPr>
            <w:tcW w:type="dxa" w:w="2400"/>
            <w:shd w:fill="ECFDF5" w:val="clear"/>
            <w:tcMar>
              <w:top w:type="dxa" w:w="90"/>
              <w:left w:type="dxa" w:w="140"/>
              <w:bottom w:type="dxa" w:w="90"/>
              <w:right w:type="dxa" w:w="140"/>
            </w:tcMar>
          </w:tcPr>
          <w:p>
            <w:pPr>
              <w:spacing w:after="0" w:line="264"/>
            </w:pPr>
            <w:r>
              <w:rPr>
                <w:b/>
                <w:bCs/>
                <w:color w:val="1C1917"/>
                <w:sz w:val="20"/>
                <w:szCs w:val="20"/>
              </w:rPr>
              <w:t xml:space="preserve">Group</w:t>
            </w:r>
          </w:p>
        </w:tc>
        <w:tc>
          <w:tcPr>
            <w:tcW w:type="dxa" w:w="6960"/>
            <w:shd w:fill="ECFDF5" w:val="clear"/>
            <w:tcMar>
              <w:top w:type="dxa" w:w="90"/>
              <w:left w:type="dxa" w:w="140"/>
              <w:bottom w:type="dxa" w:w="90"/>
              <w:right w:type="dxa" w:w="140"/>
            </w:tcMar>
          </w:tcPr>
          <w:p>
            <w:pPr>
              <w:spacing w:after="0" w:line="264"/>
            </w:pPr>
            <w:r>
              <w:rPr>
                <w:b/>
                <w:bCs/>
                <w:color w:val="1C1917"/>
                <w:sz w:val="20"/>
                <w:szCs w:val="20"/>
              </w:rPr>
              <w:t xml:space="preserve">Minerals</w:t>
            </w:r>
          </w:p>
        </w:tc>
      </w:tr>
      <w:tr>
        <w:trPr>
          <w:cantSplit/>
        </w:trPr>
        <w:tc>
          <w:tcPr>
            <w:tcW w:type="dxa" w:w="2400"/>
            <w:tcMar>
              <w:top w:type="dxa" w:w="90"/>
              <w:left w:type="dxa" w:w="140"/>
              <w:bottom w:type="dxa" w:w="90"/>
              <w:right w:type="dxa" w:w="140"/>
            </w:tcMar>
          </w:tcPr>
          <w:p>
            <w:pPr>
              <w:spacing w:after="0" w:line="264"/>
            </w:pPr>
            <w:r>
              <w:rPr>
                <w:b/>
                <w:bCs/>
                <w:color w:val="1C1917"/>
                <w:sz w:val="20"/>
                <w:szCs w:val="20"/>
              </w:rPr>
              <w:t xml:space="preserve">Designated minerals</w:t>
            </w:r>
          </w:p>
        </w:tc>
        <w:tc>
          <w:tcPr>
            <w:tcW w:type="dxa" w:w="6960"/>
            <w:tcMar>
              <w:top w:type="dxa" w:w="90"/>
              <w:left w:type="dxa" w:w="140"/>
              <w:bottom w:type="dxa" w:w="90"/>
              <w:right w:type="dxa" w:w="140"/>
            </w:tcMar>
          </w:tcPr>
          <w:p>
            <w:pPr>
              <w:spacing w:after="0" w:line="264"/>
            </w:pPr>
            <w:r>
              <w:rPr>
                <w:b w:val="false"/>
                <w:bCs w:val="false"/>
                <w:color w:val="1C1917"/>
                <w:sz w:val="20"/>
                <w:szCs w:val="20"/>
              </w:rPr>
              <w:t xml:space="preserve">Gold (Au) · Tin — cassiterite (Sn) · Tantalum (Ta) · Coltan — tantalum/niobium ore · Wolfram — tungsten (W) · Titanium — ilmenite/rutile (Ti)</w:t>
            </w:r>
          </w:p>
        </w:tc>
      </w:tr>
      <w:tr>
        <w:trPr>
          <w:cantSplit/>
        </w:trPr>
        <w:tc>
          <w:tcPr>
            <w:tcW w:type="dxa" w:w="2400"/>
            <w:shd w:fill="FAFAF9" w:val="clear"/>
            <w:tcMar>
              <w:top w:type="dxa" w:w="90"/>
              <w:left w:type="dxa" w:w="140"/>
              <w:bottom w:type="dxa" w:w="90"/>
              <w:right w:type="dxa" w:w="140"/>
            </w:tcMar>
          </w:tcPr>
          <w:p>
            <w:pPr>
              <w:spacing w:after="0" w:line="264"/>
            </w:pPr>
            <w:r>
              <w:rPr>
                <w:b/>
                <w:bCs/>
                <w:color w:val="1C1917"/>
                <w:sz w:val="20"/>
                <w:szCs w:val="20"/>
              </w:rPr>
              <w:t xml:space="preserve">Other minerals captured in production</w:t>
            </w:r>
          </w:p>
        </w:tc>
        <w:tc>
          <w:tcPr>
            <w:tcW w:type="dxa" w:w="6960"/>
            <w:shd w:fill="FAFAF9" w:val="clear"/>
            <w:tcMar>
              <w:top w:type="dxa" w:w="90"/>
              <w:left w:type="dxa" w:w="140"/>
              <w:bottom w:type="dxa" w:w="90"/>
              <w:right w:type="dxa" w:w="140"/>
            </w:tcMar>
          </w:tcPr>
          <w:p>
            <w:pPr>
              <w:spacing w:after="0" w:line="264"/>
            </w:pPr>
            <w:r>
              <w:rPr>
                <w:b w:val="false"/>
                <w:bCs w:val="false"/>
                <w:color w:val="1C1917"/>
                <w:sz w:val="20"/>
                <w:szCs w:val="20"/>
              </w:rPr>
              <w:t xml:space="preserve">Copper, cobalt, lithium, nickel, iron ore, lead, zinc, manganese, chromite, rare earth elements, uranium, graphite, silver, diamond, gemstones, bentonite, diatomite, gypsum, feldspar, limestone, marble, kaolin, phosphates, pozzolana, salt, sand, vermiculite, granite, other</w:t>
            </w:r>
          </w:p>
        </w:tc>
      </w:tr>
    </w:tbl>
    <w:p>
      <w:pPr>
        <w:spacing w:after="140"/>
      </w:pPr>
    </w:p>
    <w:p>
      <w:pPr>
        <w:spacing w:after="120" w:line="276"/>
      </w:pPr>
      <w:r>
        <w:rPr>
          <w:color w:val="1C1917"/>
          <w:sz w:val="21"/>
          <w:szCs w:val="21"/>
        </w:rPr>
        <w:t xml:space="preserve">Tantalum and coltan are both listed on purpose. Use </w:t>
      </w:r>
      <w:r>
        <w:rPr>
          <w:b/>
          <w:bCs/>
          <w:color w:val="1C1917"/>
          <w:sz w:val="21"/>
          <w:szCs w:val="21"/>
        </w:rPr>
        <w:t xml:space="preserve">Coltan</w:t>
      </w:r>
      <w:r>
        <w:rPr>
          <w:color w:val="1C1917"/>
          <w:sz w:val="21"/>
          <w:szCs w:val="21"/>
        </w:rPr>
        <w:t xml:space="preserve"> for the raw columbite-tantalite ore as it comes out of the ground, and </w:t>
      </w:r>
      <w:r>
        <w:rPr>
          <w:b/>
          <w:bCs/>
          <w:color w:val="1C1917"/>
          <w:sz w:val="21"/>
          <w:szCs w:val="21"/>
        </w:rPr>
        <w:t xml:space="preserve">Tantalum</w:t>
      </w:r>
      <w:r>
        <w:rPr>
          <w:color w:val="1C1917"/>
          <w:sz w:val="21"/>
          <w:szCs w:val="21"/>
        </w:rPr>
        <w:t xml:space="preserve"> where the lot is being handled and assayed as tantalum in its own right.</w:t>
      </w:r>
    </w:p>
    <w:p>
      <w:pPr>
        <w:spacing w:after="100"/>
      </w:pPr>
    </w:p>
    <w:tbl>
      <w:tblPr>
        <w:tblW w:type="dxa" w:w="9360"/>
        <w:tblBorders>
          <w:top w:val="single" w:color="D6D3D1" w:sz="4"/>
          <w:left w:val="single" w:color="D6D3D1" w:sz="4"/>
          <w:bottom w:val="single" w:color="D6D3D1" w:sz="4"/>
          <w:right w:val="single" w:color="D6D3D1" w:sz="4"/>
          <w:insideH w:val="single" w:color="D6D3D1" w:sz="2"/>
          <w:insideV w:val="single" w:color="D6D3D1" w:sz="2"/>
        </w:tblBorders>
      </w:tblPr>
      <w:tblGrid>
        <w:gridCol w:w="2400"/>
        <w:gridCol w:w="6960"/>
      </w:tblGrid>
      <w:tr>
        <w:trPr>
          <w:cantSplit/>
          <w:tblHeader/>
        </w:trPr>
        <w:tc>
          <w:tcPr>
            <w:tcW w:type="dxa" w:w="2400"/>
            <w:shd w:fill="ECFDF5" w:val="clear"/>
            <w:tcMar>
              <w:top w:type="dxa" w:w="90"/>
              <w:left w:type="dxa" w:w="140"/>
              <w:bottom w:type="dxa" w:w="90"/>
              <w:right w:type="dxa" w:w="140"/>
            </w:tcMar>
          </w:tcPr>
          <w:p>
            <w:pPr>
              <w:spacing w:after="0" w:line="264"/>
            </w:pPr>
            <w:r>
              <w:rPr>
                <w:b/>
                <w:bCs/>
                <w:color w:val="1C1917"/>
                <w:sz w:val="20"/>
                <w:szCs w:val="20"/>
              </w:rPr>
              <w:t xml:space="preserve">Mineral</w:t>
            </w:r>
          </w:p>
        </w:tc>
        <w:tc>
          <w:tcPr>
            <w:tcW w:type="dxa" w:w="6960"/>
            <w:shd w:fill="ECFDF5" w:val="clear"/>
            <w:tcMar>
              <w:top w:type="dxa" w:w="90"/>
              <w:left w:type="dxa" w:w="140"/>
              <w:bottom w:type="dxa" w:w="90"/>
              <w:right w:type="dxa" w:w="140"/>
            </w:tcMar>
          </w:tcPr>
          <w:p>
            <w:pPr>
              <w:spacing w:after="0" w:line="264"/>
            </w:pPr>
            <w:r>
              <w:rPr>
                <w:b/>
                <w:bCs/>
                <w:color w:val="1C1917"/>
                <w:sz w:val="20"/>
                <w:szCs w:val="20"/>
              </w:rPr>
              <w:t xml:space="preserve">Grade units offered</w:t>
            </w:r>
          </w:p>
        </w:tc>
      </w:tr>
      <w:tr>
        <w:trPr>
          <w:cantSplit/>
        </w:trPr>
        <w:tc>
          <w:tcPr>
            <w:tcW w:type="dxa" w:w="2400"/>
            <w:tcMar>
              <w:top w:type="dxa" w:w="90"/>
              <w:left w:type="dxa" w:w="140"/>
              <w:bottom w:type="dxa" w:w="90"/>
              <w:right w:type="dxa" w:w="140"/>
            </w:tcMar>
          </w:tcPr>
          <w:p>
            <w:pPr>
              <w:spacing w:after="0" w:line="264"/>
            </w:pPr>
            <w:r>
              <w:rPr>
                <w:b/>
                <w:bCs/>
                <w:color w:val="1C1917"/>
                <w:sz w:val="20"/>
                <w:szCs w:val="20"/>
              </w:rPr>
              <w:t xml:space="preserve">Gold</w:t>
            </w:r>
          </w:p>
        </w:tc>
        <w:tc>
          <w:tcPr>
            <w:tcW w:type="dxa" w:w="6960"/>
            <w:tcMar>
              <w:top w:type="dxa" w:w="90"/>
              <w:left w:type="dxa" w:w="140"/>
              <w:bottom w:type="dxa" w:w="90"/>
              <w:right w:type="dxa" w:w="140"/>
            </w:tcMar>
          </w:tcPr>
          <w:p>
            <w:pPr>
              <w:spacing w:after="0" w:line="264"/>
            </w:pPr>
            <w:r>
              <w:rPr>
                <w:b w:val="false"/>
                <w:bCs w:val="false"/>
                <w:color w:val="1C1917"/>
                <w:sz w:val="20"/>
                <w:szCs w:val="20"/>
              </w:rPr>
              <w:t xml:space="preserve">g/t Au · % Au · karat</w:t>
            </w:r>
          </w:p>
        </w:tc>
      </w:tr>
      <w:tr>
        <w:trPr>
          <w:cantSplit/>
        </w:trPr>
        <w:tc>
          <w:tcPr>
            <w:tcW w:type="dxa" w:w="2400"/>
            <w:shd w:fill="FAFAF9" w:val="clear"/>
            <w:tcMar>
              <w:top w:type="dxa" w:w="90"/>
              <w:left w:type="dxa" w:w="140"/>
              <w:bottom w:type="dxa" w:w="90"/>
              <w:right w:type="dxa" w:w="140"/>
            </w:tcMar>
          </w:tcPr>
          <w:p>
            <w:pPr>
              <w:spacing w:after="0" w:line="264"/>
            </w:pPr>
            <w:r>
              <w:rPr>
                <w:b/>
                <w:bCs/>
                <w:color w:val="1C1917"/>
                <w:sz w:val="20"/>
                <w:szCs w:val="20"/>
              </w:rPr>
              <w:t xml:space="preserve">Tin</w:t>
            </w:r>
          </w:p>
        </w:tc>
        <w:tc>
          <w:tcPr>
            <w:tcW w:type="dxa" w:w="6960"/>
            <w:shd w:fill="FAFAF9" w:val="clear"/>
            <w:tcMar>
              <w:top w:type="dxa" w:w="90"/>
              <w:left w:type="dxa" w:w="140"/>
              <w:bottom w:type="dxa" w:w="90"/>
              <w:right w:type="dxa" w:w="140"/>
            </w:tcMar>
          </w:tcPr>
          <w:p>
            <w:pPr>
              <w:spacing w:after="0" w:line="264"/>
            </w:pPr>
            <w:r>
              <w:rPr>
                <w:b w:val="false"/>
                <w:bCs w:val="false"/>
                <w:color w:val="1C1917"/>
                <w:sz w:val="20"/>
                <w:szCs w:val="20"/>
              </w:rPr>
              <w:t xml:space="preserve">% Sn · % SnO₂</w:t>
            </w:r>
          </w:p>
        </w:tc>
      </w:tr>
      <w:tr>
        <w:trPr>
          <w:cantSplit/>
        </w:trPr>
        <w:tc>
          <w:tcPr>
            <w:tcW w:type="dxa" w:w="2400"/>
            <w:tcMar>
              <w:top w:type="dxa" w:w="90"/>
              <w:left w:type="dxa" w:w="140"/>
              <w:bottom w:type="dxa" w:w="90"/>
              <w:right w:type="dxa" w:w="140"/>
            </w:tcMar>
          </w:tcPr>
          <w:p>
            <w:pPr>
              <w:spacing w:after="0" w:line="264"/>
            </w:pPr>
            <w:r>
              <w:rPr>
                <w:b/>
                <w:bCs/>
                <w:color w:val="1C1917"/>
                <w:sz w:val="20"/>
                <w:szCs w:val="20"/>
              </w:rPr>
              <w:t xml:space="preserve">Tantalum</w:t>
            </w:r>
          </w:p>
        </w:tc>
        <w:tc>
          <w:tcPr>
            <w:tcW w:type="dxa" w:w="6960"/>
            <w:tcMar>
              <w:top w:type="dxa" w:w="90"/>
              <w:left w:type="dxa" w:w="140"/>
              <w:bottom w:type="dxa" w:w="90"/>
              <w:right w:type="dxa" w:w="140"/>
            </w:tcMar>
          </w:tcPr>
          <w:p>
            <w:pPr>
              <w:spacing w:after="0" w:line="264"/>
            </w:pPr>
            <w:r>
              <w:rPr>
                <w:b w:val="false"/>
                <w:bCs w:val="false"/>
                <w:color w:val="1C1917"/>
                <w:sz w:val="20"/>
                <w:szCs w:val="20"/>
              </w:rPr>
              <w:t xml:space="preserve">% Ta₂O₅ · ppm Ta</w:t>
            </w:r>
          </w:p>
        </w:tc>
      </w:tr>
      <w:tr>
        <w:trPr>
          <w:cantSplit/>
        </w:trPr>
        <w:tc>
          <w:tcPr>
            <w:tcW w:type="dxa" w:w="2400"/>
            <w:shd w:fill="FAFAF9" w:val="clear"/>
            <w:tcMar>
              <w:top w:type="dxa" w:w="90"/>
              <w:left w:type="dxa" w:w="140"/>
              <w:bottom w:type="dxa" w:w="90"/>
              <w:right w:type="dxa" w:w="140"/>
            </w:tcMar>
          </w:tcPr>
          <w:p>
            <w:pPr>
              <w:spacing w:after="0" w:line="264"/>
            </w:pPr>
            <w:r>
              <w:rPr>
                <w:b/>
                <w:bCs/>
                <w:color w:val="1C1917"/>
                <w:sz w:val="20"/>
                <w:szCs w:val="20"/>
              </w:rPr>
              <w:t xml:space="preserve">Coltan</w:t>
            </w:r>
          </w:p>
        </w:tc>
        <w:tc>
          <w:tcPr>
            <w:tcW w:type="dxa" w:w="6960"/>
            <w:shd w:fill="FAFAF9" w:val="clear"/>
            <w:tcMar>
              <w:top w:type="dxa" w:w="90"/>
              <w:left w:type="dxa" w:w="140"/>
              <w:bottom w:type="dxa" w:w="90"/>
              <w:right w:type="dxa" w:w="140"/>
            </w:tcMar>
          </w:tcPr>
          <w:p>
            <w:pPr>
              <w:spacing w:after="0" w:line="264"/>
            </w:pPr>
            <w:r>
              <w:rPr>
                <w:b w:val="false"/>
                <w:bCs w:val="false"/>
                <w:color w:val="1C1917"/>
                <w:sz w:val="20"/>
                <w:szCs w:val="20"/>
              </w:rPr>
              <w:t xml:space="preserve">% Ta₂O₅ · % Nb₂O₅</w:t>
            </w:r>
          </w:p>
        </w:tc>
      </w:tr>
      <w:tr>
        <w:trPr>
          <w:cantSplit/>
        </w:trPr>
        <w:tc>
          <w:tcPr>
            <w:tcW w:type="dxa" w:w="2400"/>
            <w:tcMar>
              <w:top w:type="dxa" w:w="90"/>
              <w:left w:type="dxa" w:w="140"/>
              <w:bottom w:type="dxa" w:w="90"/>
              <w:right w:type="dxa" w:w="140"/>
            </w:tcMar>
          </w:tcPr>
          <w:p>
            <w:pPr>
              <w:spacing w:after="0" w:line="264"/>
            </w:pPr>
            <w:r>
              <w:rPr>
                <w:b/>
                <w:bCs/>
                <w:color w:val="1C1917"/>
                <w:sz w:val="20"/>
                <w:szCs w:val="20"/>
              </w:rPr>
              <w:t xml:space="preserve">Wolfram</w:t>
            </w:r>
          </w:p>
        </w:tc>
        <w:tc>
          <w:tcPr>
            <w:tcW w:type="dxa" w:w="6960"/>
            <w:tcMar>
              <w:top w:type="dxa" w:w="90"/>
              <w:left w:type="dxa" w:w="140"/>
              <w:bottom w:type="dxa" w:w="90"/>
              <w:right w:type="dxa" w:w="140"/>
            </w:tcMar>
          </w:tcPr>
          <w:p>
            <w:pPr>
              <w:spacing w:after="0" w:line="264"/>
            </w:pPr>
            <w:r>
              <w:rPr>
                <w:b w:val="false"/>
                <w:bCs w:val="false"/>
                <w:color w:val="1C1917"/>
                <w:sz w:val="20"/>
                <w:szCs w:val="20"/>
              </w:rPr>
              <w:t xml:space="preserve">% WO₃ · % W</w:t>
            </w:r>
          </w:p>
        </w:tc>
      </w:tr>
      <w:tr>
        <w:trPr>
          <w:cantSplit/>
        </w:trPr>
        <w:tc>
          <w:tcPr>
            <w:tcW w:type="dxa" w:w="2400"/>
            <w:shd w:fill="FAFAF9" w:val="clear"/>
            <w:tcMar>
              <w:top w:type="dxa" w:w="90"/>
              <w:left w:type="dxa" w:w="140"/>
              <w:bottom w:type="dxa" w:w="90"/>
              <w:right w:type="dxa" w:w="140"/>
            </w:tcMar>
          </w:tcPr>
          <w:p>
            <w:pPr>
              <w:spacing w:after="0" w:line="264"/>
            </w:pPr>
            <w:r>
              <w:rPr>
                <w:b/>
                <w:bCs/>
                <w:color w:val="1C1917"/>
                <w:sz w:val="20"/>
                <w:szCs w:val="20"/>
              </w:rPr>
              <w:t xml:space="preserve">Titanium</w:t>
            </w:r>
          </w:p>
        </w:tc>
        <w:tc>
          <w:tcPr>
            <w:tcW w:type="dxa" w:w="6960"/>
            <w:shd w:fill="FAFAF9" w:val="clear"/>
            <w:tcMar>
              <w:top w:type="dxa" w:w="90"/>
              <w:left w:type="dxa" w:w="140"/>
              <w:bottom w:type="dxa" w:w="90"/>
              <w:right w:type="dxa" w:w="140"/>
            </w:tcMar>
          </w:tcPr>
          <w:p>
            <w:pPr>
              <w:spacing w:after="0" w:line="264"/>
            </w:pPr>
            <w:r>
              <w:rPr>
                <w:b w:val="false"/>
                <w:bCs w:val="false"/>
                <w:color w:val="1C1917"/>
                <w:sz w:val="20"/>
                <w:szCs w:val="20"/>
              </w:rPr>
              <w:t xml:space="preserve">% TiO₂ · % Ti</w:t>
            </w:r>
          </w:p>
        </w:tc>
      </w:tr>
      <w:tr>
        <w:trPr>
          <w:cantSplit/>
        </w:trPr>
        <w:tc>
          <w:tcPr>
            <w:tcW w:type="dxa" w:w="2400"/>
            <w:tcMar>
              <w:top w:type="dxa" w:w="90"/>
              <w:left w:type="dxa" w:w="140"/>
              <w:bottom w:type="dxa" w:w="90"/>
              <w:right w:type="dxa" w:w="140"/>
            </w:tcMar>
          </w:tcPr>
          <w:p>
            <w:pPr>
              <w:spacing w:after="0" w:line="264"/>
            </w:pPr>
            <w:r>
              <w:rPr>
                <w:b/>
                <w:bCs/>
                <w:color w:val="1C1917"/>
                <w:sz w:val="20"/>
                <w:szCs w:val="20"/>
              </w:rPr>
              <w:t xml:space="preserve">Anything else</w:t>
            </w:r>
          </w:p>
        </w:tc>
        <w:tc>
          <w:tcPr>
            <w:tcW w:type="dxa" w:w="6960"/>
            <w:tcMar>
              <w:top w:type="dxa" w:w="90"/>
              <w:left w:type="dxa" w:w="140"/>
              <w:bottom w:type="dxa" w:w="90"/>
              <w:right w:type="dxa" w:w="140"/>
            </w:tcMar>
          </w:tcPr>
          <w:p>
            <w:pPr>
              <w:spacing w:after="0" w:line="264"/>
            </w:pPr>
            <w:r>
              <w:rPr>
                <w:b w:val="false"/>
                <w:bCs w:val="false"/>
                <w:color w:val="1C1917"/>
                <w:sz w:val="20"/>
                <w:szCs w:val="20"/>
              </w:rPr>
              <w:t xml:space="preserve">% · g/t · ppm</w:t>
            </w:r>
          </w:p>
        </w:tc>
      </w:tr>
    </w:tbl>
    <w:p>
      <w:pPr>
        <w:spacing w:before="200"/>
      </w:pPr>
      <w:r>
        <w:br w:type="page"/>
      </w:r>
    </w:p>
    <w:p>
      <w:pPr>
        <w:pStyle w:val="Heading1"/>
        <w:spacing w:after="160" w:before="360"/>
      </w:pPr>
      <w:r>
        <w:rPr>
          <w:b/>
          <w:bCs/>
          <w:color w:val="1F6F54"/>
          <w:sz w:val="32"/>
          <w:szCs w:val="32"/>
        </w:rPr>
        <w:t xml:space="preserve">3. The Compliance tab</w:t>
      </w:r>
    </w:p>
    <w:p>
      <w:pPr>
        <w:spacing w:after="120" w:line="276"/>
      </w:pPr>
      <w:r>
        <w:rPr>
          <w:color w:val="1C1917"/>
          <w:sz w:val="21"/>
          <w:szCs w:val="21"/>
        </w:rPr>
        <w:t xml:space="preserve">Seven sub-tabs sit inside this one. The first tells you what to do; the other six are where the supporting records live.</w:t>
      </w:r>
    </w:p>
    <w:p>
      <w:pPr>
        <w:spacing w:after="100"/>
      </w:pPr>
    </w:p>
    <w:tbl>
      <w:tblPr>
        <w:tblW w:type="dxa" w:w="9360"/>
        <w:tblBorders>
          <w:top w:val="single" w:color="D6D3D1" w:sz="4"/>
          <w:left w:val="single" w:color="D6D3D1" w:sz="4"/>
          <w:bottom w:val="single" w:color="D6D3D1" w:sz="4"/>
          <w:right w:val="single" w:color="D6D3D1" w:sz="4"/>
          <w:insideH w:val="single" w:color="D6D3D1" w:sz="2"/>
          <w:insideV w:val="single" w:color="D6D3D1" w:sz="2"/>
        </w:tblBorders>
      </w:tblPr>
      <w:tblGrid>
        <w:gridCol w:w="2200"/>
        <w:gridCol w:w="7160"/>
      </w:tblGrid>
      <w:tr>
        <w:trPr>
          <w:cantSplit/>
          <w:tblHeader/>
        </w:trPr>
        <w:tc>
          <w:tcPr>
            <w:tcW w:type="dxa" w:w="2200"/>
            <w:shd w:fill="ECFDF5" w:val="clear"/>
            <w:tcMar>
              <w:top w:type="dxa" w:w="90"/>
              <w:left w:type="dxa" w:w="140"/>
              <w:bottom w:type="dxa" w:w="90"/>
              <w:right w:type="dxa" w:w="140"/>
            </w:tcMar>
          </w:tcPr>
          <w:p>
            <w:pPr>
              <w:spacing w:after="0" w:line="264"/>
            </w:pPr>
            <w:r>
              <w:rPr>
                <w:b/>
                <w:bCs/>
                <w:color w:val="1C1917"/>
                <w:sz w:val="20"/>
                <w:szCs w:val="20"/>
              </w:rPr>
              <w:t xml:space="preserve">Sub-tab</w:t>
            </w:r>
          </w:p>
        </w:tc>
        <w:tc>
          <w:tcPr>
            <w:tcW w:type="dxa" w:w="7160"/>
            <w:shd w:fill="ECFDF5" w:val="clear"/>
            <w:tcMar>
              <w:top w:type="dxa" w:w="90"/>
              <w:left w:type="dxa" w:w="140"/>
              <w:bottom w:type="dxa" w:w="90"/>
              <w:right w:type="dxa" w:w="140"/>
            </w:tcMar>
          </w:tcPr>
          <w:p>
            <w:pPr>
              <w:spacing w:after="0" w:line="264"/>
            </w:pPr>
            <w:r>
              <w:rPr>
                <w:b/>
                <w:bCs/>
                <w:color w:val="1C1917"/>
                <w:sz w:val="20"/>
                <w:szCs w:val="20"/>
              </w:rPr>
              <w:t xml:space="preserve">What it holds</w:t>
            </w:r>
          </w:p>
        </w:tc>
      </w:tr>
      <w:tr>
        <w:trPr>
          <w:cantSplit/>
        </w:trPr>
        <w:tc>
          <w:tcPr>
            <w:tcW w:type="dxa" w:w="2200"/>
            <w:tcMar>
              <w:top w:type="dxa" w:w="90"/>
              <w:left w:type="dxa" w:w="140"/>
              <w:bottom w:type="dxa" w:w="90"/>
              <w:right w:type="dxa" w:w="140"/>
            </w:tcMar>
          </w:tcPr>
          <w:p>
            <w:pPr>
              <w:spacing w:after="0" w:line="264"/>
            </w:pPr>
            <w:r>
              <w:rPr>
                <w:b/>
                <w:bCs/>
                <w:color w:val="1C1917"/>
                <w:sz w:val="20"/>
                <w:szCs w:val="20"/>
              </w:rPr>
              <w:t xml:space="preserve">Status</w:t>
            </w:r>
          </w:p>
        </w:tc>
        <w:tc>
          <w:tcPr>
            <w:tcW w:type="dxa" w:w="7160"/>
            <w:tcMar>
              <w:top w:type="dxa" w:w="90"/>
              <w:left w:type="dxa" w:w="140"/>
              <w:bottom w:type="dxa" w:w="90"/>
              <w:right w:type="dxa" w:w="140"/>
            </w:tcMar>
          </w:tcPr>
          <w:p>
            <w:pPr>
              <w:spacing w:after="0" w:line="264"/>
            </w:pPr>
            <w:r>
              <w:rPr>
                <w:b w:val="false"/>
                <w:bCs w:val="false"/>
                <w:color w:val="1C1917"/>
                <w:sz w:val="20"/>
                <w:szCs w:val="20"/>
              </w:rPr>
              <w:t xml:space="preserve">The board: every lot sorted into blocked, needs work, or ready. Start here.</w:t>
            </w:r>
          </w:p>
        </w:tc>
      </w:tr>
      <w:tr>
        <w:trPr>
          <w:cantSplit/>
        </w:trPr>
        <w:tc>
          <w:tcPr>
            <w:tcW w:type="dxa" w:w="2200"/>
            <w:shd w:fill="FAFAF9" w:val="clear"/>
            <w:tcMar>
              <w:top w:type="dxa" w:w="90"/>
              <w:left w:type="dxa" w:w="140"/>
              <w:bottom w:type="dxa" w:w="90"/>
              <w:right w:type="dxa" w:w="140"/>
            </w:tcMar>
          </w:tcPr>
          <w:p>
            <w:pPr>
              <w:spacing w:after="0" w:line="264"/>
            </w:pPr>
            <w:r>
              <w:rPr>
                <w:b/>
                <w:bCs/>
                <w:color w:val="1C1917"/>
                <w:sz w:val="20"/>
                <w:szCs w:val="20"/>
              </w:rPr>
              <w:t xml:space="preserve">CoC Lots</w:t>
            </w:r>
          </w:p>
        </w:tc>
        <w:tc>
          <w:tcPr>
            <w:tcW w:type="dxa" w:w="7160"/>
            <w:shd w:fill="FAFAF9" w:val="clear"/>
            <w:tcMar>
              <w:top w:type="dxa" w:w="90"/>
              <w:left w:type="dxa" w:w="140"/>
              <w:bottom w:type="dxa" w:w="90"/>
              <w:right w:type="dxa" w:w="140"/>
            </w:tcMar>
          </w:tcPr>
          <w:p>
            <w:pPr>
              <w:spacing w:after="0" w:line="264"/>
            </w:pPr>
            <w:r>
              <w:rPr>
                <w:b w:val="false"/>
                <w:bCs w:val="false"/>
                <w:color w:val="1C1917"/>
                <w:sz w:val="20"/>
                <w:szCs w:val="20"/>
              </w:rPr>
              <w:t xml:space="preserve">The full chain-of-custody lot record, with every field the Regulations ask for.</w:t>
            </w:r>
          </w:p>
        </w:tc>
      </w:tr>
      <w:tr>
        <w:trPr>
          <w:cantSplit/>
        </w:trPr>
        <w:tc>
          <w:tcPr>
            <w:tcW w:type="dxa" w:w="2200"/>
            <w:tcMar>
              <w:top w:type="dxa" w:w="90"/>
              <w:left w:type="dxa" w:w="140"/>
              <w:bottom w:type="dxa" w:w="90"/>
              <w:right w:type="dxa" w:w="140"/>
            </w:tcMar>
          </w:tcPr>
          <w:p>
            <w:pPr>
              <w:spacing w:after="0" w:line="264"/>
            </w:pPr>
            <w:r>
              <w:rPr>
                <w:b/>
                <w:bCs/>
                <w:color w:val="1C1917"/>
                <w:sz w:val="20"/>
                <w:szCs w:val="20"/>
              </w:rPr>
              <w:t xml:space="preserve">Exports</w:t>
            </w:r>
          </w:p>
        </w:tc>
        <w:tc>
          <w:tcPr>
            <w:tcW w:type="dxa" w:w="7160"/>
            <w:tcMar>
              <w:top w:type="dxa" w:w="90"/>
              <w:left w:type="dxa" w:w="140"/>
              <w:bottom w:type="dxa" w:w="90"/>
              <w:right w:type="dxa" w:w="140"/>
            </w:tcMar>
          </w:tcPr>
          <w:p>
            <w:pPr>
              <w:spacing w:after="0" w:line="264"/>
            </w:pPr>
            <w:r>
              <w:rPr>
                <w:b w:val="false"/>
                <w:bCs w:val="false"/>
                <w:color w:val="1C1917"/>
                <w:sz w:val="20"/>
                <w:szCs w:val="20"/>
              </w:rPr>
              <w:t xml:space="preserve">Export certificate applications and the ICGLR certificate once issued.</w:t>
            </w:r>
          </w:p>
        </w:tc>
      </w:tr>
      <w:tr>
        <w:trPr>
          <w:cantSplit/>
        </w:trPr>
        <w:tc>
          <w:tcPr>
            <w:tcW w:type="dxa" w:w="2200"/>
            <w:shd w:fill="FAFAF9" w:val="clear"/>
            <w:tcMar>
              <w:top w:type="dxa" w:w="90"/>
              <w:left w:type="dxa" w:w="140"/>
              <w:bottom w:type="dxa" w:w="90"/>
              <w:right w:type="dxa" w:w="140"/>
            </w:tcMar>
          </w:tcPr>
          <w:p>
            <w:pPr>
              <w:spacing w:after="0" w:line="264"/>
            </w:pPr>
            <w:r>
              <w:rPr>
                <w:b/>
                <w:bCs/>
                <w:color w:val="1C1917"/>
                <w:sz w:val="20"/>
                <w:szCs w:val="20"/>
              </w:rPr>
              <w:t xml:space="preserve">Mine Sites</w:t>
            </w:r>
          </w:p>
        </w:tc>
        <w:tc>
          <w:tcPr>
            <w:tcW w:type="dxa" w:w="7160"/>
            <w:shd w:fill="FAFAF9" w:val="clear"/>
            <w:tcMar>
              <w:top w:type="dxa" w:w="90"/>
              <w:left w:type="dxa" w:w="140"/>
              <w:bottom w:type="dxa" w:w="90"/>
              <w:right w:type="dxa" w:w="140"/>
            </w:tcMar>
          </w:tcPr>
          <w:p>
            <w:pPr>
              <w:spacing w:after="0" w:line="264"/>
            </w:pPr>
            <w:r>
              <w:rPr>
                <w:b w:val="false"/>
                <w:bCs w:val="false"/>
                <w:color w:val="1C1917"/>
                <w:sz w:val="20"/>
                <w:szCs w:val="20"/>
              </w:rPr>
              <w:t xml:space="preserve">Inspection results and the colour status for each site you work.</w:t>
            </w:r>
          </w:p>
        </w:tc>
      </w:tr>
      <w:tr>
        <w:trPr>
          <w:cantSplit/>
        </w:trPr>
        <w:tc>
          <w:tcPr>
            <w:tcW w:type="dxa" w:w="2200"/>
            <w:tcMar>
              <w:top w:type="dxa" w:w="90"/>
              <w:left w:type="dxa" w:w="140"/>
              <w:bottom w:type="dxa" w:w="90"/>
              <w:right w:type="dxa" w:w="140"/>
            </w:tcMar>
          </w:tcPr>
          <w:p>
            <w:pPr>
              <w:spacing w:after="0" w:line="264"/>
            </w:pPr>
            <w:r>
              <w:rPr>
                <w:b/>
                <w:bCs/>
                <w:color w:val="1C1917"/>
                <w:sz w:val="20"/>
                <w:szCs w:val="20"/>
              </w:rPr>
              <w:t xml:space="preserve">Due Diligence</w:t>
            </w:r>
          </w:p>
        </w:tc>
        <w:tc>
          <w:tcPr>
            <w:tcW w:type="dxa" w:w="7160"/>
            <w:tcMar>
              <w:top w:type="dxa" w:w="90"/>
              <w:left w:type="dxa" w:w="140"/>
              <w:bottom w:type="dxa" w:w="90"/>
              <w:right w:type="dxa" w:w="140"/>
            </w:tcMar>
          </w:tcPr>
          <w:p>
            <w:pPr>
              <w:spacing w:after="0" w:line="264"/>
            </w:pPr>
            <w:r>
              <w:rPr>
                <w:b w:val="false"/>
                <w:bCs w:val="false"/>
                <w:color w:val="1C1917"/>
                <w:sz w:val="20"/>
                <w:szCs w:val="20"/>
              </w:rPr>
              <w:t xml:space="preserve">Your periodic due diligence reports.</w:t>
            </w:r>
          </w:p>
        </w:tc>
      </w:tr>
      <w:tr>
        <w:trPr>
          <w:cantSplit/>
        </w:trPr>
        <w:tc>
          <w:tcPr>
            <w:tcW w:type="dxa" w:w="2200"/>
            <w:shd w:fill="FAFAF9" w:val="clear"/>
            <w:tcMar>
              <w:top w:type="dxa" w:w="90"/>
              <w:left w:type="dxa" w:w="140"/>
              <w:bottom w:type="dxa" w:w="90"/>
              <w:right w:type="dxa" w:w="140"/>
            </w:tcMar>
          </w:tcPr>
          <w:p>
            <w:pPr>
              <w:spacing w:after="0" w:line="264"/>
            </w:pPr>
            <w:r>
              <w:rPr>
                <w:b/>
                <w:bCs/>
                <w:color w:val="1C1917"/>
                <w:sz w:val="20"/>
                <w:szCs w:val="20"/>
              </w:rPr>
              <w:t xml:space="preserve">Audits</w:t>
            </w:r>
          </w:p>
        </w:tc>
        <w:tc>
          <w:tcPr>
            <w:tcW w:type="dxa" w:w="7160"/>
            <w:shd w:fill="FAFAF9" w:val="clear"/>
            <w:tcMar>
              <w:top w:type="dxa" w:w="90"/>
              <w:left w:type="dxa" w:w="140"/>
              <w:bottom w:type="dxa" w:w="90"/>
              <w:right w:type="dxa" w:w="140"/>
            </w:tcMar>
          </w:tcPr>
          <w:p>
            <w:pPr>
              <w:spacing w:after="0" w:line="264"/>
            </w:pPr>
            <w:r>
              <w:rPr>
                <w:b w:val="false"/>
                <w:bCs w:val="false"/>
                <w:color w:val="1C1917"/>
                <w:sz w:val="20"/>
                <w:szCs w:val="20"/>
              </w:rPr>
              <w:t xml:space="preserve">Third-party audits of the exporter.</w:t>
            </w:r>
          </w:p>
        </w:tc>
      </w:tr>
      <w:tr>
        <w:trPr>
          <w:cantSplit/>
        </w:trPr>
        <w:tc>
          <w:tcPr>
            <w:tcW w:type="dxa" w:w="2200"/>
            <w:tcMar>
              <w:top w:type="dxa" w:w="90"/>
              <w:left w:type="dxa" w:w="140"/>
              <w:bottom w:type="dxa" w:w="90"/>
              <w:right w:type="dxa" w:w="140"/>
            </w:tcMar>
          </w:tcPr>
          <w:p>
            <w:pPr>
              <w:spacing w:after="0" w:line="264"/>
            </w:pPr>
            <w:r>
              <w:rPr>
                <w:b/>
                <w:bCs/>
                <w:color w:val="1C1917"/>
                <w:sz w:val="20"/>
                <w:szCs w:val="20"/>
              </w:rPr>
              <w:t xml:space="preserve">Documents</w:t>
            </w:r>
          </w:p>
        </w:tc>
        <w:tc>
          <w:tcPr>
            <w:tcW w:type="dxa" w:w="7160"/>
            <w:tcMar>
              <w:top w:type="dxa" w:w="90"/>
              <w:left w:type="dxa" w:w="140"/>
              <w:bottom w:type="dxa" w:w="90"/>
              <w:right w:type="dxa" w:w="140"/>
            </w:tcMar>
          </w:tcPr>
          <w:p>
            <w:pPr>
              <w:spacing w:after="0" w:line="264"/>
            </w:pPr>
            <w:r>
              <w:rPr>
                <w:b w:val="false"/>
                <w:bCs w:val="false"/>
                <w:color w:val="1C1917"/>
                <w:sz w:val="20"/>
                <w:szCs w:val="20"/>
              </w:rPr>
              <w:t xml:space="preserve">The register of licences, permits, assays, receipts and other paperwork.</w:t>
            </w:r>
          </w:p>
        </w:tc>
      </w:tr>
    </w:tbl>
    <w:p>
      <w:pPr>
        <w:spacing w:after="140"/>
      </w:pPr>
    </w:p>
    <w:p>
      <w:pPr>
        <w:spacing w:after="120" w:line="276"/>
      </w:pPr>
      <w:r>
        <w:rPr>
          <w:color w:val="1C1917"/>
          <w:sz w:val="21"/>
          <w:szCs w:val="21"/>
        </w:rPr>
        <w:t xml:space="preserve">The </w:t>
      </w:r>
      <w:r>
        <w:rPr>
          <w:b/>
          <w:bCs/>
          <w:color w:val="1C1917"/>
          <w:sz w:val="21"/>
          <w:szCs w:val="21"/>
        </w:rPr>
        <w:t xml:space="preserve">Refresh</w:t>
      </w:r>
      <w:r>
        <w:rPr>
          <w:color w:val="1C1917"/>
          <w:sz w:val="21"/>
          <w:szCs w:val="21"/>
        </w:rPr>
        <w:t xml:space="preserve"> button at the top right reloads everything from the server. Use it if a colleague has just recorded something.</w:t>
      </w:r>
    </w:p>
    <w:p>
      <w:pPr>
        <w:pStyle w:val="Heading2"/>
        <w:spacing w:after="120" w:before="280"/>
      </w:pPr>
      <w:r>
        <w:rPr>
          <w:b/>
          <w:bCs/>
          <w:color w:val="1C1917"/>
          <w:sz w:val="26"/>
          <w:szCs w:val="26"/>
        </w:rPr>
        <w:t xml:space="preserve">3.1 Status — read this first</w:t>
      </w:r>
    </w:p>
    <w:p>
      <w:pPr>
        <w:spacing w:after="120" w:line="276"/>
      </w:pPr>
      <w:r>
        <w:rPr>
          <w:color w:val="1C1917"/>
          <w:sz w:val="21"/>
          <w:szCs w:val="21"/>
        </w:rPr>
        <w:t xml:space="preserve">The board does the thinking for you. It reads the records you have already entered and answers one question per lot: can this ship, and if not, what is the single next thing to do about it.</w:t>
      </w:r>
    </w:p>
    <w:p>
      <w:pPr>
        <w:spacing w:after="120" w:line="276"/>
      </w:pPr>
      <w:r>
        <w:rPr>
          <w:color w:val="1C1917"/>
          <w:sz w:val="21"/>
          <w:szCs w:val="21"/>
        </w:rPr>
        <w:t xml:space="preserve">At the top is a one-sentence summary and a count of ready, needs work and blocked. Below that, lots are grouped:</w:t>
      </w:r>
    </w:p>
    <w:p>
      <w:pPr>
        <w:spacing w:after="80"/>
      </w:pPr>
    </w:p>
    <w:tbl>
      <w:tblPr>
        <w:tblW w:type="dxa" w:w="9360"/>
        <w:tblBorders>
          <w:top w:val="single" w:color="D6D3D1" w:sz="4"/>
          <w:left w:val="single" w:color="D6D3D1" w:sz="4"/>
          <w:bottom w:val="single" w:color="D6D3D1" w:sz="4"/>
          <w:right w:val="single" w:color="D6D3D1" w:sz="4"/>
          <w:insideH w:val="single" w:color="D6D3D1" w:sz="2"/>
          <w:insideV w:val="single" w:color="D6D3D1" w:sz="2"/>
        </w:tblBorders>
      </w:tblPr>
      <w:tblGrid>
        <w:gridCol w:w="2200"/>
        <w:gridCol w:w="7160"/>
      </w:tblGrid>
      <w:tr>
        <w:trPr>
          <w:cantSplit/>
          <w:tblHeader/>
        </w:trPr>
        <w:tc>
          <w:tcPr>
            <w:tcW w:type="dxa" w:w="2200"/>
            <w:shd w:fill="ECFDF5" w:val="clear"/>
            <w:tcMar>
              <w:top w:type="dxa" w:w="90"/>
              <w:left w:type="dxa" w:w="140"/>
              <w:bottom w:type="dxa" w:w="90"/>
              <w:right w:type="dxa" w:w="140"/>
            </w:tcMar>
          </w:tcPr>
          <w:p>
            <w:pPr>
              <w:spacing w:after="0" w:line="264"/>
            </w:pPr>
            <w:r>
              <w:rPr>
                <w:b/>
                <w:bCs/>
                <w:color w:val="1C1917"/>
                <w:sz w:val="20"/>
                <w:szCs w:val="20"/>
              </w:rPr>
              <w:t xml:space="preserve">Group</w:t>
            </w:r>
          </w:p>
        </w:tc>
        <w:tc>
          <w:tcPr>
            <w:tcW w:type="dxa" w:w="7160"/>
            <w:shd w:fill="ECFDF5" w:val="clear"/>
            <w:tcMar>
              <w:top w:type="dxa" w:w="90"/>
              <w:left w:type="dxa" w:w="140"/>
              <w:bottom w:type="dxa" w:w="90"/>
              <w:right w:type="dxa" w:w="140"/>
            </w:tcMar>
          </w:tcPr>
          <w:p>
            <w:pPr>
              <w:spacing w:after="0" w:line="264"/>
            </w:pPr>
            <w:r>
              <w:rPr>
                <w:b/>
                <w:bCs/>
                <w:color w:val="1C1917"/>
                <w:sz w:val="20"/>
                <w:szCs w:val="20"/>
              </w:rPr>
              <w:t xml:space="preserve">What it means</w:t>
            </w:r>
          </w:p>
        </w:tc>
      </w:tr>
      <w:tr>
        <w:trPr>
          <w:cantSplit/>
        </w:trPr>
        <w:tc>
          <w:tcPr>
            <w:tcW w:type="dxa" w:w="2200"/>
            <w:tcMar>
              <w:top w:type="dxa" w:w="90"/>
              <w:left w:type="dxa" w:w="140"/>
              <w:bottom w:type="dxa" w:w="90"/>
              <w:right w:type="dxa" w:w="140"/>
            </w:tcMar>
          </w:tcPr>
          <w:p>
            <w:pPr>
              <w:spacing w:after="0" w:line="264"/>
            </w:pPr>
            <w:r>
              <w:rPr>
                <w:b/>
                <w:bCs/>
                <w:color w:val="1C1917"/>
                <w:sz w:val="20"/>
                <w:szCs w:val="20"/>
              </w:rPr>
              <w:t xml:space="preserve">Blocked</w:t>
            </w:r>
          </w:p>
        </w:tc>
        <w:tc>
          <w:tcPr>
            <w:tcW w:type="dxa" w:w="7160"/>
            <w:tcMar>
              <w:top w:type="dxa" w:w="90"/>
              <w:left w:type="dxa" w:w="140"/>
              <w:bottom w:type="dxa" w:w="90"/>
              <w:right w:type="dxa" w:w="140"/>
            </w:tcMar>
          </w:tcPr>
          <w:p>
            <w:pPr>
              <w:spacing w:after="0" w:line="264"/>
            </w:pPr>
            <w:r>
              <w:rPr>
                <w:b w:val="false"/>
                <w:bCs w:val="false"/>
                <w:color w:val="1C1917"/>
                <w:sz w:val="20"/>
                <w:szCs w:val="20"/>
              </w:rPr>
              <w:t xml:space="preserve">Cannot be traded or exported until this is cleared. Usually a red mine site.</w:t>
            </w:r>
          </w:p>
        </w:tc>
      </w:tr>
      <w:tr>
        <w:trPr>
          <w:cantSplit/>
        </w:trPr>
        <w:tc>
          <w:tcPr>
            <w:tcW w:type="dxa" w:w="2200"/>
            <w:shd w:fill="FAFAF9" w:val="clear"/>
            <w:tcMar>
              <w:top w:type="dxa" w:w="90"/>
              <w:left w:type="dxa" w:w="140"/>
              <w:bottom w:type="dxa" w:w="90"/>
              <w:right w:type="dxa" w:w="140"/>
            </w:tcMar>
          </w:tcPr>
          <w:p>
            <w:pPr>
              <w:spacing w:after="0" w:line="264"/>
            </w:pPr>
            <w:r>
              <w:rPr>
                <w:b/>
                <w:bCs/>
                <w:color w:val="1C1917"/>
                <w:sz w:val="20"/>
                <w:szCs w:val="20"/>
              </w:rPr>
              <w:t xml:space="preserve">Needs work</w:t>
            </w:r>
          </w:p>
        </w:tc>
        <w:tc>
          <w:tcPr>
            <w:tcW w:type="dxa" w:w="7160"/>
            <w:shd w:fill="FAFAF9" w:val="clear"/>
            <w:tcMar>
              <w:top w:type="dxa" w:w="90"/>
              <w:left w:type="dxa" w:w="140"/>
              <w:bottom w:type="dxa" w:w="90"/>
              <w:right w:type="dxa" w:w="140"/>
            </w:tcMar>
          </w:tcPr>
          <w:p>
            <w:pPr>
              <w:spacing w:after="0" w:line="264"/>
            </w:pPr>
            <w:r>
              <w:rPr>
                <w:b w:val="false"/>
                <w:bCs w:val="false"/>
                <w:color w:val="1C1917"/>
                <w:sz w:val="20"/>
                <w:szCs w:val="20"/>
              </w:rPr>
              <w:t xml:space="preserve">An export officer would stop these. Something required is missing.</w:t>
            </w:r>
          </w:p>
        </w:tc>
      </w:tr>
      <w:tr>
        <w:trPr>
          <w:cantSplit/>
        </w:trPr>
        <w:tc>
          <w:tcPr>
            <w:tcW w:type="dxa" w:w="2200"/>
            <w:tcMar>
              <w:top w:type="dxa" w:w="90"/>
              <w:left w:type="dxa" w:w="140"/>
              <w:bottom w:type="dxa" w:w="90"/>
              <w:right w:type="dxa" w:w="140"/>
            </w:tcMar>
          </w:tcPr>
          <w:p>
            <w:pPr>
              <w:spacing w:after="0" w:line="264"/>
            </w:pPr>
            <w:r>
              <w:rPr>
                <w:b/>
                <w:bCs/>
                <w:color w:val="1C1917"/>
                <w:sz w:val="20"/>
                <w:szCs w:val="20"/>
              </w:rPr>
              <w:t xml:space="preserve">Ready to export</w:t>
            </w:r>
          </w:p>
        </w:tc>
        <w:tc>
          <w:tcPr>
            <w:tcW w:type="dxa" w:w="7160"/>
            <w:tcMar>
              <w:top w:type="dxa" w:w="90"/>
              <w:left w:type="dxa" w:w="140"/>
              <w:bottom w:type="dxa" w:w="90"/>
              <w:right w:type="dxa" w:w="140"/>
            </w:tcMar>
          </w:tcPr>
          <w:p>
            <w:pPr>
              <w:spacing w:after="0" w:line="264"/>
            </w:pPr>
            <w:r>
              <w:rPr>
                <w:b w:val="false"/>
                <w:bCs w:val="false"/>
                <w:color w:val="1C1917"/>
                <w:sz w:val="20"/>
                <w:szCs w:val="20"/>
              </w:rPr>
              <w:t xml:space="preserve">Nothing outstanding. Collapsed by default — no news is good news.</w:t>
            </w:r>
          </w:p>
        </w:tc>
      </w:tr>
    </w:tbl>
    <w:p>
      <w:pPr>
        <w:spacing w:after="140"/>
      </w:pPr>
    </w:p>
    <w:p>
      <w:pPr>
        <w:spacing w:after="120" w:line="276"/>
      </w:pPr>
      <w:r>
        <w:rPr>
          <w:color w:val="1C1917"/>
          <w:sz w:val="21"/>
          <w:szCs w:val="21"/>
        </w:rPr>
        <w:t xml:space="preserve">Click a lot to open its checklist. The items are sorted so you never have to guess what matters:</w:t>
      </w:r>
    </w:p>
    <w:p>
      <w:pPr>
        <w:pStyle w:val="ListParagraph"/>
        <w:numPr>
          <w:ilvl w:val="0"/>
          <w:numId w:val="2"/>
        </w:numPr>
        <w:spacing w:after="80" w:line="276"/>
      </w:pPr>
      <w:r>
        <w:rPr>
          <w:b/>
          <w:bCs/>
          <w:color w:val="1C1917"/>
          <w:sz w:val="21"/>
          <w:szCs w:val="21"/>
        </w:rPr>
        <w:t xml:space="preserve">Blocking</w:t>
      </w:r>
      <w:r>
        <w:rPr>
          <w:color w:val="1C1917"/>
          <w:sz w:val="21"/>
          <w:szCs w:val="21"/>
        </w:rPr>
        <w:t xml:space="preserve"> — stop everything and fix this.</w:t>
      </w:r>
    </w:p>
    <w:p>
      <w:pPr>
        <w:pStyle w:val="ListParagraph"/>
        <w:numPr>
          <w:ilvl w:val="0"/>
          <w:numId w:val="2"/>
        </w:numPr>
        <w:spacing w:after="80" w:line="276"/>
      </w:pPr>
      <w:r>
        <w:rPr>
          <w:b/>
          <w:bCs/>
          <w:color w:val="1C1917"/>
          <w:sz w:val="21"/>
          <w:szCs w:val="21"/>
        </w:rPr>
        <w:t xml:space="preserve">Needed before export</w:t>
      </w:r>
      <w:r>
        <w:rPr>
          <w:color w:val="1C1917"/>
          <w:sz w:val="21"/>
          <w:szCs w:val="21"/>
        </w:rPr>
        <w:t xml:space="preserve"> — required, but the lot can still move.</w:t>
      </w:r>
    </w:p>
    <w:p>
      <w:pPr>
        <w:pStyle w:val="ListParagraph"/>
        <w:numPr>
          <w:ilvl w:val="0"/>
          <w:numId w:val="2"/>
        </w:numPr>
        <w:spacing w:after="80" w:line="276"/>
      </w:pPr>
      <w:r>
        <w:rPr>
          <w:b/>
          <w:bCs/>
          <w:color w:val="1C1917"/>
          <w:sz w:val="21"/>
          <w:szCs w:val="21"/>
        </w:rPr>
        <w:t xml:space="preserve">Optional</w:t>
      </w:r>
      <w:r>
        <w:rPr>
          <w:color w:val="1C1917"/>
          <w:sz w:val="21"/>
          <w:szCs w:val="21"/>
        </w:rPr>
        <w:t xml:space="preserve"> — nice to have, nobody will stop you.</w:t>
      </w:r>
    </w:p>
    <w:p>
      <w:pPr>
        <w:pStyle w:val="ListParagraph"/>
        <w:numPr>
          <w:ilvl w:val="0"/>
          <w:numId w:val="2"/>
        </w:numPr>
        <w:spacing w:after="80" w:line="276"/>
      </w:pPr>
      <w:r>
        <w:rPr>
          <w:b/>
          <w:bCs/>
          <w:color w:val="1C1917"/>
          <w:sz w:val="21"/>
          <w:szCs w:val="21"/>
        </w:rPr>
        <w:t xml:space="preserve">Already on file</w:t>
      </w:r>
      <w:r>
        <w:rPr>
          <w:color w:val="1C1917"/>
          <w:sz w:val="21"/>
          <w:szCs w:val="21"/>
        </w:rPr>
        <w:t xml:space="preserve"> — done. Items marked “from your records” were filled in automatically from production, certificates or linked lots; you never typed them.</w:t>
      </w:r>
    </w:p>
    <w:p>
      <w:pPr>
        <w:pStyle w:val="ListParagraph"/>
        <w:numPr>
          <w:ilvl w:val="0"/>
          <w:numId w:val="2"/>
        </w:numPr>
        <w:spacing w:after="80" w:line="276"/>
      </w:pPr>
      <w:r>
        <w:rPr>
          <w:b/>
          <w:bCs/>
          <w:color w:val="1C1917"/>
          <w:sz w:val="21"/>
          <w:szCs w:val="21"/>
        </w:rPr>
        <w:t xml:space="preserve">Does not apply to this lot</w:t>
      </w:r>
      <w:r>
        <w:rPr>
          <w:color w:val="1C1917"/>
          <w:sz w:val="21"/>
          <w:szCs w:val="21"/>
        </w:rPr>
        <w:t xml:space="preserve"> — for example, blending fields on a lot that was never blended.</w:t>
      </w:r>
    </w:p>
    <w:p>
      <w:pPr>
        <w:spacing w:after="120" w:line="276"/>
      </w:pPr>
      <w:r>
        <w:rPr>
          <w:color w:val="1C1917"/>
          <w:sz w:val="21"/>
          <w:szCs w:val="21"/>
        </w:rPr>
        <w:t xml:space="preserve">Each item names the rule it comes from, and where something is missing it tells you exactly what to record. “Open lot passport” at the bottom takes you to the full history.</w:t>
      </w:r>
    </w:p>
    <w:p>
      <w:pPr>
        <w:spacing w:after="100"/>
      </w:pPr>
    </w:p>
    <w:tbl>
      <w:tblPr>
        <w:tblW w:type="dxa" w:w="9360"/>
        <w:tblBorders>
          <w:top w:val="single" w:color="D6D3D1" w:sz="2"/>
          <w:left w:val="single" w:color="1F6F54" w:sz="18"/>
          <w:bottom w:val="single" w:color="D6D3D1" w:sz="2"/>
          <w:right w:val="single" w:color="D6D3D1" w:sz="2"/>
          <w:insideH w:val="none" w:color="FFFFFF" w:sz="0"/>
          <w:insideV w:val="none" w:color="FFFFFF" w:sz="0"/>
        </w:tblBorders>
      </w:tblPr>
      <w:tblGrid>
        <w:gridCol w:w="9360"/>
      </w:tblGrid>
      <w:tr>
        <w:trPr>
          <w:cantSplit/>
        </w:trPr>
        <w:tc>
          <w:tcPr>
            <w:tcW w:type="dxa" w:w="9360"/>
            <w:shd w:fill="F5F5F4" w:val="clear"/>
            <w:tcMar>
              <w:top w:type="dxa" w:w="140"/>
              <w:left w:type="dxa" w:w="200"/>
              <w:bottom w:type="dxa" w:w="140"/>
              <w:right w:type="dxa" w:w="200"/>
            </w:tcMar>
          </w:tcPr>
          <w:p>
            <w:pPr>
              <w:spacing w:after="60"/>
            </w:pPr>
            <w:r>
              <w:rPr>
                <w:b/>
                <w:bCs/>
                <w:color w:val="1C1917"/>
                <w:sz w:val="21"/>
                <w:szCs w:val="21"/>
              </w:rPr>
              <w:t xml:space="preserve">Company-level problems</w:t>
            </w:r>
          </w:p>
          <w:p>
            <w:pPr>
              <w:spacing w:after="0" w:line="276"/>
            </w:pPr>
            <w:r>
              <w:rPr>
                <w:color w:val="57534E"/>
                <w:sz w:val="21"/>
                <w:szCs w:val="21"/>
              </w:rPr>
              <w:t xml:space="preserve">If a banner appears above the groups, something at company level is holding up every lot — an overdue due diligence report, an expired licence, a lapsed audit. Each line has a Fix button that jumps straight to the right sub-tab.</w:t>
            </w:r>
          </w:p>
        </w:tc>
      </w:tr>
    </w:tbl>
    <w:p>
      <w:pPr>
        <w:spacing w:after="180"/>
      </w:pPr>
    </w:p>
    <w:p>
      <w:pPr>
        <w:pStyle w:val="Heading2"/>
        <w:spacing w:after="120" w:before="280"/>
      </w:pPr>
      <w:r>
        <w:rPr>
          <w:b/>
          <w:bCs/>
          <w:color w:val="1C1917"/>
          <w:sz w:val="26"/>
          <w:szCs w:val="26"/>
        </w:rPr>
        <w:t xml:space="preserve">3.2 CoC Lots — the full record</w:t>
      </w:r>
    </w:p>
    <w:p>
      <w:pPr>
        <w:spacing w:after="120" w:line="276"/>
      </w:pPr>
      <w:r>
        <w:rPr>
          <w:color w:val="1C1917"/>
          <w:sz w:val="21"/>
          <w:szCs w:val="21"/>
        </w:rPr>
        <w:t xml:space="preserve">Same lot, more detail. Use this when you need the complete Schedule 5 record rather than the quick version on the Lots tab. The form sits on the left; existing lots are listed on the right.</w:t>
      </w:r>
    </w:p>
    <w:p>
      <w:pPr>
        <w:spacing w:after="80"/>
      </w:pPr>
    </w:p>
    <w:tbl>
      <w:tblPr>
        <w:tblW w:type="dxa" w:w="9360"/>
        <w:tblBorders>
          <w:top w:val="single" w:color="D6D3D1" w:sz="4"/>
          <w:left w:val="single" w:color="D6D3D1" w:sz="4"/>
          <w:bottom w:val="single" w:color="D6D3D1" w:sz="4"/>
          <w:right w:val="single" w:color="D6D3D1" w:sz="4"/>
          <w:insideH w:val="single" w:color="D6D3D1" w:sz="2"/>
          <w:insideV w:val="single" w:color="D6D3D1" w:sz="2"/>
        </w:tblBorders>
      </w:tblPr>
      <w:tblGrid>
        <w:gridCol w:w="2600"/>
        <w:gridCol w:w="6760"/>
      </w:tblGrid>
      <w:tr>
        <w:trPr>
          <w:cantSplit/>
          <w:tblHeader/>
        </w:trPr>
        <w:tc>
          <w:tcPr>
            <w:tcW w:type="dxa" w:w="2600"/>
            <w:shd w:fill="ECFDF5" w:val="clear"/>
            <w:tcMar>
              <w:top w:type="dxa" w:w="90"/>
              <w:left w:type="dxa" w:w="140"/>
              <w:bottom w:type="dxa" w:w="90"/>
              <w:right w:type="dxa" w:w="140"/>
            </w:tcMar>
          </w:tcPr>
          <w:p>
            <w:pPr>
              <w:spacing w:after="0" w:line="264"/>
            </w:pPr>
            <w:r>
              <w:rPr>
                <w:b/>
                <w:bCs/>
                <w:color w:val="1C1917"/>
                <w:sz w:val="20"/>
                <w:szCs w:val="20"/>
              </w:rPr>
              <w:t xml:space="preserve">Part of the form</w:t>
            </w:r>
          </w:p>
        </w:tc>
        <w:tc>
          <w:tcPr>
            <w:tcW w:type="dxa" w:w="6760"/>
            <w:shd w:fill="ECFDF5" w:val="clear"/>
            <w:tcMar>
              <w:top w:type="dxa" w:w="90"/>
              <w:left w:type="dxa" w:w="140"/>
              <w:bottom w:type="dxa" w:w="90"/>
              <w:right w:type="dxa" w:w="140"/>
            </w:tcMar>
          </w:tcPr>
          <w:p>
            <w:pPr>
              <w:spacing w:after="0" w:line="264"/>
            </w:pPr>
            <w:r>
              <w:rPr>
                <w:b/>
                <w:bCs/>
                <w:color w:val="1C1917"/>
                <w:sz w:val="20"/>
                <w:szCs w:val="20"/>
              </w:rPr>
              <w:t xml:space="preserve">What to put in it</w:t>
            </w:r>
          </w:p>
        </w:tc>
      </w:tr>
      <w:tr>
        <w:trPr>
          <w:cantSplit/>
        </w:trPr>
        <w:tc>
          <w:tcPr>
            <w:tcW w:type="dxa" w:w="2600"/>
            <w:tcMar>
              <w:top w:type="dxa" w:w="90"/>
              <w:left w:type="dxa" w:w="140"/>
              <w:bottom w:type="dxa" w:w="90"/>
              <w:right w:type="dxa" w:w="140"/>
            </w:tcMar>
          </w:tcPr>
          <w:p>
            <w:pPr>
              <w:spacing w:after="0" w:line="264"/>
            </w:pPr>
            <w:r>
              <w:rPr>
                <w:b/>
                <w:bCs/>
                <w:color w:val="1C1917"/>
                <w:sz w:val="20"/>
                <w:szCs w:val="20"/>
              </w:rPr>
              <w:t xml:space="preserve">Lot number</w:t>
            </w:r>
          </w:p>
        </w:tc>
        <w:tc>
          <w:tcPr>
            <w:tcW w:type="dxa" w:w="6760"/>
            <w:tcMar>
              <w:top w:type="dxa" w:w="90"/>
              <w:left w:type="dxa" w:w="140"/>
              <w:bottom w:type="dxa" w:w="90"/>
              <w:right w:type="dxa" w:w="140"/>
            </w:tcMar>
          </w:tcPr>
          <w:p>
            <w:pPr>
              <w:spacing w:after="0" w:line="264"/>
            </w:pPr>
            <w:r>
              <w:rPr>
                <w:b w:val="false"/>
                <w:bCs w:val="false"/>
                <w:color w:val="1C1917"/>
                <w:sz w:val="20"/>
                <w:szCs w:val="20"/>
              </w:rPr>
              <w:t xml:space="preserve">Your own unique reference, for example LOT-2026-001.</w:t>
            </w:r>
          </w:p>
        </w:tc>
      </w:tr>
      <w:tr>
        <w:trPr>
          <w:cantSplit/>
        </w:trPr>
        <w:tc>
          <w:tcPr>
            <w:tcW w:type="dxa" w:w="2600"/>
            <w:shd w:fill="FAFAF9" w:val="clear"/>
            <w:tcMar>
              <w:top w:type="dxa" w:w="90"/>
              <w:left w:type="dxa" w:w="140"/>
              <w:bottom w:type="dxa" w:w="90"/>
              <w:right w:type="dxa" w:w="140"/>
            </w:tcMar>
          </w:tcPr>
          <w:p>
            <w:pPr>
              <w:spacing w:after="0" w:line="264"/>
            </w:pPr>
            <w:r>
              <w:rPr>
                <w:b/>
                <w:bCs/>
                <w:color w:val="1C1917"/>
                <w:sz w:val="20"/>
                <w:szCs w:val="20"/>
              </w:rPr>
              <w:t xml:space="preserve">Mineral</w:t>
            </w:r>
          </w:p>
        </w:tc>
        <w:tc>
          <w:tcPr>
            <w:tcW w:type="dxa" w:w="6760"/>
            <w:shd w:fill="FAFAF9" w:val="clear"/>
            <w:tcMar>
              <w:top w:type="dxa" w:w="90"/>
              <w:left w:type="dxa" w:w="140"/>
              <w:bottom w:type="dxa" w:w="90"/>
              <w:right w:type="dxa" w:w="140"/>
            </w:tcMar>
          </w:tcPr>
          <w:p>
            <w:pPr>
              <w:spacing w:after="0" w:line="264"/>
            </w:pPr>
            <w:r>
              <w:rPr>
                <w:b w:val="false"/>
                <w:bCs w:val="false"/>
                <w:color w:val="1C1917"/>
                <w:sz w:val="20"/>
                <w:szCs w:val="20"/>
              </w:rPr>
              <w:t xml:space="preserve">Designated minerals first, then the other minerals production can record. Choosing the mineral also decides which production records you are allowed to link.</w:t>
            </w:r>
          </w:p>
        </w:tc>
      </w:tr>
      <w:tr>
        <w:trPr>
          <w:cantSplit/>
        </w:trPr>
        <w:tc>
          <w:tcPr>
            <w:tcW w:type="dxa" w:w="2600"/>
            <w:tcMar>
              <w:top w:type="dxa" w:w="90"/>
              <w:left w:type="dxa" w:w="140"/>
              <w:bottom w:type="dxa" w:w="90"/>
              <w:right w:type="dxa" w:w="140"/>
            </w:tcMar>
          </w:tcPr>
          <w:p>
            <w:pPr>
              <w:spacing w:after="0" w:line="264"/>
            </w:pPr>
            <w:r>
              <w:rPr>
                <w:b/>
                <w:bCs/>
                <w:color w:val="1C1917"/>
                <w:sz w:val="20"/>
                <w:szCs w:val="20"/>
              </w:rPr>
              <w:t xml:space="preserve">Certified mine site</w:t>
            </w:r>
          </w:p>
        </w:tc>
        <w:tc>
          <w:tcPr>
            <w:tcW w:type="dxa" w:w="6760"/>
            <w:tcMar>
              <w:top w:type="dxa" w:w="90"/>
              <w:left w:type="dxa" w:w="140"/>
              <w:bottom w:type="dxa" w:w="90"/>
              <w:right w:type="dxa" w:w="140"/>
            </w:tcMar>
          </w:tcPr>
          <w:p>
            <w:pPr>
              <w:spacing w:after="0" w:line="264"/>
            </w:pPr>
            <w:r>
              <w:rPr>
                <w:b w:val="false"/>
                <w:bCs w:val="false"/>
                <w:color w:val="1C1917"/>
                <w:sz w:val="20"/>
                <w:szCs w:val="20"/>
              </w:rPr>
              <w:t xml:space="preserve">Pick the site. Its name and colour status are copied into the lot automatically — do not retype them. If you have no certificates yet, add one under Mine Sites first.</w:t>
            </w:r>
          </w:p>
        </w:tc>
      </w:tr>
      <w:tr>
        <w:trPr>
          <w:cantSplit/>
        </w:trPr>
        <w:tc>
          <w:tcPr>
            <w:tcW w:type="dxa" w:w="2600"/>
            <w:shd w:fill="FAFAF9" w:val="clear"/>
            <w:tcMar>
              <w:top w:type="dxa" w:w="90"/>
              <w:left w:type="dxa" w:w="140"/>
              <w:bottom w:type="dxa" w:w="90"/>
              <w:right w:type="dxa" w:w="140"/>
            </w:tcMar>
          </w:tcPr>
          <w:p>
            <w:pPr>
              <w:spacing w:after="0" w:line="264"/>
            </w:pPr>
            <w:r>
              <w:rPr>
                <w:b/>
                <w:bCs/>
                <w:color w:val="1C1917"/>
                <w:sz w:val="20"/>
                <w:szCs w:val="20"/>
              </w:rPr>
              <w:t xml:space="preserve">Production records</w:t>
            </w:r>
          </w:p>
        </w:tc>
        <w:tc>
          <w:tcPr>
            <w:tcW w:type="dxa" w:w="6760"/>
            <w:shd w:fill="FAFAF9" w:val="clear"/>
            <w:tcMar>
              <w:top w:type="dxa" w:w="90"/>
              <w:left w:type="dxa" w:w="140"/>
              <w:bottom w:type="dxa" w:w="90"/>
              <w:right w:type="dxa" w:w="140"/>
            </w:tcMar>
          </w:tcPr>
          <w:p>
            <w:pPr>
              <w:spacing w:after="0" w:line="264"/>
            </w:pPr>
            <w:r>
              <w:rPr>
                <w:b w:val="false"/>
                <w:bCs w:val="false"/>
                <w:color w:val="1C1917"/>
                <w:sz w:val="20"/>
                <w:szCs w:val="20"/>
              </w:rPr>
              <w:t xml:space="preserve">Tick the records this lot was packaged from. Weight and a weighted average grade are worked out from them.</w:t>
            </w:r>
          </w:p>
        </w:tc>
      </w:tr>
      <w:tr>
        <w:trPr>
          <w:cantSplit/>
        </w:trPr>
        <w:tc>
          <w:tcPr>
            <w:tcW w:type="dxa" w:w="2600"/>
            <w:tcMar>
              <w:top w:type="dxa" w:w="90"/>
              <w:left w:type="dxa" w:w="140"/>
              <w:bottom w:type="dxa" w:w="90"/>
              <w:right w:type="dxa" w:w="140"/>
            </w:tcMar>
          </w:tcPr>
          <w:p>
            <w:pPr>
              <w:spacing w:after="0" w:line="264"/>
            </w:pPr>
            <w:r>
              <w:rPr>
                <w:b/>
                <w:bCs/>
                <w:color w:val="1C1917"/>
                <w:sz w:val="20"/>
                <w:szCs w:val="20"/>
              </w:rPr>
              <w:t xml:space="preserve">Weight, unit, grade, sacks</w:t>
            </w:r>
          </w:p>
        </w:tc>
        <w:tc>
          <w:tcPr>
            <w:tcW w:type="dxa" w:w="6760"/>
            <w:tcMar>
              <w:top w:type="dxa" w:w="90"/>
              <w:left w:type="dxa" w:w="140"/>
              <w:bottom w:type="dxa" w:w="90"/>
              <w:right w:type="dxa" w:w="140"/>
            </w:tcMar>
          </w:tcPr>
          <w:p>
            <w:pPr>
              <w:spacing w:after="0" w:line="264"/>
            </w:pPr>
            <w:r>
              <w:rPr>
                <w:b w:val="false"/>
                <w:bCs w:val="false"/>
                <w:color w:val="1C1917"/>
                <w:sz w:val="20"/>
                <w:szCs w:val="20"/>
              </w:rPr>
              <w:t xml:space="preserve">Type the weight only if you did not link production records. Number of sacks is asked for by the Regulations.</w:t>
            </w:r>
          </w:p>
        </w:tc>
      </w:tr>
      <w:tr>
        <w:trPr>
          <w:cantSplit/>
        </w:trPr>
        <w:tc>
          <w:tcPr>
            <w:tcW w:type="dxa" w:w="2600"/>
            <w:shd w:fill="FAFAF9" w:val="clear"/>
            <w:tcMar>
              <w:top w:type="dxa" w:w="90"/>
              <w:left w:type="dxa" w:w="140"/>
              <w:bottom w:type="dxa" w:w="90"/>
              <w:right w:type="dxa" w:w="140"/>
            </w:tcMar>
          </w:tcPr>
          <w:p>
            <w:pPr>
              <w:spacing w:after="0" w:line="264"/>
            </w:pPr>
            <w:r>
              <w:rPr>
                <w:b/>
                <w:bCs/>
                <w:color w:val="1C1917"/>
                <w:sz w:val="20"/>
                <w:szCs w:val="20"/>
              </w:rPr>
              <w:t xml:space="preserve">Seal number and CoC system</w:t>
            </w:r>
          </w:p>
        </w:tc>
        <w:tc>
          <w:tcPr>
            <w:tcW w:type="dxa" w:w="6760"/>
            <w:shd w:fill="FAFAF9" w:val="clear"/>
            <w:tcMar>
              <w:top w:type="dxa" w:w="90"/>
              <w:left w:type="dxa" w:w="140"/>
              <w:bottom w:type="dxa" w:w="90"/>
              <w:right w:type="dxa" w:w="140"/>
            </w:tcMar>
          </w:tcPr>
          <w:p>
            <w:pPr>
              <w:spacing w:after="0" w:line="264"/>
            </w:pPr>
            <w:r>
              <w:rPr>
                <w:b w:val="false"/>
                <w:bCs w:val="false"/>
                <w:color w:val="1C1917"/>
                <w:sz w:val="20"/>
                <w:szCs w:val="20"/>
              </w:rPr>
              <w:t xml:space="preserve">The physical seal applied when the lot was closed, and the scheme you are under, for example ICGLR RCM.</w:t>
            </w:r>
          </w:p>
        </w:tc>
      </w:tr>
      <w:tr>
        <w:trPr>
          <w:cantSplit/>
        </w:trPr>
        <w:tc>
          <w:tcPr>
            <w:tcW w:type="dxa" w:w="2600"/>
            <w:tcMar>
              <w:top w:type="dxa" w:w="90"/>
              <w:left w:type="dxa" w:w="140"/>
              <w:bottom w:type="dxa" w:w="90"/>
              <w:right w:type="dxa" w:w="140"/>
            </w:tcMar>
          </w:tcPr>
          <w:p>
            <w:pPr>
              <w:spacing w:after="0" w:line="264"/>
            </w:pPr>
            <w:r>
              <w:rPr>
                <w:b/>
                <w:bCs/>
                <w:color w:val="1C1917"/>
                <w:sz w:val="20"/>
                <w:szCs w:val="20"/>
              </w:rPr>
              <w:t xml:space="preserve">Operator, miner, licence</w:t>
            </w:r>
          </w:p>
        </w:tc>
        <w:tc>
          <w:tcPr>
            <w:tcW w:type="dxa" w:w="6760"/>
            <w:tcMar>
              <w:top w:type="dxa" w:w="90"/>
              <w:left w:type="dxa" w:w="140"/>
              <w:bottom w:type="dxa" w:w="90"/>
              <w:right w:type="dxa" w:w="140"/>
            </w:tcMar>
          </w:tcPr>
          <w:p>
            <w:pPr>
              <w:spacing w:after="0" w:line="264"/>
            </w:pPr>
            <w:r>
              <w:rPr>
                <w:b w:val="false"/>
                <w:bCs w:val="false"/>
                <w:color w:val="1C1917"/>
                <w:sz w:val="20"/>
                <w:szCs w:val="20"/>
              </w:rPr>
              <w:t xml:space="preserve">Name the company working the site, or the individual miner. If you name a miner, record their licence or tag number too.</w:t>
            </w:r>
          </w:p>
        </w:tc>
      </w:tr>
      <w:tr>
        <w:trPr>
          <w:cantSplit/>
        </w:trPr>
        <w:tc>
          <w:tcPr>
            <w:tcW w:type="dxa" w:w="2600"/>
            <w:shd w:fill="FAFAF9" w:val="clear"/>
            <w:tcMar>
              <w:top w:type="dxa" w:w="90"/>
              <w:left w:type="dxa" w:w="140"/>
              <w:bottom w:type="dxa" w:w="90"/>
              <w:right w:type="dxa" w:w="140"/>
            </w:tcMar>
          </w:tcPr>
          <w:p>
            <w:pPr>
              <w:spacing w:after="0" w:line="264"/>
            </w:pPr>
            <w:r>
              <w:rPr>
                <w:b/>
                <w:bCs/>
                <w:color w:val="1C1917"/>
                <w:sz w:val="20"/>
                <w:szCs w:val="20"/>
              </w:rPr>
              <w:t xml:space="preserve">Dates</w:t>
            </w:r>
          </w:p>
        </w:tc>
        <w:tc>
          <w:tcPr>
            <w:tcW w:type="dxa" w:w="6760"/>
            <w:shd w:fill="FAFAF9" w:val="clear"/>
            <w:tcMar>
              <w:top w:type="dxa" w:w="90"/>
              <w:left w:type="dxa" w:w="140"/>
              <w:bottom w:type="dxa" w:w="90"/>
              <w:right w:type="dxa" w:w="140"/>
            </w:tcMar>
          </w:tcPr>
          <w:p>
            <w:pPr>
              <w:spacing w:after="0" w:line="264"/>
            </w:pPr>
            <w:r>
              <w:rPr>
                <w:b w:val="false"/>
                <w:bCs w:val="false"/>
                <w:color w:val="1C1917"/>
                <w:sz w:val="20"/>
                <w:szCs w:val="20"/>
              </w:rPr>
              <w:t xml:space="preserve">When it was registered, sealed and shipped.</w:t>
            </w:r>
          </w:p>
        </w:tc>
      </w:tr>
      <w:tr>
        <w:trPr>
          <w:cantSplit/>
        </w:trPr>
        <w:tc>
          <w:tcPr>
            <w:tcW w:type="dxa" w:w="2600"/>
            <w:tcMar>
              <w:top w:type="dxa" w:w="90"/>
              <w:left w:type="dxa" w:w="140"/>
              <w:bottom w:type="dxa" w:w="90"/>
              <w:right w:type="dxa" w:w="140"/>
            </w:tcMar>
          </w:tcPr>
          <w:p>
            <w:pPr>
              <w:spacing w:after="0" w:line="264"/>
            </w:pPr>
            <w:r>
              <w:rPr>
                <w:b/>
                <w:bCs/>
                <w:color w:val="1C1917"/>
                <w:sz w:val="20"/>
                <w:szCs w:val="20"/>
              </w:rPr>
              <w:t xml:space="preserve">Transporter and route</w:t>
            </w:r>
          </w:p>
        </w:tc>
        <w:tc>
          <w:tcPr>
            <w:tcW w:type="dxa" w:w="6760"/>
            <w:tcMar>
              <w:top w:type="dxa" w:w="90"/>
              <w:left w:type="dxa" w:w="140"/>
              <w:bottom w:type="dxa" w:w="90"/>
              <w:right w:type="dxa" w:w="140"/>
            </w:tcMar>
          </w:tcPr>
          <w:p>
            <w:pPr>
              <w:spacing w:after="0" w:line="264"/>
            </w:pPr>
            <w:r>
              <w:rPr>
                <w:b w:val="false"/>
                <w:bCs w:val="false"/>
                <w:color w:val="1C1917"/>
                <w:sz w:val="20"/>
                <w:szCs w:val="20"/>
              </w:rPr>
              <w:t xml:space="preserve">Who moved it and by what road. Needed once the lot has left the site.</w:t>
            </w:r>
          </w:p>
        </w:tc>
      </w:tr>
      <w:tr>
        <w:trPr>
          <w:cantSplit/>
        </w:trPr>
        <w:tc>
          <w:tcPr>
            <w:tcW w:type="dxa" w:w="2600"/>
            <w:shd w:fill="FAFAF9" w:val="clear"/>
            <w:tcMar>
              <w:top w:type="dxa" w:w="90"/>
              <w:left w:type="dxa" w:w="140"/>
              <w:bottom w:type="dxa" w:w="90"/>
              <w:right w:type="dxa" w:w="140"/>
            </w:tcMar>
          </w:tcPr>
          <w:p>
            <w:pPr>
              <w:spacing w:after="0" w:line="264"/>
            </w:pPr>
            <w:r>
              <w:rPr>
                <w:b/>
                <w:bCs/>
                <w:color w:val="1C1917"/>
                <w:sz w:val="20"/>
                <w:szCs w:val="20"/>
              </w:rPr>
              <w:t xml:space="preserve">Royalties, taxes and fees</w:t>
            </w:r>
          </w:p>
        </w:tc>
        <w:tc>
          <w:tcPr>
            <w:tcW w:type="dxa" w:w="6760"/>
            <w:shd w:fill="FAFAF9" w:val="clear"/>
            <w:tcMar>
              <w:top w:type="dxa" w:w="90"/>
              <w:left w:type="dxa" w:w="140"/>
              <w:bottom w:type="dxa" w:w="90"/>
              <w:right w:type="dxa" w:w="140"/>
            </w:tcMar>
          </w:tcPr>
          <w:p>
            <w:pPr>
              <w:spacing w:after="0" w:line="264"/>
            </w:pPr>
            <w:r>
              <w:rPr>
                <w:b w:val="false"/>
                <w:bCs w:val="false"/>
                <w:color w:val="1C1917"/>
                <w:sz w:val="20"/>
                <w:szCs w:val="20"/>
              </w:rPr>
              <w:t xml:space="preserve">What was paid on this lot, and to whom.</w:t>
            </w:r>
          </w:p>
        </w:tc>
      </w:tr>
      <w:tr>
        <w:trPr>
          <w:cantSplit/>
        </w:trPr>
        <w:tc>
          <w:tcPr>
            <w:tcW w:type="dxa" w:w="2600"/>
            <w:tcMar>
              <w:top w:type="dxa" w:w="90"/>
              <w:left w:type="dxa" w:w="140"/>
              <w:bottom w:type="dxa" w:w="90"/>
              <w:right w:type="dxa" w:w="140"/>
            </w:tcMar>
          </w:tcPr>
          <w:p>
            <w:pPr>
              <w:spacing w:after="0" w:line="264"/>
            </w:pPr>
            <w:r>
              <w:rPr>
                <w:b/>
                <w:bCs/>
                <w:color w:val="1C1917"/>
                <w:sz w:val="20"/>
                <w:szCs w:val="20"/>
              </w:rPr>
              <w:t xml:space="preserve">Parent lot numbers</w:t>
            </w:r>
          </w:p>
        </w:tc>
        <w:tc>
          <w:tcPr>
            <w:tcW w:type="dxa" w:w="6760"/>
            <w:tcMar>
              <w:top w:type="dxa" w:w="90"/>
              <w:left w:type="dxa" w:w="140"/>
              <w:bottom w:type="dxa" w:w="90"/>
              <w:right w:type="dxa" w:w="140"/>
            </w:tcMar>
          </w:tcPr>
          <w:p>
            <w:pPr>
              <w:spacing w:after="0" w:line="264"/>
            </w:pPr>
            <w:r>
              <w:rPr>
                <w:b w:val="false"/>
                <w:bCs w:val="false"/>
                <w:color w:val="1C1917"/>
                <w:sz w:val="20"/>
                <w:szCs w:val="20"/>
              </w:rPr>
              <w:t xml:space="preserve">Only for a blended lot — the lots it was made from.</w:t>
            </w:r>
          </w:p>
        </w:tc>
      </w:tr>
      <w:tr>
        <w:trPr>
          <w:cantSplit/>
        </w:trPr>
        <w:tc>
          <w:tcPr>
            <w:tcW w:type="dxa" w:w="2600"/>
            <w:shd w:fill="FAFAF9" w:val="clear"/>
            <w:tcMar>
              <w:top w:type="dxa" w:w="90"/>
              <w:left w:type="dxa" w:w="140"/>
              <w:bottom w:type="dxa" w:w="90"/>
              <w:right w:type="dxa" w:w="140"/>
            </w:tcMar>
          </w:tcPr>
          <w:p>
            <w:pPr>
              <w:spacing w:after="0" w:line="264"/>
            </w:pPr>
            <w:r>
              <w:rPr>
                <w:b/>
                <w:bCs/>
                <w:color w:val="1C1917"/>
                <w:sz w:val="20"/>
                <w:szCs w:val="20"/>
              </w:rPr>
              <w:t xml:space="preserve">Verified by / documentation reference</w:t>
            </w:r>
          </w:p>
        </w:tc>
        <w:tc>
          <w:tcPr>
            <w:tcW w:type="dxa" w:w="6760"/>
            <w:shd w:fill="FAFAF9" w:val="clear"/>
            <w:tcMar>
              <w:top w:type="dxa" w:w="90"/>
              <w:left w:type="dxa" w:w="140"/>
              <w:bottom w:type="dxa" w:w="90"/>
              <w:right w:type="dxa" w:w="140"/>
            </w:tcMar>
          </w:tcPr>
          <w:p>
            <w:pPr>
              <w:spacing w:after="0" w:line="264"/>
            </w:pPr>
            <w:r>
              <w:rPr>
                <w:b w:val="false"/>
                <w:bCs w:val="false"/>
                <w:color w:val="1C1917"/>
                <w:sz w:val="20"/>
                <w:szCs w:val="20"/>
              </w:rPr>
              <w:t xml:space="preserve">Who checked the paperwork, and where the file is kept.</w:t>
            </w:r>
          </w:p>
        </w:tc>
      </w:tr>
    </w:tbl>
    <w:p>
      <w:pPr>
        <w:spacing w:after="140"/>
      </w:pPr>
    </w:p>
    <w:tbl>
      <w:tblPr>
        <w:tblW w:type="dxa" w:w="9360"/>
        <w:tblBorders>
          <w:top w:val="single" w:color="D6D3D1" w:sz="2"/>
          <w:left w:val="single" w:color="1F6F54" w:sz="18"/>
          <w:bottom w:val="single" w:color="D6D3D1" w:sz="2"/>
          <w:right w:val="single" w:color="D6D3D1" w:sz="2"/>
          <w:insideH w:val="none" w:color="FFFFFF" w:sz="0"/>
          <w:insideV w:val="none" w:color="FFFFFF" w:sz="0"/>
        </w:tblBorders>
      </w:tblPr>
      <w:tblGrid>
        <w:gridCol w:w="9360"/>
      </w:tblGrid>
      <w:tr>
        <w:trPr>
          <w:cantSplit/>
        </w:trPr>
        <w:tc>
          <w:tcPr>
            <w:tcW w:type="dxa" w:w="9360"/>
            <w:shd w:fill="F5F5F4" w:val="clear"/>
            <w:tcMar>
              <w:top w:type="dxa" w:w="140"/>
              <w:left w:type="dxa" w:w="200"/>
              <w:bottom w:type="dxa" w:w="140"/>
              <w:right w:type="dxa" w:w="200"/>
            </w:tcMar>
          </w:tcPr>
          <w:p>
            <w:pPr>
              <w:spacing w:after="60"/>
            </w:pPr>
            <w:r>
              <w:rPr>
                <w:b/>
                <w:bCs/>
                <w:color w:val="1C1917"/>
                <w:sz w:val="21"/>
                <w:szCs w:val="21"/>
              </w:rPr>
              <w:t xml:space="preserve">The one rule the form enforces</w:t>
            </w:r>
          </w:p>
          <w:p>
            <w:pPr>
              <w:spacing w:after="0" w:line="276"/>
            </w:pPr>
            <w:r>
              <w:rPr>
                <w:color w:val="57534E"/>
                <w:sz w:val="21"/>
                <w:szCs w:val="21"/>
              </w:rPr>
              <w:t xml:space="preserve">You must either type a weight or tick at least one production record. Everything else can be filled in later — the Status board will keep reminding you what is outstanding.</w:t>
            </w:r>
          </w:p>
        </w:tc>
      </w:tr>
    </w:tbl>
    <w:p>
      <w:pPr>
        <w:spacing w:after="180"/>
      </w:pPr>
    </w:p>
    <w:p>
      <w:pPr>
        <w:pStyle w:val="Heading2"/>
        <w:spacing w:after="120" w:before="280"/>
      </w:pPr>
      <w:r>
        <w:rPr>
          <w:b/>
          <w:bCs/>
          <w:color w:val="1C1917"/>
          <w:sz w:val="26"/>
          <w:szCs w:val="26"/>
        </w:rPr>
        <w:t xml:space="preserve">3.3 Mine Sites — the colour that governs everything</w:t>
      </w:r>
    </w:p>
    <w:p>
      <w:pPr>
        <w:spacing w:after="120" w:line="276"/>
      </w:pPr>
      <w:r>
        <w:rPr>
          <w:color w:val="1C1917"/>
          <w:sz w:val="21"/>
          <w:szCs w:val="21"/>
        </w:rPr>
        <w:t xml:space="preserve">A lot inherits its status from the site it came from, so this is the most consequential record in the section. Record each inspection: the site name, its RMD identification, the inspection date, the inspector, the report reference, findings and any corrective actions.</w:t>
      </w:r>
    </w:p>
    <w:p>
      <w:pPr>
        <w:spacing w:after="100"/>
      </w:pPr>
    </w:p>
    <w:tbl>
      <w:tblPr>
        <w:tblW w:type="dxa" w:w="9360"/>
        <w:tblBorders>
          <w:top w:val="single" w:color="D6D3D1" w:sz="4"/>
          <w:left w:val="single" w:color="D6D3D1" w:sz="4"/>
          <w:bottom w:val="single" w:color="D6D3D1" w:sz="4"/>
          <w:right w:val="single" w:color="D6D3D1" w:sz="4"/>
          <w:insideH w:val="single" w:color="D6D3D1" w:sz="2"/>
          <w:insideV w:val="single" w:color="D6D3D1" w:sz="2"/>
        </w:tblBorders>
      </w:tblPr>
      <w:tblGrid>
        <w:gridCol w:w="1500"/>
        <w:gridCol w:w="3400"/>
        <w:gridCol w:w="4460"/>
      </w:tblGrid>
      <w:tr>
        <w:trPr>
          <w:cantSplit/>
          <w:tblHeader/>
        </w:trPr>
        <w:tc>
          <w:tcPr>
            <w:tcW w:type="dxa" w:w="1500"/>
            <w:shd w:fill="ECFDF5" w:val="clear"/>
            <w:tcMar>
              <w:top w:type="dxa" w:w="90"/>
              <w:left w:type="dxa" w:w="140"/>
              <w:bottom w:type="dxa" w:w="90"/>
              <w:right w:type="dxa" w:w="140"/>
            </w:tcMar>
          </w:tcPr>
          <w:p>
            <w:pPr>
              <w:spacing w:after="0" w:line="264"/>
            </w:pPr>
            <w:r>
              <w:rPr>
                <w:b/>
                <w:bCs/>
                <w:color w:val="1C1917"/>
                <w:sz w:val="20"/>
                <w:szCs w:val="20"/>
              </w:rPr>
              <w:t xml:space="preserve">Status</w:t>
            </w:r>
          </w:p>
        </w:tc>
        <w:tc>
          <w:tcPr>
            <w:tcW w:type="dxa" w:w="3400"/>
            <w:shd w:fill="ECFDF5" w:val="clear"/>
            <w:tcMar>
              <w:top w:type="dxa" w:w="90"/>
              <w:left w:type="dxa" w:w="140"/>
              <w:bottom w:type="dxa" w:w="90"/>
              <w:right w:type="dxa" w:w="140"/>
            </w:tcMar>
          </w:tcPr>
          <w:p>
            <w:pPr>
              <w:spacing w:after="0" w:line="264"/>
            </w:pPr>
            <w:r>
              <w:rPr>
                <w:b/>
                <w:bCs/>
                <w:color w:val="1C1917"/>
                <w:sz w:val="20"/>
                <w:szCs w:val="20"/>
              </w:rPr>
              <w:t xml:space="preserve">What it means</w:t>
            </w:r>
          </w:p>
        </w:tc>
        <w:tc>
          <w:tcPr>
            <w:tcW w:type="dxa" w:w="4460"/>
            <w:shd w:fill="ECFDF5" w:val="clear"/>
            <w:tcMar>
              <w:top w:type="dxa" w:w="90"/>
              <w:left w:type="dxa" w:w="140"/>
              <w:bottom w:type="dxa" w:w="90"/>
              <w:right w:type="dxa" w:w="140"/>
            </w:tcMar>
          </w:tcPr>
          <w:p>
            <w:pPr>
              <w:spacing w:after="0" w:line="264"/>
            </w:pPr>
            <w:r>
              <w:rPr>
                <w:b/>
                <w:bCs/>
                <w:color w:val="1C1917"/>
                <w:sz w:val="20"/>
                <w:szCs w:val="20"/>
              </w:rPr>
              <w:t xml:space="preserve">Effect on your lots</w:t>
            </w:r>
          </w:p>
        </w:tc>
      </w:tr>
      <w:tr>
        <w:trPr>
          <w:cantSplit/>
        </w:trPr>
        <w:tc>
          <w:tcPr>
            <w:tcW w:type="dxa" w:w="1500"/>
            <w:tcMar>
              <w:top w:type="dxa" w:w="90"/>
              <w:left w:type="dxa" w:w="140"/>
              <w:bottom w:type="dxa" w:w="90"/>
              <w:right w:type="dxa" w:w="140"/>
            </w:tcMar>
          </w:tcPr>
          <w:p>
            <w:pPr>
              <w:spacing w:after="0" w:line="264"/>
            </w:pPr>
            <w:r>
              <w:rPr>
                <w:b/>
                <w:bCs/>
                <w:color w:val="1C1917"/>
                <w:sz w:val="20"/>
                <w:szCs w:val="20"/>
              </w:rPr>
              <w:t xml:space="preserve">Green</w:t>
            </w:r>
          </w:p>
        </w:tc>
        <w:tc>
          <w:tcPr>
            <w:tcW w:type="dxa" w:w="3400"/>
            <w:tcMar>
              <w:top w:type="dxa" w:w="90"/>
              <w:left w:type="dxa" w:w="140"/>
              <w:bottom w:type="dxa" w:w="90"/>
              <w:right w:type="dxa" w:w="140"/>
            </w:tcMar>
          </w:tcPr>
          <w:p>
            <w:pPr>
              <w:spacing w:after="0" w:line="264"/>
            </w:pPr>
            <w:r>
              <w:rPr>
                <w:b w:val="false"/>
                <w:bCs w:val="false"/>
                <w:color w:val="1C1917"/>
                <w:sz w:val="20"/>
                <w:szCs w:val="20"/>
              </w:rPr>
              <w:t xml:space="preserve">Certified, cleared to trade</w:t>
            </w:r>
          </w:p>
        </w:tc>
        <w:tc>
          <w:tcPr>
            <w:tcW w:type="dxa" w:w="4460"/>
            <w:tcMar>
              <w:top w:type="dxa" w:w="90"/>
              <w:left w:type="dxa" w:w="140"/>
              <w:bottom w:type="dxa" w:w="90"/>
              <w:right w:type="dxa" w:w="140"/>
            </w:tcMar>
          </w:tcPr>
          <w:p>
            <w:pPr>
              <w:spacing w:after="0" w:line="264"/>
            </w:pPr>
            <w:r>
              <w:rPr>
                <w:b w:val="false"/>
                <w:bCs w:val="false"/>
                <w:color w:val="1C1917"/>
                <w:sz w:val="20"/>
                <w:szCs w:val="20"/>
              </w:rPr>
              <w:t xml:space="preserve">Nothing in the way.</w:t>
            </w:r>
          </w:p>
        </w:tc>
      </w:tr>
      <w:tr>
        <w:trPr>
          <w:cantSplit/>
        </w:trPr>
        <w:tc>
          <w:tcPr>
            <w:tcW w:type="dxa" w:w="1500"/>
            <w:shd w:fill="FAFAF9" w:val="clear"/>
            <w:tcMar>
              <w:top w:type="dxa" w:w="90"/>
              <w:left w:type="dxa" w:w="140"/>
              <w:bottom w:type="dxa" w:w="90"/>
              <w:right w:type="dxa" w:w="140"/>
            </w:tcMar>
          </w:tcPr>
          <w:p>
            <w:pPr>
              <w:spacing w:after="0" w:line="264"/>
            </w:pPr>
            <w:r>
              <w:rPr>
                <w:b/>
                <w:bCs/>
                <w:color w:val="1C1917"/>
                <w:sz w:val="20"/>
                <w:szCs w:val="20"/>
              </w:rPr>
              <w:t xml:space="preserve">Yellow</w:t>
            </w:r>
          </w:p>
        </w:tc>
        <w:tc>
          <w:tcPr>
            <w:tcW w:type="dxa" w:w="3400"/>
            <w:shd w:fill="FAFAF9" w:val="clear"/>
            <w:tcMar>
              <w:top w:type="dxa" w:w="90"/>
              <w:left w:type="dxa" w:w="140"/>
              <w:bottom w:type="dxa" w:w="90"/>
              <w:right w:type="dxa" w:w="140"/>
            </w:tcMar>
          </w:tcPr>
          <w:p>
            <w:pPr>
              <w:spacing w:after="0" w:line="264"/>
            </w:pPr>
            <w:r>
              <w:rPr>
                <w:b w:val="false"/>
                <w:bCs w:val="false"/>
                <w:color w:val="1C1917"/>
                <w:sz w:val="20"/>
                <w:szCs w:val="20"/>
              </w:rPr>
              <w:t xml:space="preserve">Provisionally certified</w:t>
            </w:r>
          </w:p>
        </w:tc>
        <w:tc>
          <w:tcPr>
            <w:tcW w:type="dxa" w:w="4460"/>
            <w:shd w:fill="FAFAF9" w:val="clear"/>
            <w:tcMar>
              <w:top w:type="dxa" w:w="90"/>
              <w:left w:type="dxa" w:w="140"/>
              <w:bottom w:type="dxa" w:w="90"/>
              <w:right w:type="dxa" w:w="140"/>
            </w:tcMar>
          </w:tcPr>
          <w:p>
            <w:pPr>
              <w:spacing w:after="0" w:line="264"/>
            </w:pPr>
            <w:r>
              <w:rPr>
                <w:b w:val="false"/>
                <w:bCs w:val="false"/>
                <w:color w:val="1C1917"/>
                <w:sz w:val="20"/>
                <w:szCs w:val="20"/>
              </w:rPr>
              <w:t xml:space="preserve">Can trade. Watch the grace period and follow-up dates.</w:t>
            </w:r>
          </w:p>
        </w:tc>
      </w:tr>
      <w:tr>
        <w:trPr>
          <w:cantSplit/>
        </w:trPr>
        <w:tc>
          <w:tcPr>
            <w:tcW w:type="dxa" w:w="1500"/>
            <w:tcMar>
              <w:top w:type="dxa" w:w="90"/>
              <w:left w:type="dxa" w:w="140"/>
              <w:bottom w:type="dxa" w:w="90"/>
              <w:right w:type="dxa" w:w="140"/>
            </w:tcMar>
          </w:tcPr>
          <w:p>
            <w:pPr>
              <w:spacing w:after="0" w:line="264"/>
            </w:pPr>
            <w:r>
              <w:rPr>
                <w:b/>
                <w:bCs/>
                <w:color w:val="1C1917"/>
                <w:sz w:val="20"/>
                <w:szCs w:val="20"/>
              </w:rPr>
              <w:t xml:space="preserve">Blue</w:t>
            </w:r>
          </w:p>
        </w:tc>
        <w:tc>
          <w:tcPr>
            <w:tcW w:type="dxa" w:w="3400"/>
            <w:tcMar>
              <w:top w:type="dxa" w:w="90"/>
              <w:left w:type="dxa" w:w="140"/>
              <w:bottom w:type="dxa" w:w="90"/>
              <w:right w:type="dxa" w:w="140"/>
            </w:tcMar>
          </w:tcPr>
          <w:p>
            <w:pPr>
              <w:spacing w:after="0" w:line="264"/>
            </w:pPr>
            <w:r>
              <w:rPr>
                <w:b w:val="false"/>
                <w:bCs w:val="false"/>
                <w:color w:val="1C1917"/>
                <w:sz w:val="20"/>
                <w:szCs w:val="20"/>
              </w:rPr>
              <w:t xml:space="preserve">Not yet inspected</w:t>
            </w:r>
          </w:p>
        </w:tc>
        <w:tc>
          <w:tcPr>
            <w:tcW w:type="dxa" w:w="4460"/>
            <w:tcMar>
              <w:top w:type="dxa" w:w="90"/>
              <w:left w:type="dxa" w:w="140"/>
              <w:bottom w:type="dxa" w:w="90"/>
              <w:right w:type="dxa" w:w="140"/>
            </w:tcMar>
          </w:tcPr>
          <w:p>
            <w:pPr>
              <w:spacing w:after="0" w:line="264"/>
            </w:pPr>
            <w:r>
              <w:rPr>
                <w:b w:val="false"/>
                <w:bCs w:val="false"/>
                <w:color w:val="1C1917"/>
                <w:sz w:val="20"/>
                <w:szCs w:val="20"/>
              </w:rPr>
              <w:t xml:space="preserve">Counts as missing. Record an inspection to move it off blue.</w:t>
            </w:r>
          </w:p>
        </w:tc>
      </w:tr>
      <w:tr>
        <w:trPr>
          <w:cantSplit/>
        </w:trPr>
        <w:tc>
          <w:tcPr>
            <w:tcW w:type="dxa" w:w="1500"/>
            <w:shd w:fill="FAFAF9" w:val="clear"/>
            <w:tcMar>
              <w:top w:type="dxa" w:w="90"/>
              <w:left w:type="dxa" w:w="140"/>
              <w:bottom w:type="dxa" w:w="90"/>
              <w:right w:type="dxa" w:w="140"/>
            </w:tcMar>
          </w:tcPr>
          <w:p>
            <w:pPr>
              <w:spacing w:after="0" w:line="264"/>
            </w:pPr>
            <w:r>
              <w:rPr>
                <w:b/>
                <w:bCs/>
                <w:color w:val="1C1917"/>
                <w:sz w:val="20"/>
                <w:szCs w:val="20"/>
              </w:rPr>
              <w:t xml:space="preserve">Red</w:t>
            </w:r>
          </w:p>
        </w:tc>
        <w:tc>
          <w:tcPr>
            <w:tcW w:type="dxa" w:w="3400"/>
            <w:shd w:fill="FAFAF9" w:val="clear"/>
            <w:tcMar>
              <w:top w:type="dxa" w:w="90"/>
              <w:left w:type="dxa" w:w="140"/>
              <w:bottom w:type="dxa" w:w="90"/>
              <w:right w:type="dxa" w:w="140"/>
            </w:tcMar>
          </w:tcPr>
          <w:p>
            <w:pPr>
              <w:spacing w:after="0" w:line="264"/>
            </w:pPr>
            <w:r>
              <w:rPr>
                <w:b w:val="false"/>
                <w:bCs w:val="false"/>
                <w:color w:val="1C1917"/>
                <w:sz w:val="20"/>
                <w:szCs w:val="20"/>
              </w:rPr>
              <w:t xml:space="preserve">Suspended, trade blocked</w:t>
            </w:r>
          </w:p>
        </w:tc>
        <w:tc>
          <w:tcPr>
            <w:tcW w:type="dxa" w:w="4460"/>
            <w:shd w:fill="FAFAF9" w:val="clear"/>
            <w:tcMar>
              <w:top w:type="dxa" w:w="90"/>
              <w:left w:type="dxa" w:w="140"/>
              <w:bottom w:type="dxa" w:w="90"/>
              <w:right w:type="dxa" w:w="140"/>
            </w:tcMar>
          </w:tcPr>
          <w:p>
            <w:pPr>
              <w:spacing w:after="0" w:line="264"/>
            </w:pPr>
            <w:r>
              <w:rPr>
                <w:b w:val="false"/>
                <w:bCs w:val="false"/>
                <w:color w:val="1C1917"/>
                <w:sz w:val="20"/>
                <w:szCs w:val="20"/>
              </w:rPr>
              <w:t xml:space="preserve">The lot cannot be traded or exported at all. The site is also hidden from the Register lot form.</w:t>
            </w:r>
          </w:p>
        </w:tc>
      </w:tr>
    </w:tbl>
    <w:p>
      <w:pPr>
        <w:spacing w:after="180"/>
      </w:pPr>
    </w:p>
    <w:p>
      <w:pPr>
        <w:pStyle w:val="Heading2"/>
        <w:spacing w:after="120" w:before="280"/>
      </w:pPr>
      <w:r>
        <w:rPr>
          <w:b/>
          <w:bCs/>
          <w:color w:val="1C1917"/>
          <w:sz w:val="26"/>
          <w:szCs w:val="26"/>
        </w:rPr>
        <w:t xml:space="preserve">3.4 Exports</w:t>
      </w:r>
    </w:p>
    <w:p>
      <w:pPr>
        <w:spacing w:after="120" w:line="276"/>
      </w:pPr>
      <w:r>
        <w:rPr>
          <w:color w:val="1C1917"/>
          <w:sz w:val="21"/>
          <w:szCs w:val="21"/>
        </w:rPr>
        <w:t xml:space="preserve">An export application pulls its figures from the lots you attach, so you are not adding up weights by hand.</w:t>
      </w:r>
    </w:p>
    <w:p>
      <w:pPr>
        <w:spacing w:after="80"/>
      </w:pPr>
    </w:p>
    <w:p>
      <w:pPr>
        <w:pStyle w:val="ListParagraph"/>
        <w:numPr>
          <w:ilvl w:val="0"/>
          <w:numId w:val="4"/>
        </w:numPr>
        <w:spacing w:after="80" w:line="276"/>
      </w:pPr>
      <w:r>
        <w:rPr>
          <w:color w:val="1C1917"/>
          <w:sz w:val="21"/>
          <w:szCs w:val="21"/>
        </w:rPr>
        <w:t xml:space="preserve">Record the exporter name, licence number and your own exporter lot number.</w:t>
      </w:r>
    </w:p>
    <w:p>
      <w:pPr>
        <w:pStyle w:val="ListParagraph"/>
        <w:numPr>
          <w:ilvl w:val="0"/>
          <w:numId w:val="4"/>
        </w:numPr>
        <w:spacing w:after="80" w:line="276"/>
      </w:pPr>
      <w:r>
        <w:rPr>
          <w:color w:val="1C1917"/>
          <w:sz w:val="21"/>
          <w:szCs w:val="21"/>
        </w:rPr>
        <w:t xml:space="preserve">Enter the customer, their address, and the destination country. Common destinations are suggested, but you can type any country.</w:t>
      </w:r>
    </w:p>
    <w:p>
      <w:pPr>
        <w:pStyle w:val="ListParagraph"/>
        <w:numPr>
          <w:ilvl w:val="0"/>
          <w:numId w:val="4"/>
        </w:numPr>
        <w:spacing w:after="80" w:line="276"/>
      </w:pPr>
      <w:r>
        <w:rPr>
          <w:color w:val="1C1917"/>
          <w:sz w:val="21"/>
          <w:szCs w:val="21"/>
        </w:rPr>
        <w:t xml:space="preserve">Attach the CoC lots going into the shipment. Lot numbers, weights and grades are aggregated for you.</w:t>
      </w:r>
    </w:p>
    <w:p>
      <w:pPr>
        <w:pStyle w:val="ListParagraph"/>
        <w:numPr>
          <w:ilvl w:val="0"/>
          <w:numId w:val="4"/>
        </w:numPr>
        <w:spacing w:after="80" w:line="276"/>
      </w:pPr>
      <w:r>
        <w:rPr>
          <w:color w:val="1C1917"/>
          <w:sz w:val="21"/>
          <w:szCs w:val="21"/>
        </w:rPr>
        <w:t xml:space="preserve">Set the application status: draft, submitted to the Directorate, approved, or rejected.</w:t>
      </w:r>
    </w:p>
    <w:p>
      <w:pPr>
        <w:pStyle w:val="ListParagraph"/>
        <w:numPr>
          <w:ilvl w:val="0"/>
          <w:numId w:val="4"/>
        </w:numPr>
        <w:spacing w:after="80" w:line="276"/>
      </w:pPr>
      <w:r>
        <w:rPr>
          <w:color w:val="1C1917"/>
          <w:sz w:val="21"/>
          <w:szCs w:val="21"/>
        </w:rPr>
        <w:t xml:space="preserve">Once the certificate is issued, record the ICGLR certificate number and its issue and expiry dates.</w:t>
      </w:r>
    </w:p>
    <w:p>
      <w:pPr>
        <w:spacing w:after="140"/>
      </w:pPr>
    </w:p>
    <w:tbl>
      <w:tblPr>
        <w:tblW w:type="dxa" w:w="9360"/>
        <w:tblBorders>
          <w:top w:val="single" w:color="D6D3D1" w:sz="2"/>
          <w:left w:val="single" w:color="1F6F54" w:sz="18"/>
          <w:bottom w:val="single" w:color="D6D3D1" w:sz="2"/>
          <w:right w:val="single" w:color="D6D3D1" w:sz="2"/>
          <w:insideH w:val="none" w:color="FFFFFF" w:sz="0"/>
          <w:insideV w:val="none" w:color="FFFFFF" w:sz="0"/>
        </w:tblBorders>
      </w:tblPr>
      <w:tblGrid>
        <w:gridCol w:w="9360"/>
      </w:tblGrid>
      <w:tr>
        <w:trPr>
          <w:cantSplit/>
        </w:trPr>
        <w:tc>
          <w:tcPr>
            <w:tcW w:type="dxa" w:w="9360"/>
            <w:shd w:fill="F5F5F4" w:val="clear"/>
            <w:tcMar>
              <w:top w:type="dxa" w:w="140"/>
              <w:left w:type="dxa" w:w="200"/>
              <w:bottom w:type="dxa" w:w="140"/>
              <w:right w:type="dxa" w:w="200"/>
            </w:tcMar>
          </w:tcPr>
          <w:p>
            <w:pPr>
              <w:spacing w:after="60"/>
            </w:pPr>
            <w:r>
              <w:rPr>
                <w:b/>
                <w:bCs/>
                <w:color w:val="1C1917"/>
                <w:sz w:val="21"/>
                <w:szCs w:val="21"/>
              </w:rPr>
              <w:t xml:space="preserve">Two things will stop a shipment</w:t>
            </w:r>
          </w:p>
          <w:p>
            <w:pPr>
              <w:spacing w:after="0" w:line="276"/>
            </w:pPr>
            <w:r>
              <w:rPr>
                <w:color w:val="57534E"/>
                <w:sz w:val="21"/>
                <w:szCs w:val="21"/>
              </w:rPr>
              <w:t xml:space="preserve">A shipment containing a lot from a red-flagged mine site is rejected — the application will not save. And if the shipment weight differs from the attached lots by more than 2%, a mass-balance warning appears on the list. Explain the difference or correct the weights before submitting.</w:t>
            </w:r>
          </w:p>
        </w:tc>
      </w:tr>
    </w:tbl>
    <w:p>
      <w:pPr>
        <w:spacing w:after="180"/>
      </w:pPr>
    </w:p>
    <w:p>
      <w:pPr>
        <w:pStyle w:val="Heading2"/>
        <w:spacing w:after="120" w:before="280"/>
      </w:pPr>
      <w:r>
        <w:rPr>
          <w:b/>
          <w:bCs/>
          <w:color w:val="1C1917"/>
          <w:sz w:val="26"/>
          <w:szCs w:val="26"/>
        </w:rPr>
        <w:t xml:space="preserve">3.5 Due Diligence</w:t>
      </w:r>
    </w:p>
    <w:p>
      <w:pPr>
        <w:spacing w:after="120" w:line="276"/>
      </w:pPr>
      <w:r>
        <w:rPr>
          <w:color w:val="1C1917"/>
          <w:sz w:val="21"/>
          <w:szCs w:val="21"/>
        </w:rPr>
        <w:t xml:space="preserve">Your periodic report on how you manage risk in the chain. Choose the frequency — annual, quarterly or monthly — set the reporting period, and name the person responsible. The form asks for your mineral chain policy, management system, risk assessment and mitigation plan, grievance mechanism, supplier capacity, government payments and beneficial ownership.</w:t>
      </w:r>
    </w:p>
    <w:p>
      <w:pPr>
        <w:spacing w:after="120" w:line="276"/>
      </w:pPr>
      <w:r>
        <w:rPr>
          <w:color w:val="1C1917"/>
          <w:sz w:val="21"/>
          <w:szCs w:val="21"/>
        </w:rPr>
        <w:t xml:space="preserve">Tick </w:t>
      </w:r>
      <w:r>
        <w:rPr>
          <w:b/>
          <w:bCs/>
          <w:color w:val="1C1917"/>
          <w:sz w:val="21"/>
          <w:szCs w:val="21"/>
        </w:rPr>
        <w:t xml:space="preserve">submitted to the Directorate</w:t>
      </w:r>
      <w:r>
        <w:rPr>
          <w:color w:val="1C1917"/>
          <w:sz w:val="21"/>
          <w:szCs w:val="21"/>
        </w:rPr>
        <w:t xml:space="preserve"> once it has actually gone in, and record where the file is kept. Until then the board treats it as outstanding for every lot.</w:t>
      </w:r>
    </w:p>
    <w:p>
      <w:pPr>
        <w:pStyle w:val="Heading2"/>
        <w:spacing w:after="120" w:before="280"/>
      </w:pPr>
      <w:r>
        <w:rPr>
          <w:b/>
          <w:bCs/>
          <w:color w:val="1C1917"/>
          <w:sz w:val="26"/>
          <w:szCs w:val="26"/>
        </w:rPr>
        <w:t xml:space="preserve">3.6 Audits</w:t>
      </w:r>
    </w:p>
    <w:p>
      <w:pPr>
        <w:spacing w:after="120" w:line="276"/>
      </w:pPr>
      <w:r>
        <w:rPr>
          <w:color w:val="1C1917"/>
          <w:sz w:val="21"/>
          <w:szCs w:val="21"/>
        </w:rPr>
        <w:t xml:space="preserve">Third-party audits of the exporter. Record the auditor, when the audit was requested, started and completed, the resulting status and when it expires, plus findings and corrective actions. An audit that has lapsed or has open findings holds up every lot, so close it out before you export.</w:t>
      </w:r>
    </w:p>
    <w:p>
      <w:pPr>
        <w:pStyle w:val="Heading2"/>
        <w:spacing w:after="120" w:before="280"/>
      </w:pPr>
      <w:r>
        <w:rPr>
          <w:b/>
          <w:bCs/>
          <w:color w:val="1C1917"/>
          <w:sz w:val="26"/>
          <w:szCs w:val="26"/>
        </w:rPr>
        <w:t xml:space="preserve">3.7 Documents</w:t>
      </w:r>
    </w:p>
    <w:p>
      <w:pPr>
        <w:spacing w:after="120" w:line="276"/>
      </w:pPr>
      <w:r>
        <w:rPr>
          <w:color w:val="1C1917"/>
          <w:sz w:val="21"/>
          <w:szCs w:val="21"/>
        </w:rPr>
        <w:t xml:space="preserve">The register that tells anyone asking where a piece of paper lives. Give each document a title and reference, choose its type, and — this is the important part — link it to the record it belongs to.</w:t>
      </w:r>
    </w:p>
    <w:p>
      <w:pPr>
        <w:spacing w:after="100"/>
      </w:pPr>
    </w:p>
    <w:tbl>
      <w:tblPr>
        <w:tblW w:type="dxa" w:w="9360"/>
        <w:tblBorders>
          <w:top w:val="single" w:color="D6D3D1" w:sz="4"/>
          <w:left w:val="single" w:color="D6D3D1" w:sz="4"/>
          <w:bottom w:val="single" w:color="D6D3D1" w:sz="4"/>
          <w:right w:val="single" w:color="D6D3D1" w:sz="4"/>
          <w:insideH w:val="single" w:color="D6D3D1" w:sz="2"/>
          <w:insideV w:val="single" w:color="D6D3D1" w:sz="2"/>
        </w:tblBorders>
      </w:tblPr>
      <w:tblGrid>
        <w:gridCol w:w="2200"/>
        <w:gridCol w:w="7160"/>
      </w:tblGrid>
      <w:tr>
        <w:trPr>
          <w:cantSplit/>
          <w:tblHeader/>
        </w:trPr>
        <w:tc>
          <w:tcPr>
            <w:tcW w:type="dxa" w:w="2200"/>
            <w:shd w:fill="ECFDF5" w:val="clear"/>
            <w:tcMar>
              <w:top w:type="dxa" w:w="90"/>
              <w:left w:type="dxa" w:w="140"/>
              <w:bottom w:type="dxa" w:w="90"/>
              <w:right w:type="dxa" w:w="140"/>
            </w:tcMar>
          </w:tcPr>
          <w:p>
            <w:pPr>
              <w:spacing w:after="0" w:line="264"/>
            </w:pPr>
            <w:r>
              <w:rPr>
                <w:b/>
                <w:bCs/>
                <w:color w:val="1C1917"/>
                <w:sz w:val="20"/>
                <w:szCs w:val="20"/>
              </w:rPr>
              <w:t xml:space="preserve">Field</w:t>
            </w:r>
          </w:p>
        </w:tc>
        <w:tc>
          <w:tcPr>
            <w:tcW w:type="dxa" w:w="7160"/>
            <w:shd w:fill="ECFDF5" w:val="clear"/>
            <w:tcMar>
              <w:top w:type="dxa" w:w="90"/>
              <w:left w:type="dxa" w:w="140"/>
              <w:bottom w:type="dxa" w:w="90"/>
              <w:right w:type="dxa" w:w="140"/>
            </w:tcMar>
          </w:tcPr>
          <w:p>
            <w:pPr>
              <w:spacing w:after="0" w:line="264"/>
            </w:pPr>
            <w:r>
              <w:rPr>
                <w:b/>
                <w:bCs/>
                <w:color w:val="1C1917"/>
                <w:sz w:val="20"/>
                <w:szCs w:val="20"/>
              </w:rPr>
              <w:t xml:space="preserve">Notes</w:t>
            </w:r>
          </w:p>
        </w:tc>
      </w:tr>
      <w:tr>
        <w:trPr>
          <w:cantSplit/>
        </w:trPr>
        <w:tc>
          <w:tcPr>
            <w:tcW w:type="dxa" w:w="2200"/>
            <w:tcMar>
              <w:top w:type="dxa" w:w="90"/>
              <w:left w:type="dxa" w:w="140"/>
              <w:bottom w:type="dxa" w:w="90"/>
              <w:right w:type="dxa" w:w="140"/>
            </w:tcMar>
          </w:tcPr>
          <w:p>
            <w:pPr>
              <w:spacing w:after="0" w:line="264"/>
            </w:pPr>
            <w:r>
              <w:rPr>
                <w:b/>
                <w:bCs/>
                <w:color w:val="1C1917"/>
                <w:sz w:val="20"/>
                <w:szCs w:val="20"/>
              </w:rPr>
              <w:t xml:space="preserve">Document type</w:t>
            </w:r>
          </w:p>
        </w:tc>
        <w:tc>
          <w:tcPr>
            <w:tcW w:type="dxa" w:w="7160"/>
            <w:tcMar>
              <w:top w:type="dxa" w:w="90"/>
              <w:left w:type="dxa" w:w="140"/>
              <w:bottom w:type="dxa" w:w="90"/>
              <w:right w:type="dxa" w:w="140"/>
            </w:tcMar>
          </w:tcPr>
          <w:p>
            <w:pPr>
              <w:spacing w:after="0" w:line="264"/>
            </w:pPr>
            <w:r>
              <w:rPr>
                <w:b w:val="false"/>
                <w:bCs w:val="false"/>
                <w:color w:val="1C1917"/>
                <w:sz w:val="20"/>
                <w:szCs w:val="20"/>
              </w:rPr>
              <w:t xml:space="preserve">Licence · permit · certificate (ICGLR, origin, analysis) · assay or lab report · royalty or tax receipt · invoice · packing list · transport document or waybill · audit report · due diligence report · identification · other</w:t>
            </w:r>
          </w:p>
        </w:tc>
      </w:tr>
      <w:tr>
        <w:trPr>
          <w:cantSplit/>
        </w:trPr>
        <w:tc>
          <w:tcPr>
            <w:tcW w:type="dxa" w:w="2200"/>
            <w:shd w:fill="FAFAF9" w:val="clear"/>
            <w:tcMar>
              <w:top w:type="dxa" w:w="90"/>
              <w:left w:type="dxa" w:w="140"/>
              <w:bottom w:type="dxa" w:w="90"/>
              <w:right w:type="dxa" w:w="140"/>
            </w:tcMar>
          </w:tcPr>
          <w:p>
            <w:pPr>
              <w:spacing w:after="0" w:line="264"/>
            </w:pPr>
            <w:r>
              <w:rPr>
                <w:b/>
                <w:bCs/>
                <w:color w:val="1C1917"/>
                <w:sz w:val="20"/>
                <w:szCs w:val="20"/>
              </w:rPr>
              <w:t xml:space="preserve">Linked to</w:t>
            </w:r>
          </w:p>
        </w:tc>
        <w:tc>
          <w:tcPr>
            <w:tcW w:type="dxa" w:w="7160"/>
            <w:shd w:fill="FAFAF9" w:val="clear"/>
            <w:tcMar>
              <w:top w:type="dxa" w:w="90"/>
              <w:left w:type="dxa" w:w="140"/>
              <w:bottom w:type="dxa" w:w="90"/>
              <w:right w:type="dxa" w:w="140"/>
            </w:tcMar>
          </w:tcPr>
          <w:p>
            <w:pPr>
              <w:spacing w:after="0" w:line="264"/>
            </w:pPr>
            <w:r>
              <w:rPr>
                <w:b w:val="false"/>
                <w:bCs w:val="false"/>
                <w:color w:val="1C1917"/>
                <w:sz w:val="20"/>
                <w:szCs w:val="20"/>
              </w:rPr>
              <w:t xml:space="preserve">A CoC lot, an export shipment, a mine site, or nothing in particular. Linking is what makes the document appear on that lot's passport.</w:t>
            </w:r>
          </w:p>
        </w:tc>
      </w:tr>
      <w:tr>
        <w:trPr>
          <w:cantSplit/>
        </w:trPr>
        <w:tc>
          <w:tcPr>
            <w:tcW w:type="dxa" w:w="2200"/>
            <w:tcMar>
              <w:top w:type="dxa" w:w="90"/>
              <w:left w:type="dxa" w:w="140"/>
              <w:bottom w:type="dxa" w:w="90"/>
              <w:right w:type="dxa" w:w="140"/>
            </w:tcMar>
          </w:tcPr>
          <w:p>
            <w:pPr>
              <w:spacing w:after="0" w:line="264"/>
            </w:pPr>
            <w:r>
              <w:rPr>
                <w:b/>
                <w:bCs/>
                <w:color w:val="1C1917"/>
                <w:sz w:val="20"/>
                <w:szCs w:val="20"/>
              </w:rPr>
              <w:t xml:space="preserve">Issued and expires</w:t>
            </w:r>
          </w:p>
        </w:tc>
        <w:tc>
          <w:tcPr>
            <w:tcW w:type="dxa" w:w="7160"/>
            <w:tcMar>
              <w:top w:type="dxa" w:w="90"/>
              <w:left w:type="dxa" w:w="140"/>
              <w:bottom w:type="dxa" w:w="90"/>
              <w:right w:type="dxa" w:w="140"/>
            </w:tcMar>
          </w:tcPr>
          <w:p>
            <w:pPr>
              <w:spacing w:after="0" w:line="264"/>
            </w:pPr>
            <w:r>
              <w:rPr>
                <w:b w:val="false"/>
                <w:bCs w:val="false"/>
                <w:color w:val="1C1917"/>
                <w:sz w:val="20"/>
                <w:szCs w:val="20"/>
              </w:rPr>
              <w:t xml:space="preserve">Expiry matters — an out-of-date licence shows up as a company-level problem on the Status board.</w:t>
            </w:r>
          </w:p>
        </w:tc>
      </w:tr>
    </w:tbl>
    <w:p>
      <w:pPr>
        <w:spacing w:before="200"/>
      </w:pPr>
      <w:r>
        <w:br w:type="page"/>
      </w:r>
    </w:p>
    <w:p>
      <w:pPr>
        <w:pStyle w:val="Heading1"/>
        <w:spacing w:after="160" w:before="360"/>
      </w:pPr>
      <w:r>
        <w:rPr>
          <w:b/>
          <w:bCs/>
          <w:color w:val="1F6F54"/>
          <w:sz w:val="32"/>
          <w:szCs w:val="32"/>
        </w:rPr>
        <w:t xml:space="preserve">4. The Traceability tab</w:t>
      </w:r>
    </w:p>
    <w:p>
      <w:pPr>
        <w:spacing w:after="120" w:line="276"/>
      </w:pPr>
      <w:r>
        <w:rPr>
          <w:color w:val="1C1917"/>
          <w:sz w:val="21"/>
          <w:szCs w:val="21"/>
        </w:rPr>
        <w:t xml:space="preserve">Compliance asks what is missing. Traceability asks where has this been, and it is where you record each movement as it happens.</w:t>
      </w:r>
    </w:p>
    <w:p>
      <w:pPr>
        <w:pStyle w:val="Heading2"/>
        <w:spacing w:after="120" w:before="280"/>
      </w:pPr>
      <w:r>
        <w:rPr>
          <w:b/>
          <w:bCs/>
          <w:color w:val="1C1917"/>
          <w:sz w:val="26"/>
          <w:szCs w:val="26"/>
        </w:rPr>
        <w:t xml:space="preserve">Finding a lot</w:t>
      </w:r>
    </w:p>
    <w:p>
      <w:pPr>
        <w:pStyle w:val="ListParagraph"/>
        <w:numPr>
          <w:ilvl w:val="0"/>
          <w:numId w:val="2"/>
        </w:numPr>
        <w:spacing w:after="80" w:line="276"/>
      </w:pPr>
      <w:r>
        <w:rPr>
          <w:b/>
          <w:bCs/>
          <w:color w:val="1C1917"/>
          <w:sz w:val="21"/>
          <w:szCs w:val="21"/>
        </w:rPr>
        <w:t xml:space="preserve">My lots</w:t>
      </w:r>
      <w:r>
        <w:rPr>
          <w:color w:val="1C1917"/>
          <w:sz w:val="21"/>
          <w:szCs w:val="21"/>
        </w:rPr>
        <w:t xml:space="preserve"> at the top lists everything you own or are holding, with who has it and what state it is in. Click one to open it.</w:t>
      </w:r>
    </w:p>
    <w:p>
      <w:pPr>
        <w:pStyle w:val="ListParagraph"/>
        <w:numPr>
          <w:ilvl w:val="0"/>
          <w:numId w:val="2"/>
        </w:numPr>
        <w:spacing w:after="80" w:line="276"/>
      </w:pPr>
      <w:r>
        <w:rPr>
          <w:b/>
          <w:bCs/>
          <w:color w:val="1C1917"/>
          <w:sz w:val="21"/>
          <w:szCs w:val="21"/>
        </w:rPr>
        <w:t xml:space="preserve">Search &amp; Trace</w:t>
      </w:r>
      <w:r>
        <w:rPr>
          <w:color w:val="1C1917"/>
          <w:sz w:val="21"/>
          <w:szCs w:val="21"/>
        </w:rPr>
        <w:t xml:space="preserve"> finds a lot by lot number, batch ID, pit number or item name.</w:t>
      </w:r>
    </w:p>
    <w:p>
      <w:pPr>
        <w:pStyle w:val="ListParagraph"/>
        <w:numPr>
          <w:ilvl w:val="0"/>
          <w:numId w:val="2"/>
        </w:numPr>
        <w:spacing w:after="80" w:line="276"/>
      </w:pPr>
      <w:r>
        <w:rPr>
          <w:b/>
          <w:bCs/>
          <w:color w:val="1C1917"/>
          <w:sz w:val="21"/>
          <w:szCs w:val="21"/>
        </w:rPr>
        <w:t xml:space="preserve">Browse by pit</w:t>
      </w:r>
      <w:r>
        <w:rPr>
          <w:color w:val="1C1917"/>
          <w:sz w:val="21"/>
          <w:szCs w:val="21"/>
        </w:rPr>
        <w:t xml:space="preserve"> shows every production record from a pit, without typing its name. Operators only — the pits come from your own production.</w:t>
      </w:r>
    </w:p>
    <w:p>
      <w:pPr>
        <w:pStyle w:val="Heading2"/>
        <w:spacing w:after="120" w:before="280"/>
      </w:pPr>
      <w:r>
        <w:rPr>
          <w:b/>
          <w:bCs/>
          <w:color w:val="1C1917"/>
          <w:sz w:val="26"/>
          <w:szCs w:val="26"/>
        </w:rPr>
        <w:t xml:space="preserve">The five views of an open lot</w:t>
      </w:r>
    </w:p>
    <w:p>
      <w:pPr>
        <w:spacing w:after="80"/>
      </w:pPr>
    </w:p>
    <w:tbl>
      <w:tblPr>
        <w:tblW w:type="dxa" w:w="9360"/>
        <w:tblBorders>
          <w:top w:val="single" w:color="D6D3D1" w:sz="4"/>
          <w:left w:val="single" w:color="D6D3D1" w:sz="4"/>
          <w:bottom w:val="single" w:color="D6D3D1" w:sz="4"/>
          <w:right w:val="single" w:color="D6D3D1" w:sz="4"/>
          <w:insideH w:val="single" w:color="D6D3D1" w:sz="2"/>
          <w:insideV w:val="single" w:color="D6D3D1" w:sz="2"/>
        </w:tblBorders>
      </w:tblPr>
      <w:tblGrid>
        <w:gridCol w:w="2200"/>
        <w:gridCol w:w="7160"/>
      </w:tblGrid>
      <w:tr>
        <w:trPr>
          <w:cantSplit/>
          <w:tblHeader/>
        </w:trPr>
        <w:tc>
          <w:tcPr>
            <w:tcW w:type="dxa" w:w="2200"/>
            <w:shd w:fill="ECFDF5" w:val="clear"/>
            <w:tcMar>
              <w:top w:type="dxa" w:w="90"/>
              <w:left w:type="dxa" w:w="140"/>
              <w:bottom w:type="dxa" w:w="90"/>
              <w:right w:type="dxa" w:w="140"/>
            </w:tcMar>
          </w:tcPr>
          <w:p>
            <w:pPr>
              <w:spacing w:after="0" w:line="264"/>
            </w:pPr>
            <w:r>
              <w:rPr>
                <w:b/>
                <w:bCs/>
                <w:color w:val="1C1917"/>
                <w:sz w:val="20"/>
                <w:szCs w:val="20"/>
              </w:rPr>
              <w:t xml:space="preserve">View</w:t>
            </w:r>
          </w:p>
        </w:tc>
        <w:tc>
          <w:tcPr>
            <w:tcW w:type="dxa" w:w="7160"/>
            <w:shd w:fill="ECFDF5" w:val="clear"/>
            <w:tcMar>
              <w:top w:type="dxa" w:w="90"/>
              <w:left w:type="dxa" w:w="140"/>
              <w:bottom w:type="dxa" w:w="90"/>
              <w:right w:type="dxa" w:w="140"/>
            </w:tcMar>
          </w:tcPr>
          <w:p>
            <w:pPr>
              <w:spacing w:after="0" w:line="264"/>
            </w:pPr>
            <w:r>
              <w:rPr>
                <w:b/>
                <w:bCs/>
                <w:color w:val="1C1917"/>
                <w:sz w:val="20"/>
                <w:szCs w:val="20"/>
              </w:rPr>
              <w:t xml:space="preserve">What it shows</w:t>
            </w:r>
          </w:p>
        </w:tc>
      </w:tr>
      <w:tr>
        <w:trPr>
          <w:cantSplit/>
        </w:trPr>
        <w:tc>
          <w:tcPr>
            <w:tcW w:type="dxa" w:w="2200"/>
            <w:tcMar>
              <w:top w:type="dxa" w:w="90"/>
              <w:left w:type="dxa" w:w="140"/>
              <w:bottom w:type="dxa" w:w="90"/>
              <w:right w:type="dxa" w:w="140"/>
            </w:tcMar>
          </w:tcPr>
          <w:p>
            <w:pPr>
              <w:spacing w:after="0" w:line="264"/>
            </w:pPr>
            <w:r>
              <w:rPr>
                <w:b/>
                <w:bCs/>
                <w:color w:val="1C1917"/>
                <w:sz w:val="20"/>
                <w:szCs w:val="20"/>
              </w:rPr>
              <w:t xml:space="preserve">Journey Map</w:t>
            </w:r>
          </w:p>
        </w:tc>
        <w:tc>
          <w:tcPr>
            <w:tcW w:type="dxa" w:w="7160"/>
            <w:tcMar>
              <w:top w:type="dxa" w:w="90"/>
              <w:left w:type="dxa" w:w="140"/>
              <w:bottom w:type="dxa" w:w="90"/>
              <w:right w:type="dxa" w:w="140"/>
            </w:tcMar>
          </w:tcPr>
          <w:p>
            <w:pPr>
              <w:spacing w:after="0" w:line="264"/>
            </w:pPr>
            <w:r>
              <w:rPr>
                <w:b w:val="false"/>
                <w:bCs w:val="false"/>
                <w:color w:val="1C1917"/>
                <w:sz w:val="20"/>
                <w:szCs w:val="20"/>
              </w:rPr>
              <w:t xml:space="preserve">The whole life of the lot in order: production, custody, transport, processing, export. Each step says whether it has actually happened.</w:t>
            </w:r>
          </w:p>
        </w:tc>
      </w:tr>
      <w:tr>
        <w:trPr>
          <w:cantSplit/>
        </w:trPr>
        <w:tc>
          <w:tcPr>
            <w:tcW w:type="dxa" w:w="2200"/>
            <w:shd w:fill="FAFAF9" w:val="clear"/>
            <w:tcMar>
              <w:top w:type="dxa" w:w="90"/>
              <w:left w:type="dxa" w:w="140"/>
              <w:bottom w:type="dxa" w:w="90"/>
              <w:right w:type="dxa" w:w="140"/>
            </w:tcMar>
          </w:tcPr>
          <w:p>
            <w:pPr>
              <w:spacing w:after="0" w:line="264"/>
            </w:pPr>
            <w:r>
              <w:rPr>
                <w:b/>
                <w:bCs/>
                <w:color w:val="1C1917"/>
                <w:sz w:val="20"/>
                <w:szCs w:val="20"/>
              </w:rPr>
              <w:t xml:space="preserve">Custody Chain</w:t>
            </w:r>
          </w:p>
        </w:tc>
        <w:tc>
          <w:tcPr>
            <w:tcW w:type="dxa" w:w="7160"/>
            <w:shd w:fill="FAFAF9" w:val="clear"/>
            <w:tcMar>
              <w:top w:type="dxa" w:w="90"/>
              <w:left w:type="dxa" w:w="140"/>
              <w:bottom w:type="dxa" w:w="90"/>
              <w:right w:type="dxa" w:w="140"/>
            </w:tcMar>
          </w:tcPr>
          <w:p>
            <w:pPr>
              <w:spacing w:after="0" w:line="264"/>
            </w:pPr>
            <w:r>
              <w:rPr>
                <w:b w:val="false"/>
                <w:bCs w:val="false"/>
                <w:color w:val="1C1917"/>
                <w:sz w:val="20"/>
                <w:szCs w:val="20"/>
              </w:rPr>
              <w:t xml:space="preserve">Every handover, and the form to record the next one.</w:t>
            </w:r>
          </w:p>
        </w:tc>
      </w:tr>
      <w:tr>
        <w:trPr>
          <w:cantSplit/>
        </w:trPr>
        <w:tc>
          <w:tcPr>
            <w:tcW w:type="dxa" w:w="2200"/>
            <w:tcMar>
              <w:top w:type="dxa" w:w="90"/>
              <w:left w:type="dxa" w:w="140"/>
              <w:bottom w:type="dxa" w:w="90"/>
              <w:right w:type="dxa" w:w="140"/>
            </w:tcMar>
          </w:tcPr>
          <w:p>
            <w:pPr>
              <w:spacing w:after="0" w:line="264"/>
            </w:pPr>
            <w:r>
              <w:rPr>
                <w:b/>
                <w:bCs/>
                <w:color w:val="1C1917"/>
                <w:sz w:val="20"/>
                <w:szCs w:val="20"/>
              </w:rPr>
              <w:t xml:space="preserve">Transport</w:t>
            </w:r>
          </w:p>
        </w:tc>
        <w:tc>
          <w:tcPr>
            <w:tcW w:type="dxa" w:w="7160"/>
            <w:tcMar>
              <w:top w:type="dxa" w:w="90"/>
              <w:left w:type="dxa" w:w="140"/>
              <w:bottom w:type="dxa" w:w="90"/>
              <w:right w:type="dxa" w:w="140"/>
            </w:tcMar>
          </w:tcPr>
          <w:p>
            <w:pPr>
              <w:spacing w:after="0" w:line="264"/>
            </w:pPr>
            <w:r>
              <w:rPr>
                <w:b w:val="false"/>
                <w:bCs w:val="false"/>
                <w:color w:val="1C1917"/>
                <w:sz w:val="20"/>
                <w:szCs w:val="20"/>
              </w:rPr>
              <w:t xml:space="preserve">Vehicles, drivers, routes and seals — past movements and the form to add one.</w:t>
            </w:r>
          </w:p>
        </w:tc>
      </w:tr>
      <w:tr>
        <w:trPr>
          <w:cantSplit/>
        </w:trPr>
        <w:tc>
          <w:tcPr>
            <w:tcW w:type="dxa" w:w="2200"/>
            <w:shd w:fill="FAFAF9" w:val="clear"/>
            <w:tcMar>
              <w:top w:type="dxa" w:w="90"/>
              <w:left w:type="dxa" w:w="140"/>
              <w:bottom w:type="dxa" w:w="90"/>
              <w:right w:type="dxa" w:w="140"/>
            </w:tcMar>
          </w:tcPr>
          <w:p>
            <w:pPr>
              <w:spacing w:after="0" w:line="264"/>
            </w:pPr>
            <w:r>
              <w:rPr>
                <w:b/>
                <w:bCs/>
                <w:color w:val="1C1917"/>
                <w:sz w:val="20"/>
                <w:szCs w:val="20"/>
              </w:rPr>
              <w:t xml:space="preserve">Processing</w:t>
            </w:r>
          </w:p>
        </w:tc>
        <w:tc>
          <w:tcPr>
            <w:tcW w:type="dxa" w:w="7160"/>
            <w:shd w:fill="FAFAF9" w:val="clear"/>
            <w:tcMar>
              <w:top w:type="dxa" w:w="90"/>
              <w:left w:type="dxa" w:w="140"/>
              <w:bottom w:type="dxa" w:w="90"/>
              <w:right w:type="dxa" w:w="140"/>
            </w:tcMar>
          </w:tcPr>
          <w:p>
            <w:pPr>
              <w:spacing w:after="0" w:line="264"/>
            </w:pPr>
            <w:r>
              <w:rPr>
                <w:b w:val="false"/>
                <w:bCs w:val="false"/>
                <w:color w:val="1C1917"/>
                <w:sz w:val="20"/>
                <w:szCs w:val="20"/>
              </w:rPr>
              <w:t xml:space="preserve">Crushing, milling, washing, smelting, refining and sorting runs, with input, output and waste weights.</w:t>
            </w:r>
          </w:p>
        </w:tc>
      </w:tr>
      <w:tr>
        <w:trPr>
          <w:cantSplit/>
        </w:trPr>
        <w:tc>
          <w:tcPr>
            <w:tcW w:type="dxa" w:w="2200"/>
            <w:tcMar>
              <w:top w:type="dxa" w:w="90"/>
              <w:left w:type="dxa" w:w="140"/>
              <w:bottom w:type="dxa" w:w="90"/>
              <w:right w:type="dxa" w:w="140"/>
            </w:tcMar>
          </w:tcPr>
          <w:p>
            <w:pPr>
              <w:spacing w:after="0" w:line="264"/>
            </w:pPr>
            <w:r>
              <w:rPr>
                <w:b/>
                <w:bCs/>
                <w:color w:val="1C1917"/>
                <w:sz w:val="20"/>
                <w:szCs w:val="20"/>
              </w:rPr>
              <w:t xml:space="preserve">Compliance</w:t>
            </w:r>
          </w:p>
        </w:tc>
        <w:tc>
          <w:tcPr>
            <w:tcW w:type="dxa" w:w="7160"/>
            <w:tcMar>
              <w:top w:type="dxa" w:w="90"/>
              <w:left w:type="dxa" w:w="140"/>
              <w:bottom w:type="dxa" w:w="90"/>
              <w:right w:type="dxa" w:w="140"/>
            </w:tcMar>
          </w:tcPr>
          <w:p>
            <w:pPr>
              <w:spacing w:after="0" w:line="264"/>
            </w:pPr>
            <w:r>
              <w:rPr>
                <w:b w:val="false"/>
                <w:bCs w:val="false"/>
                <w:color w:val="1C1917"/>
                <w:sz w:val="20"/>
                <w:szCs w:val="20"/>
              </w:rPr>
              <w:t xml:space="preserve">The compliance history for this particular lot.</w:t>
            </w:r>
          </w:p>
        </w:tc>
      </w:tr>
    </w:tbl>
    <w:p>
      <w:pPr>
        <w:spacing w:after="160"/>
      </w:pPr>
    </w:p>
    <w:p>
      <w:pPr>
        <w:pStyle w:val="Heading2"/>
        <w:spacing w:after="120" w:before="280"/>
      </w:pPr>
      <w:r>
        <w:rPr>
          <w:b/>
          <w:bCs/>
          <w:color w:val="1C1917"/>
          <w:sz w:val="26"/>
          <w:szCs w:val="26"/>
        </w:rPr>
        <w:t xml:space="preserve">Handing a lot to someone else</w:t>
      </w:r>
    </w:p>
    <w:p>
      <w:pPr>
        <w:spacing w:after="120" w:line="276"/>
      </w:pPr>
      <w:r>
        <w:rPr>
          <w:color w:val="1C1917"/>
          <w:sz w:val="21"/>
          <w:szCs w:val="21"/>
        </w:rPr>
        <w:t xml:space="preserve">This is the step that keeps the chain unbroken. Do it when the lot physically changes hands.</w:t>
      </w:r>
    </w:p>
    <w:p>
      <w:pPr>
        <w:spacing w:after="80"/>
      </w:pPr>
    </w:p>
    <w:p>
      <w:pPr>
        <w:pStyle w:val="ListParagraph"/>
        <w:numPr>
          <w:ilvl w:val="0"/>
          <w:numId w:val="5"/>
        </w:numPr>
        <w:spacing w:after="80" w:line="276"/>
      </w:pPr>
      <w:r>
        <w:rPr>
          <w:color w:val="1C1917"/>
          <w:sz w:val="21"/>
          <w:szCs w:val="21"/>
        </w:rPr>
        <w:t xml:space="preserve">Open the lot and go to Custody Chain.</w:t>
      </w:r>
    </w:p>
    <w:p>
      <w:pPr>
        <w:pStyle w:val="ListParagraph"/>
        <w:numPr>
          <w:ilvl w:val="0"/>
          <w:numId w:val="5"/>
        </w:numPr>
        <w:spacing w:after="80" w:line="276"/>
      </w:pPr>
      <w:r>
        <w:rPr>
          <w:color w:val="1C1917"/>
          <w:sz w:val="21"/>
          <w:szCs w:val="21"/>
        </w:rPr>
        <w:t xml:space="preserve">Type the receiving account's email address. They must already have an account on the platform.</w:t>
      </w:r>
    </w:p>
    <w:p>
      <w:pPr>
        <w:pStyle w:val="ListParagraph"/>
        <w:numPr>
          <w:ilvl w:val="0"/>
          <w:numId w:val="5"/>
        </w:numPr>
        <w:spacing w:after="80" w:line="276"/>
      </w:pPr>
      <w:r>
        <w:rPr>
          <w:color w:val="1C1917"/>
          <w:sz w:val="21"/>
          <w:szCs w:val="21"/>
        </w:rPr>
        <w:t xml:space="preserve">Add the location and a short note if it helps — “Weighbridge, Kampala”, “Seal intact, weighed on collection”.</w:t>
      </w:r>
    </w:p>
    <w:p>
      <w:pPr>
        <w:pStyle w:val="ListParagraph"/>
        <w:numPr>
          <w:ilvl w:val="0"/>
          <w:numId w:val="5"/>
        </w:numPr>
        <w:spacing w:after="80" w:line="276"/>
      </w:pPr>
      <w:r>
        <w:rPr>
          <w:color w:val="1C1917"/>
          <w:sz w:val="21"/>
          <w:szCs w:val="21"/>
        </w:rPr>
        <w:t xml:space="preserve">Confirm. The lot moves out of your list and into theirs, and the handover is stamped into the public record.</w:t>
      </w:r>
    </w:p>
    <w:p>
      <w:pPr>
        <w:spacing w:after="140"/>
      </w:pPr>
    </w:p>
    <w:tbl>
      <w:tblPr>
        <w:tblW w:type="dxa" w:w="9360"/>
        <w:tblBorders>
          <w:top w:val="single" w:color="D6D3D1" w:sz="2"/>
          <w:left w:val="single" w:color="1F6F54" w:sz="18"/>
          <w:bottom w:val="single" w:color="D6D3D1" w:sz="2"/>
          <w:right w:val="single" w:color="D6D3D1" w:sz="2"/>
          <w:insideH w:val="none" w:color="FFFFFF" w:sz="0"/>
          <w:insideV w:val="none" w:color="FFFFFF" w:sz="0"/>
        </w:tblBorders>
      </w:tblPr>
      <w:tblGrid>
        <w:gridCol w:w="9360"/>
      </w:tblGrid>
      <w:tr>
        <w:trPr>
          <w:cantSplit/>
        </w:trPr>
        <w:tc>
          <w:tcPr>
            <w:tcW w:type="dxa" w:w="9360"/>
            <w:shd w:fill="F5F5F4" w:val="clear"/>
            <w:tcMar>
              <w:top w:type="dxa" w:w="140"/>
              <w:left w:type="dxa" w:w="200"/>
              <w:bottom w:type="dxa" w:w="140"/>
              <w:right w:type="dxa" w:w="200"/>
            </w:tcMar>
          </w:tcPr>
          <w:p>
            <w:pPr>
              <w:spacing w:after="60"/>
            </w:pPr>
            <w:r>
              <w:rPr>
                <w:b/>
                <w:bCs/>
                <w:color w:val="1C1917"/>
                <w:sz w:val="21"/>
                <w:szCs w:val="21"/>
              </w:rPr>
              <w:t xml:space="preserve">If the handover is refused</w:t>
            </w:r>
          </w:p>
          <w:p>
            <w:pPr>
              <w:spacing w:after="0" w:line="276"/>
            </w:pPr>
            <w:r>
              <w:rPr>
                <w:color w:val="57534E"/>
                <w:sz w:val="21"/>
                <w:szCs w:val="21"/>
              </w:rPr>
              <w:t xml:space="preserve">The most common reason is that the email does not match any account. Check the spelling with the person receiving it, or ask them to register first.</w:t>
            </w:r>
          </w:p>
        </w:tc>
      </w:tr>
    </w:tbl>
    <w:p>
      <w:pPr>
        <w:spacing w:after="180"/>
      </w:pPr>
    </w:p>
    <w:p>
      <w:pPr>
        <w:pStyle w:val="Heading2"/>
        <w:spacing w:after="120" w:before="280"/>
      </w:pPr>
      <w:r>
        <w:rPr>
          <w:b/>
          <w:bCs/>
          <w:color w:val="1C1917"/>
          <w:sz w:val="26"/>
          <w:szCs w:val="26"/>
        </w:rPr>
        <w:t xml:space="preserve">Recording transport</w:t>
      </w:r>
    </w:p>
    <w:p>
      <w:pPr>
        <w:spacing w:after="120" w:line="276"/>
      </w:pPr>
      <w:r>
        <w:rPr>
          <w:color w:val="1C1917"/>
          <w:sz w:val="21"/>
          <w:szCs w:val="21"/>
        </w:rPr>
        <w:t xml:space="preserve">Vehicle plate, driver name, origin and destination are required — everything else is optional but useful. Add the departure time, planned distance, gross and net weight, the seal numbers on the vehicle, the transport permit and any notes.</w:t>
      </w:r>
    </w:p>
    <w:p>
      <w:pPr>
        <w:pStyle w:val="Heading2"/>
        <w:spacing w:after="120" w:before="280"/>
      </w:pPr>
      <w:r>
        <w:rPr>
          <w:b/>
          <w:bCs/>
          <w:color w:val="1C1917"/>
          <w:sz w:val="26"/>
          <w:szCs w:val="26"/>
        </w:rPr>
        <w:t xml:space="preserve">Recording processing</w:t>
      </w:r>
    </w:p>
    <w:p>
      <w:pPr>
        <w:spacing w:after="120" w:line="276"/>
      </w:pPr>
      <w:r>
        <w:rPr>
          <w:color w:val="1C1917"/>
          <w:sz w:val="21"/>
          <w:szCs w:val="21"/>
        </w:rPr>
        <w:t xml:space="preserve">Name the facility and tick at least one process type. Record the input weight, the output name and weight, and the waste generated, along with the operator, supervisor, duration and any samples collected.</w:t>
      </w:r>
    </w:p>
    <w:p>
      <w:pPr>
        <w:spacing w:after="120" w:line="276"/>
      </w:pPr>
      <w:r>
        <w:rPr>
          <w:color w:val="1C1917"/>
          <w:sz w:val="21"/>
          <w:szCs w:val="21"/>
        </w:rPr>
        <w:t xml:space="preserve">One rule is enforced: </w:t>
      </w:r>
      <w:r>
        <w:rPr>
          <w:b/>
          <w:bCs/>
          <w:color w:val="1C1917"/>
          <w:sz w:val="21"/>
          <w:szCs w:val="21"/>
        </w:rPr>
        <w:t xml:space="preserve">output plus waste cannot exceed the input weight</w:t>
      </w:r>
      <w:r>
        <w:rPr>
          <w:color w:val="1C1917"/>
          <w:sz w:val="21"/>
          <w:szCs w:val="21"/>
        </w:rPr>
        <w:t xml:space="preserve">. If it does, the entry is refused — check your figures before saving.</w:t>
      </w:r>
    </w:p>
    <w:p>
      <w:pPr>
        <w:pStyle w:val="Heading2"/>
        <w:spacing w:after="120" w:before="280"/>
      </w:pPr>
      <w:r>
        <w:rPr>
          <w:b/>
          <w:bCs/>
          <w:color w:val="1C1917"/>
          <w:sz w:val="26"/>
          <w:szCs w:val="26"/>
        </w:rPr>
        <w:t xml:space="preserve">The public QR code</w:t>
      </w:r>
    </w:p>
    <w:p>
      <w:pPr>
        <w:spacing w:after="120" w:line="276"/>
      </w:pPr>
      <w:r>
        <w:rPr>
          <w:color w:val="1C1917"/>
          <w:sz w:val="21"/>
          <w:szCs w:val="21"/>
        </w:rPr>
        <w:t xml:space="preserve">Every lot gets a verification code when it is registered, and the passport shows it as a QR code. Anyone can scan it — a buyer, an inspector, a customs officer — and see the lot number, mineral, weight, source site and its colour status, the seal, the key dates and every handover. No login, nothing confidential: costs, customers and prices are never shown.</w:t>
      </w:r>
    </w:p>
    <w:p>
      <w:pPr>
        <w:spacing w:after="120" w:line="276"/>
      </w:pPr>
      <w:r>
        <w:rPr>
          <w:color w:val="1C1917"/>
          <w:sz w:val="21"/>
          <w:szCs w:val="21"/>
        </w:rPr>
        <w:t xml:space="preserve">If a lot has no code, open it and save it again — one will be issued.</w:t>
      </w:r>
    </w:p>
    <w:p>
      <w:pPr>
        <w:spacing w:before="200"/>
      </w:pPr>
      <w:r>
        <w:br w:type="page"/>
      </w:r>
    </w:p>
    <w:p>
      <w:pPr>
        <w:pStyle w:val="Heading1"/>
        <w:spacing w:after="160" w:before="360"/>
      </w:pPr>
      <w:r>
        <w:rPr>
          <w:b/>
          <w:bCs/>
          <w:color w:val="1F6F54"/>
          <w:sz w:val="32"/>
          <w:szCs w:val="32"/>
        </w:rPr>
        <w:t xml:space="preserve">5. A lot from start to finish</w:t>
      </w:r>
    </w:p>
    <w:p>
      <w:pPr>
        <w:spacing w:after="120" w:line="276"/>
      </w:pPr>
      <w:r>
        <w:rPr>
          <w:color w:val="1C1917"/>
          <w:sz w:val="21"/>
          <w:szCs w:val="21"/>
        </w:rPr>
        <w:t xml:space="preserve">How the pieces fit together, using one lot as an example.</w:t>
      </w:r>
    </w:p>
    <w:p>
      <w:pPr>
        <w:spacing w:after="80"/>
      </w:pPr>
    </w:p>
    <w:p>
      <w:pPr>
        <w:pStyle w:val="ListParagraph"/>
        <w:numPr>
          <w:ilvl w:val="0"/>
          <w:numId w:val="6"/>
        </w:numPr>
        <w:spacing w:after="80" w:line="276"/>
      </w:pPr>
      <w:r>
        <w:rPr>
          <w:b/>
          <w:bCs/>
          <w:color w:val="1C1917"/>
          <w:sz w:val="21"/>
          <w:szCs w:val="21"/>
        </w:rPr>
        <w:t xml:space="preserve">The operator records production</w:t>
      </w:r>
      <w:r>
        <w:rPr>
          <w:color w:val="1C1917"/>
          <w:sz w:val="21"/>
          <w:szCs w:val="21"/>
        </w:rPr>
        <w:t xml:space="preserve"> at the mine — quantity, grade, pit, date, miner. (This happens under Production, outside this section.)</w:t>
      </w:r>
    </w:p>
    <w:p>
      <w:pPr>
        <w:pStyle w:val="ListParagraph"/>
        <w:numPr>
          <w:ilvl w:val="0"/>
          <w:numId w:val="6"/>
        </w:numPr>
        <w:spacing w:after="80" w:line="276"/>
      </w:pPr>
      <w:r>
        <w:rPr>
          <w:b/>
          <w:bCs/>
          <w:color w:val="1C1917"/>
          <w:sz w:val="21"/>
          <w:szCs w:val="21"/>
        </w:rPr>
        <w:t xml:space="preserve">The operator registers the mine site certificate</w:t>
      </w:r>
      <w:r>
        <w:rPr>
          <w:color w:val="1C1917"/>
          <w:sz w:val="21"/>
          <w:szCs w:val="21"/>
        </w:rPr>
        <w:t xml:space="preserve"> under Compliance → Mine Sites, with the inspection date and result. The site goes green.</w:t>
      </w:r>
    </w:p>
    <w:p>
      <w:pPr>
        <w:pStyle w:val="ListParagraph"/>
        <w:numPr>
          <w:ilvl w:val="0"/>
          <w:numId w:val="6"/>
        </w:numPr>
        <w:spacing w:after="80" w:line="276"/>
      </w:pPr>
      <w:r>
        <w:rPr>
          <w:b/>
          <w:bCs/>
          <w:color w:val="1C1917"/>
          <w:sz w:val="21"/>
          <w:szCs w:val="21"/>
        </w:rPr>
        <w:t xml:space="preserve">The operator registers a lot</w:t>
      </w:r>
      <w:r>
        <w:rPr>
          <w:color w:val="1C1917"/>
          <w:sz w:val="21"/>
          <w:szCs w:val="21"/>
        </w:rPr>
        <w:t xml:space="preserve"> on the Lots tab, picks the site, ticks the production records and seals it. The weight comes across by itself; a lot number and QR code are issued.</w:t>
      </w:r>
    </w:p>
    <w:p>
      <w:pPr>
        <w:pStyle w:val="ListParagraph"/>
        <w:numPr>
          <w:ilvl w:val="0"/>
          <w:numId w:val="6"/>
        </w:numPr>
        <w:spacing w:after="80" w:line="276"/>
      </w:pPr>
      <w:r>
        <w:rPr>
          <w:b/>
          <w:bCs/>
          <w:color w:val="1C1917"/>
          <w:sz w:val="21"/>
          <w:szCs w:val="21"/>
        </w:rPr>
        <w:t xml:space="preserve">The Status board</w:t>
      </w:r>
      <w:r>
        <w:rPr>
          <w:color w:val="1C1917"/>
          <w:sz w:val="21"/>
          <w:szCs w:val="21"/>
        </w:rPr>
        <w:t xml:space="preserve"> shows the lot under “Needs work”, with one instruction: record the seal number. The operator adds it, and the lot moves to “Ready to export”.</w:t>
      </w:r>
    </w:p>
    <w:p>
      <w:pPr>
        <w:pStyle w:val="ListParagraph"/>
        <w:numPr>
          <w:ilvl w:val="0"/>
          <w:numId w:val="6"/>
        </w:numPr>
        <w:spacing w:after="80" w:line="276"/>
      </w:pPr>
      <w:r>
        <w:rPr>
          <w:b/>
          <w:bCs/>
          <w:color w:val="1C1917"/>
          <w:sz w:val="21"/>
          <w:szCs w:val="21"/>
        </w:rPr>
        <w:t xml:space="preserve">The operator hands the lot to the transporter</w:t>
      </w:r>
      <w:r>
        <w:rPr>
          <w:color w:val="1C1917"/>
          <w:sz w:val="21"/>
          <w:szCs w:val="21"/>
        </w:rPr>
        <w:t xml:space="preserve"> on the Traceability tab, by email address. It disappears from the operator's list and appears in the transporter's.</w:t>
      </w:r>
    </w:p>
    <w:p>
      <w:pPr>
        <w:pStyle w:val="ListParagraph"/>
        <w:numPr>
          <w:ilvl w:val="0"/>
          <w:numId w:val="6"/>
        </w:numPr>
        <w:spacing w:after="80" w:line="276"/>
      </w:pPr>
      <w:r>
        <w:rPr>
          <w:b/>
          <w:bCs/>
          <w:color w:val="1C1917"/>
          <w:sz w:val="21"/>
          <w:szCs w:val="21"/>
        </w:rPr>
        <w:t xml:space="preserve">The transporter records the movement</w:t>
      </w:r>
      <w:r>
        <w:rPr>
          <w:color w:val="1C1917"/>
          <w:sz w:val="21"/>
          <w:szCs w:val="21"/>
        </w:rPr>
        <w:t xml:space="preserve"> — plate, driver, route, seals — then hands the lot to the exporter on arrival.</w:t>
      </w:r>
    </w:p>
    <w:p>
      <w:pPr>
        <w:pStyle w:val="ListParagraph"/>
        <w:numPr>
          <w:ilvl w:val="0"/>
          <w:numId w:val="6"/>
        </w:numPr>
        <w:spacing w:after="80" w:line="276"/>
      </w:pPr>
      <w:r>
        <w:rPr>
          <w:b/>
          <w:bCs/>
          <w:color w:val="1C1917"/>
          <w:sz w:val="21"/>
          <w:szCs w:val="21"/>
        </w:rPr>
        <w:t xml:space="preserve">The exporter attaches the lot to an export application</w:t>
      </w:r>
      <w:r>
        <w:rPr>
          <w:color w:val="1C1917"/>
          <w:sz w:val="21"/>
          <w:szCs w:val="21"/>
        </w:rPr>
        <w:t xml:space="preserve"> under Compliance → Exports, and submits it to the Directorate.</w:t>
      </w:r>
    </w:p>
    <w:p>
      <w:pPr>
        <w:pStyle w:val="ListParagraph"/>
        <w:numPr>
          <w:ilvl w:val="0"/>
          <w:numId w:val="6"/>
        </w:numPr>
        <w:spacing w:after="80" w:line="276"/>
      </w:pPr>
      <w:r>
        <w:rPr>
          <w:b/>
          <w:bCs/>
          <w:color w:val="1C1917"/>
          <w:sz w:val="21"/>
          <w:szCs w:val="21"/>
        </w:rPr>
        <w:t xml:space="preserve">The ICGLR certificate is issued</w:t>
      </w:r>
      <w:r>
        <w:rPr>
          <w:color w:val="1C1917"/>
          <w:sz w:val="21"/>
          <w:szCs w:val="21"/>
        </w:rPr>
        <w:t xml:space="preserve"> and recorded against the shipment. The lot is now exported, and its whole journey is readable from the QR code on the bag.</w:t>
      </w:r>
    </w:p>
    <w:p>
      <w:pPr>
        <w:spacing w:before="240"/>
      </w:pPr>
    </w:p>
    <w:p>
      <w:pPr>
        <w:pStyle w:val="Heading1"/>
        <w:spacing w:after="160" w:before="360"/>
      </w:pPr>
      <w:r>
        <w:rPr>
          <w:b/>
          <w:bCs/>
          <w:color w:val="1F6F54"/>
          <w:sz w:val="32"/>
          <w:szCs w:val="32"/>
        </w:rPr>
        <w:t xml:space="preserve">6. When something does not work</w:t>
      </w:r>
    </w:p>
    <w:p>
      <w:pPr>
        <w:spacing w:after="80"/>
      </w:pPr>
    </w:p>
    <w:tbl>
      <w:tblPr>
        <w:tblW w:type="dxa" w:w="9360"/>
        <w:tblBorders>
          <w:top w:val="single" w:color="D6D3D1" w:sz="4"/>
          <w:left w:val="single" w:color="D6D3D1" w:sz="4"/>
          <w:bottom w:val="single" w:color="D6D3D1" w:sz="4"/>
          <w:right w:val="single" w:color="D6D3D1" w:sz="4"/>
          <w:insideH w:val="single" w:color="D6D3D1" w:sz="2"/>
          <w:insideV w:val="single" w:color="D6D3D1" w:sz="2"/>
        </w:tblBorders>
      </w:tblPr>
      <w:tblGrid>
        <w:gridCol w:w="3000"/>
        <w:gridCol w:w="6360"/>
      </w:tblGrid>
      <w:tr>
        <w:trPr>
          <w:cantSplit/>
          <w:tblHeader/>
        </w:trPr>
        <w:tc>
          <w:tcPr>
            <w:tcW w:type="dxa" w:w="3000"/>
            <w:shd w:fill="ECFDF5" w:val="clear"/>
            <w:tcMar>
              <w:top w:type="dxa" w:w="90"/>
              <w:left w:type="dxa" w:w="140"/>
              <w:bottom w:type="dxa" w:w="90"/>
              <w:right w:type="dxa" w:w="140"/>
            </w:tcMar>
          </w:tcPr>
          <w:p>
            <w:pPr>
              <w:spacing w:after="0" w:line="264"/>
            </w:pPr>
            <w:r>
              <w:rPr>
                <w:b/>
                <w:bCs/>
                <w:color w:val="1C1917"/>
                <w:sz w:val="20"/>
                <w:szCs w:val="20"/>
              </w:rPr>
              <w:t xml:space="preserve">What you are seeing</w:t>
            </w:r>
          </w:p>
        </w:tc>
        <w:tc>
          <w:tcPr>
            <w:tcW w:type="dxa" w:w="6360"/>
            <w:shd w:fill="ECFDF5" w:val="clear"/>
            <w:tcMar>
              <w:top w:type="dxa" w:w="90"/>
              <w:left w:type="dxa" w:w="140"/>
              <w:bottom w:type="dxa" w:w="90"/>
              <w:right w:type="dxa" w:w="140"/>
            </w:tcMar>
          </w:tcPr>
          <w:p>
            <w:pPr>
              <w:spacing w:after="0" w:line="264"/>
            </w:pPr>
            <w:r>
              <w:rPr>
                <w:b/>
                <w:bCs/>
                <w:color w:val="1C1917"/>
                <w:sz w:val="20"/>
                <w:szCs w:val="20"/>
              </w:rPr>
              <w:t xml:space="preserve">What to do</w:t>
            </w:r>
          </w:p>
        </w:tc>
      </w:tr>
      <w:tr>
        <w:trPr>
          <w:cantSplit/>
        </w:trPr>
        <w:tc>
          <w:tcPr>
            <w:tcW w:type="dxa" w:w="3000"/>
            <w:tcMar>
              <w:top w:type="dxa" w:w="90"/>
              <w:left w:type="dxa" w:w="140"/>
              <w:bottom w:type="dxa" w:w="90"/>
              <w:right w:type="dxa" w:w="140"/>
            </w:tcMar>
          </w:tcPr>
          <w:p>
            <w:pPr>
              <w:spacing w:after="0" w:line="264"/>
            </w:pPr>
            <w:r>
              <w:rPr>
                <w:b/>
                <w:bCs/>
                <w:color w:val="1C1917"/>
                <w:sz w:val="20"/>
                <w:szCs w:val="20"/>
              </w:rPr>
              <w:t xml:space="preserve">The mine site I want is not in the list</w:t>
            </w:r>
          </w:p>
        </w:tc>
        <w:tc>
          <w:tcPr>
            <w:tcW w:type="dxa" w:w="6360"/>
            <w:tcMar>
              <w:top w:type="dxa" w:w="90"/>
              <w:left w:type="dxa" w:w="140"/>
              <w:bottom w:type="dxa" w:w="90"/>
              <w:right w:type="dxa" w:w="140"/>
            </w:tcMar>
          </w:tcPr>
          <w:p>
            <w:pPr>
              <w:spacing w:after="0" w:line="264"/>
            </w:pPr>
            <w:r>
              <w:rPr>
                <w:b w:val="false"/>
                <w:bCs w:val="false"/>
                <w:color w:val="1C1917"/>
                <w:sz w:val="20"/>
                <w:szCs w:val="20"/>
              </w:rPr>
              <w:t xml:space="preserve">Red-flagged sites are deliberately hidden — the lot would be rejected anyway. If the site is not red, it has not been registered yet: add it under Compliance → Mine Sites.</w:t>
            </w:r>
          </w:p>
        </w:tc>
      </w:tr>
      <w:tr>
        <w:trPr>
          <w:cantSplit/>
        </w:trPr>
        <w:tc>
          <w:tcPr>
            <w:tcW w:type="dxa" w:w="3000"/>
            <w:shd w:fill="FAFAF9" w:val="clear"/>
            <w:tcMar>
              <w:top w:type="dxa" w:w="90"/>
              <w:left w:type="dxa" w:w="140"/>
              <w:bottom w:type="dxa" w:w="90"/>
              <w:right w:type="dxa" w:w="140"/>
            </w:tcMar>
          </w:tcPr>
          <w:p>
            <w:pPr>
              <w:spacing w:after="0" w:line="264"/>
            </w:pPr>
            <w:r>
              <w:rPr>
                <w:b/>
                <w:bCs/>
                <w:color w:val="1C1917"/>
                <w:sz w:val="20"/>
                <w:szCs w:val="20"/>
              </w:rPr>
              <w:t xml:space="preserve">It will not let me register the lot</w:t>
            </w:r>
          </w:p>
        </w:tc>
        <w:tc>
          <w:tcPr>
            <w:tcW w:type="dxa" w:w="6360"/>
            <w:shd w:fill="FAFAF9" w:val="clear"/>
            <w:tcMar>
              <w:top w:type="dxa" w:w="90"/>
              <w:left w:type="dxa" w:w="140"/>
              <w:bottom w:type="dxa" w:w="90"/>
              <w:right w:type="dxa" w:w="140"/>
            </w:tcMar>
          </w:tcPr>
          <w:p>
            <w:pPr>
              <w:spacing w:after="0" w:line="264"/>
            </w:pPr>
            <w:r>
              <w:rPr>
                <w:b w:val="false"/>
                <w:bCs w:val="false"/>
                <w:color w:val="1C1917"/>
                <w:sz w:val="20"/>
                <w:szCs w:val="20"/>
              </w:rPr>
              <w:t xml:space="preserve">Either no mine site is selected, or there is neither a weight nor a ticked production record. One of those two is always the cause.</w:t>
            </w:r>
          </w:p>
        </w:tc>
      </w:tr>
      <w:tr>
        <w:trPr>
          <w:cantSplit/>
        </w:trPr>
        <w:tc>
          <w:tcPr>
            <w:tcW w:type="dxa" w:w="3000"/>
            <w:tcMar>
              <w:top w:type="dxa" w:w="90"/>
              <w:left w:type="dxa" w:w="140"/>
              <w:bottom w:type="dxa" w:w="90"/>
              <w:right w:type="dxa" w:w="140"/>
            </w:tcMar>
          </w:tcPr>
          <w:p>
            <w:pPr>
              <w:spacing w:after="0" w:line="264"/>
            </w:pPr>
            <w:r>
              <w:rPr>
                <w:b/>
                <w:bCs/>
                <w:color w:val="1C1917"/>
                <w:sz w:val="20"/>
                <w:szCs w:val="20"/>
              </w:rPr>
              <w:t xml:space="preserve">No production records appear to tick</w:t>
            </w:r>
          </w:p>
        </w:tc>
        <w:tc>
          <w:tcPr>
            <w:tcW w:type="dxa" w:w="6360"/>
            <w:tcMar>
              <w:top w:type="dxa" w:w="90"/>
              <w:left w:type="dxa" w:w="140"/>
              <w:bottom w:type="dxa" w:w="90"/>
              <w:right w:type="dxa" w:w="140"/>
            </w:tcMar>
          </w:tcPr>
          <w:p>
            <w:pPr>
              <w:spacing w:after="0" w:line="264"/>
            </w:pPr>
            <w:r>
              <w:rPr>
                <w:b w:val="false"/>
                <w:bCs w:val="false"/>
                <w:color w:val="1C1917"/>
                <w:sz w:val="20"/>
                <w:szCs w:val="20"/>
              </w:rPr>
              <w:t xml:space="preserve">The list only shows unpackaged production for the mineral you chose. Check the mineral, and check the records have not already been used in another lot.</w:t>
            </w:r>
          </w:p>
        </w:tc>
      </w:tr>
      <w:tr>
        <w:trPr>
          <w:cantSplit/>
        </w:trPr>
        <w:tc>
          <w:tcPr>
            <w:tcW w:type="dxa" w:w="3000"/>
            <w:shd w:fill="FAFAF9" w:val="clear"/>
            <w:tcMar>
              <w:top w:type="dxa" w:w="90"/>
              <w:left w:type="dxa" w:w="140"/>
              <w:bottom w:type="dxa" w:w="90"/>
              <w:right w:type="dxa" w:w="140"/>
            </w:tcMar>
          </w:tcPr>
          <w:p>
            <w:pPr>
              <w:spacing w:after="0" w:line="264"/>
            </w:pPr>
            <w:r>
              <w:rPr>
                <w:b/>
                <w:bCs/>
                <w:color w:val="1C1917"/>
                <w:sz w:val="20"/>
                <w:szCs w:val="20"/>
              </w:rPr>
              <w:t xml:space="preserve">The weight field is greyed out</w:t>
            </w:r>
          </w:p>
        </w:tc>
        <w:tc>
          <w:tcPr>
            <w:tcW w:type="dxa" w:w="6360"/>
            <w:shd w:fill="FAFAF9" w:val="clear"/>
            <w:tcMar>
              <w:top w:type="dxa" w:w="90"/>
              <w:left w:type="dxa" w:w="140"/>
              <w:bottom w:type="dxa" w:w="90"/>
              <w:right w:type="dxa" w:w="140"/>
            </w:tcMar>
          </w:tcPr>
          <w:p>
            <w:pPr>
              <w:spacing w:after="0" w:line="264"/>
            </w:pPr>
            <w:r>
              <w:rPr>
                <w:b w:val="false"/>
                <w:bCs w:val="false"/>
                <w:color w:val="1C1917"/>
                <w:sz w:val="20"/>
                <w:szCs w:val="20"/>
              </w:rPr>
              <w:t xml:space="preserve">That is deliberate — once you tick production records the weight is derived from them. Untick them if you need to type a weight.</w:t>
            </w:r>
          </w:p>
        </w:tc>
      </w:tr>
      <w:tr>
        <w:trPr>
          <w:cantSplit/>
        </w:trPr>
        <w:tc>
          <w:tcPr>
            <w:tcW w:type="dxa" w:w="3000"/>
            <w:tcMar>
              <w:top w:type="dxa" w:w="90"/>
              <w:left w:type="dxa" w:w="140"/>
              <w:bottom w:type="dxa" w:w="90"/>
              <w:right w:type="dxa" w:w="140"/>
            </w:tcMar>
          </w:tcPr>
          <w:p>
            <w:pPr>
              <w:spacing w:after="0" w:line="264"/>
            </w:pPr>
            <w:r>
              <w:rPr>
                <w:b/>
                <w:bCs/>
                <w:color w:val="1C1917"/>
                <w:sz w:val="20"/>
                <w:szCs w:val="20"/>
              </w:rPr>
              <w:t xml:space="preserve">“Origin not demonstrated” on the board</w:t>
            </w:r>
          </w:p>
        </w:tc>
        <w:tc>
          <w:tcPr>
            <w:tcW w:type="dxa" w:w="6360"/>
            <w:tcMar>
              <w:top w:type="dxa" w:w="90"/>
              <w:left w:type="dxa" w:w="140"/>
              <w:bottom w:type="dxa" w:w="90"/>
              <w:right w:type="dxa" w:w="140"/>
            </w:tcMar>
          </w:tcPr>
          <w:p>
            <w:pPr>
              <w:spacing w:after="0" w:line="264"/>
            </w:pPr>
            <w:r>
              <w:rPr>
                <w:b w:val="false"/>
                <w:bCs w:val="false"/>
                <w:color w:val="1C1917"/>
                <w:sz w:val="20"/>
                <w:szCs w:val="20"/>
              </w:rPr>
              <w:t xml:space="preserve">The lot has no production records and no parent lots linked, so nothing proves where it came from. Link them.</w:t>
            </w:r>
          </w:p>
        </w:tc>
      </w:tr>
      <w:tr>
        <w:trPr>
          <w:cantSplit/>
        </w:trPr>
        <w:tc>
          <w:tcPr>
            <w:tcW w:type="dxa" w:w="3000"/>
            <w:shd w:fill="FAFAF9" w:val="clear"/>
            <w:tcMar>
              <w:top w:type="dxa" w:w="90"/>
              <w:left w:type="dxa" w:w="140"/>
              <w:bottom w:type="dxa" w:w="90"/>
              <w:right w:type="dxa" w:w="140"/>
            </w:tcMar>
          </w:tcPr>
          <w:p>
            <w:pPr>
              <w:spacing w:after="0" w:line="264"/>
            </w:pPr>
            <w:r>
              <w:rPr>
                <w:b/>
                <w:bCs/>
                <w:color w:val="1C1917"/>
                <w:sz w:val="20"/>
                <w:szCs w:val="20"/>
              </w:rPr>
              <w:t xml:space="preserve">A lot says blocked</w:t>
            </w:r>
          </w:p>
        </w:tc>
        <w:tc>
          <w:tcPr>
            <w:tcW w:type="dxa" w:w="6360"/>
            <w:shd w:fill="FAFAF9" w:val="clear"/>
            <w:tcMar>
              <w:top w:type="dxa" w:w="90"/>
              <w:left w:type="dxa" w:w="140"/>
              <w:bottom w:type="dxa" w:w="90"/>
              <w:right w:type="dxa" w:w="140"/>
            </w:tcMar>
          </w:tcPr>
          <w:p>
            <w:pPr>
              <w:spacing w:after="0" w:line="264"/>
            </w:pPr>
            <w:r>
              <w:rPr>
                <w:b w:val="false"/>
                <w:bCs w:val="false"/>
                <w:color w:val="1C1917"/>
                <w:sz w:val="20"/>
                <w:szCs w:val="20"/>
              </w:rPr>
              <w:t xml:space="preserve">The mine site status is red. Nothing about the lot can fix that — the site's suspension has to be lifted first.</w:t>
            </w:r>
          </w:p>
        </w:tc>
      </w:tr>
      <w:tr>
        <w:trPr>
          <w:cantSplit/>
        </w:trPr>
        <w:tc>
          <w:tcPr>
            <w:tcW w:type="dxa" w:w="3000"/>
            <w:tcMar>
              <w:top w:type="dxa" w:w="90"/>
              <w:left w:type="dxa" w:w="140"/>
              <w:bottom w:type="dxa" w:w="90"/>
              <w:right w:type="dxa" w:w="140"/>
            </w:tcMar>
          </w:tcPr>
          <w:p>
            <w:pPr>
              <w:spacing w:after="0" w:line="264"/>
            </w:pPr>
            <w:r>
              <w:rPr>
                <w:b/>
                <w:bCs/>
                <w:color w:val="1C1917"/>
                <w:sz w:val="20"/>
                <w:szCs w:val="20"/>
              </w:rPr>
              <w:t xml:space="preserve">A mass-balance warning on a shipment</w:t>
            </w:r>
          </w:p>
        </w:tc>
        <w:tc>
          <w:tcPr>
            <w:tcW w:type="dxa" w:w="6360"/>
            <w:tcMar>
              <w:top w:type="dxa" w:w="90"/>
              <w:left w:type="dxa" w:w="140"/>
              <w:bottom w:type="dxa" w:w="90"/>
              <w:right w:type="dxa" w:w="140"/>
            </w:tcMar>
          </w:tcPr>
          <w:p>
            <w:pPr>
              <w:spacing w:after="0" w:line="264"/>
            </w:pPr>
            <w:r>
              <w:rPr>
                <w:b w:val="false"/>
                <w:bCs w:val="false"/>
                <w:color w:val="1C1917"/>
                <w:sz w:val="20"/>
                <w:szCs w:val="20"/>
              </w:rPr>
              <w:t xml:space="preserve">The shipment weight and the attached lot weights differ by more than 2%. Correct the figures, or record the reason.</w:t>
            </w:r>
          </w:p>
        </w:tc>
      </w:tr>
      <w:tr>
        <w:trPr>
          <w:cantSplit/>
        </w:trPr>
        <w:tc>
          <w:tcPr>
            <w:tcW w:type="dxa" w:w="3000"/>
            <w:shd w:fill="FAFAF9" w:val="clear"/>
            <w:tcMar>
              <w:top w:type="dxa" w:w="90"/>
              <w:left w:type="dxa" w:w="140"/>
              <w:bottom w:type="dxa" w:w="90"/>
              <w:right w:type="dxa" w:w="140"/>
            </w:tcMar>
          </w:tcPr>
          <w:p>
            <w:pPr>
              <w:spacing w:after="0" w:line="264"/>
            </w:pPr>
            <w:r>
              <w:rPr>
                <w:b/>
                <w:bCs/>
                <w:color w:val="1C1917"/>
                <w:sz w:val="20"/>
                <w:szCs w:val="20"/>
              </w:rPr>
              <w:t xml:space="preserve">The handover was refused</w:t>
            </w:r>
          </w:p>
        </w:tc>
        <w:tc>
          <w:tcPr>
            <w:tcW w:type="dxa" w:w="6360"/>
            <w:shd w:fill="FAFAF9" w:val="clear"/>
            <w:tcMar>
              <w:top w:type="dxa" w:w="90"/>
              <w:left w:type="dxa" w:w="140"/>
              <w:bottom w:type="dxa" w:w="90"/>
              <w:right w:type="dxa" w:w="140"/>
            </w:tcMar>
          </w:tcPr>
          <w:p>
            <w:pPr>
              <w:spacing w:after="0" w:line="264"/>
            </w:pPr>
            <w:r>
              <w:rPr>
                <w:b w:val="false"/>
                <w:bCs w:val="false"/>
                <w:color w:val="1C1917"/>
                <w:sz w:val="20"/>
                <w:szCs w:val="20"/>
              </w:rPr>
              <w:t xml:space="preserve">The receiving email does not match an account on the platform.</w:t>
            </w:r>
          </w:p>
        </w:tc>
      </w:tr>
      <w:tr>
        <w:trPr>
          <w:cantSplit/>
        </w:trPr>
        <w:tc>
          <w:tcPr>
            <w:tcW w:type="dxa" w:w="3000"/>
            <w:tcMar>
              <w:top w:type="dxa" w:w="90"/>
              <w:left w:type="dxa" w:w="140"/>
              <w:bottom w:type="dxa" w:w="90"/>
              <w:right w:type="dxa" w:w="140"/>
            </w:tcMar>
          </w:tcPr>
          <w:p>
            <w:pPr>
              <w:spacing w:after="0" w:line="264"/>
            </w:pPr>
            <w:r>
              <w:rPr>
                <w:b/>
                <w:bCs/>
                <w:color w:val="1C1917"/>
                <w:sz w:val="20"/>
                <w:szCs w:val="20"/>
              </w:rPr>
              <w:t xml:space="preserve">Processing will not save</w:t>
            </w:r>
          </w:p>
        </w:tc>
        <w:tc>
          <w:tcPr>
            <w:tcW w:type="dxa" w:w="6360"/>
            <w:tcMar>
              <w:top w:type="dxa" w:w="90"/>
              <w:left w:type="dxa" w:w="140"/>
              <w:bottom w:type="dxa" w:w="90"/>
              <w:right w:type="dxa" w:w="140"/>
            </w:tcMar>
          </w:tcPr>
          <w:p>
            <w:pPr>
              <w:spacing w:after="0" w:line="264"/>
            </w:pPr>
            <w:r>
              <w:rPr>
                <w:b w:val="false"/>
                <w:bCs w:val="false"/>
                <w:color w:val="1C1917"/>
                <w:sz w:val="20"/>
                <w:szCs w:val="20"/>
              </w:rPr>
              <w:t xml:space="preserve">Output plus waste is more than the input weight.</w:t>
            </w:r>
          </w:p>
        </w:tc>
      </w:tr>
      <w:tr>
        <w:trPr>
          <w:cantSplit/>
        </w:trPr>
        <w:tc>
          <w:tcPr>
            <w:tcW w:type="dxa" w:w="3000"/>
            <w:shd w:fill="FAFAF9" w:val="clear"/>
            <w:tcMar>
              <w:top w:type="dxa" w:w="90"/>
              <w:left w:type="dxa" w:w="140"/>
              <w:bottom w:type="dxa" w:w="90"/>
              <w:right w:type="dxa" w:w="140"/>
            </w:tcMar>
          </w:tcPr>
          <w:p>
            <w:pPr>
              <w:spacing w:after="0" w:line="264"/>
            </w:pPr>
            <w:r>
              <w:rPr>
                <w:b/>
                <w:bCs/>
                <w:color w:val="1C1917"/>
                <w:sz w:val="20"/>
                <w:szCs w:val="20"/>
              </w:rPr>
              <w:t xml:space="preserve">A colleague's entry is not showing</w:t>
            </w:r>
          </w:p>
        </w:tc>
        <w:tc>
          <w:tcPr>
            <w:tcW w:type="dxa" w:w="6360"/>
            <w:shd w:fill="FAFAF9" w:val="clear"/>
            <w:tcMar>
              <w:top w:type="dxa" w:w="90"/>
              <w:left w:type="dxa" w:w="140"/>
              <w:bottom w:type="dxa" w:w="90"/>
              <w:right w:type="dxa" w:w="140"/>
            </w:tcMar>
          </w:tcPr>
          <w:p>
            <w:pPr>
              <w:spacing w:after="0" w:line="264"/>
            </w:pPr>
            <w:r>
              <w:rPr>
                <w:b w:val="false"/>
                <w:bCs w:val="false"/>
                <w:color w:val="1C1917"/>
                <w:sz w:val="20"/>
                <w:szCs w:val="20"/>
              </w:rPr>
              <w:t xml:space="preserve">Click Refresh at the top right of the Compliance tab.</w:t>
            </w:r>
          </w:p>
        </w:tc>
      </w:tr>
    </w:tbl>
    <w:p>
      <w:pPr>
        <w:spacing w:after="200"/>
      </w:pPr>
    </w:p>
    <w:tbl>
      <w:tblPr>
        <w:tblW w:type="dxa" w:w="9360"/>
        <w:tblBorders>
          <w:top w:val="single" w:color="D6D3D1" w:sz="2"/>
          <w:left w:val="single" w:color="1F6F54" w:sz="18"/>
          <w:bottom w:val="single" w:color="D6D3D1" w:sz="2"/>
          <w:right w:val="single" w:color="D6D3D1" w:sz="2"/>
          <w:insideH w:val="none" w:color="FFFFFF" w:sz="0"/>
          <w:insideV w:val="none" w:color="FFFFFF" w:sz="0"/>
        </w:tblBorders>
      </w:tblPr>
      <w:tblGrid>
        <w:gridCol w:w="9360"/>
      </w:tblGrid>
      <w:tr>
        <w:trPr>
          <w:cantSplit/>
        </w:trPr>
        <w:tc>
          <w:tcPr>
            <w:tcW w:type="dxa" w:w="9360"/>
            <w:shd w:fill="F5F5F4" w:val="clear"/>
            <w:tcMar>
              <w:top w:type="dxa" w:w="140"/>
              <w:left w:type="dxa" w:w="200"/>
              <w:bottom w:type="dxa" w:w="140"/>
              <w:right w:type="dxa" w:w="200"/>
            </w:tcMar>
          </w:tcPr>
          <w:p>
            <w:pPr>
              <w:spacing w:after="60"/>
            </w:pPr>
            <w:r>
              <w:rPr>
                <w:b/>
                <w:bCs/>
                <w:color w:val="1C1917"/>
                <w:sz w:val="21"/>
                <w:szCs w:val="21"/>
              </w:rPr>
              <w:t xml:space="preserve">A habit worth forming</w:t>
            </w:r>
          </w:p>
          <w:p>
            <w:pPr>
              <w:spacing w:after="0" w:line="276"/>
            </w:pPr>
            <w:r>
              <w:rPr>
                <w:color w:val="57534E"/>
                <w:sz w:val="21"/>
                <w:szCs w:val="21"/>
              </w:rPr>
              <w:t xml:space="preserve">Open the Status board once a week and work down the “Needs work” group. Every item there is something an export officer would stop you for, written as a single instruction. Clearing them as they appear is far easier than clearing thirty of them the week a shipment is due.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right"/>
    </w:pPr>
    <w:r>
      <w:rPr>
        <w:color w:val="57534E"/>
        <w:sz w:val="16"/>
        <w:szCs w:val="16"/>
      </w:rPr>
      <w:t xml:space="preserve">Lots &amp; Compliance — user guide</w:t>
    </w:r>
    <w:r>
      <w:rPr>
        <w:sz w:val="16"/>
        <w:szCs w:val="16"/>
      </w:rPr>
      <w:t xml:space="preserve">    </w:t>
    </w:r>
    <w:r>
      <w:rPr>
        <w:color w:val="5753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Lots &amp; Compliance — User Guide</dc:title>
  <dc:creator>FieldEyes Mineral Platform</dc:creator>
  <dc:description>A simple guide to the Lots &amp; Compliance section for all supply-chain roles</dc:description>
  <cp:lastModifiedBy>Un-named</cp:lastModifiedBy>
  <cp:revision>1</cp:revision>
  <dcterms:created xsi:type="dcterms:W3CDTF">2026-08-05T06:53:18.098Z</dcterms:created>
  <dcterms:modified xsi:type="dcterms:W3CDTF">2026-08-05T06:53:18.099Z</dcterms:modified>
</cp:coreProperties>
</file>

<file path=docProps/custom.xml><?xml version="1.0" encoding="utf-8"?>
<Properties xmlns="http://schemas.openxmlformats.org/officeDocument/2006/custom-properties" xmlns:vt="http://schemas.openxmlformats.org/officeDocument/2006/docPropsVTypes"/>
</file>