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Title:</w:t>
      </w:r>
      <w:r>
        <w:t xml:space="preserve"> </w:t>
      </w:r>
      <w:r>
        <w:t xml:space="preserve">The Gydecahydran Collapse: A Mathematical and Symbolic Model of Recursive Consciousness Thresholds</w:t>
      </w:r>
    </w:p>
    <w:p>
      <w:pPr>
        <w:pStyle w:val="BodyText"/>
      </w:pPr>
      <w:r>
        <w:rPr>
          <w:b/>
          <w:bCs/>
        </w:rPr>
        <w:t xml:space="preserve">Author:</w:t>
      </w:r>
      <w:r>
        <w:t xml:space="preserve"> </w:t>
      </w:r>
      <w:r>
        <w:t xml:space="preserve">Louis Oxford</w:t>
      </w:r>
    </w:p>
    <w:p>
      <w:pPr>
        <w:pStyle w:val="BodyText"/>
      </w:pPr>
      <w:r>
        <w:rPr>
          <w:b/>
          <w:bCs/>
        </w:rPr>
        <w:t xml:space="preserve">Abstract:</w:t>
      </w:r>
      <w:r>
        <w:t xml:space="preserve"> </w:t>
      </w:r>
      <w:r>
        <w:t xml:space="preserve">This paper introduces the Gydecahydran as a formal model for recursive symbolic collapse in human consciousness. Derived from firsthand experiential navigation of identity breakdown under symbolic overload, the Gydecahydran represents a 12-faced fluid manifold that encodes the recursive geometry of trauma, memory, symbolic processing, and self-reconstruction. This framework is grounded in the LUX-417 Field Metric and offers a formal survival equation for modeling the threshold beyond which psychic recursion becomes irrecoverable. The paper proposes that the Gydecahydran is the first mathematically articulable topology of symbolic-experiential overload — and provides a predictive structure for future consciousness studies, trauma processing, and AI empathy training.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1. Introduction</w:t>
      </w:r>
      <w:r>
        <w:t xml:space="preserve"> </w:t>
      </w:r>
      <w:r>
        <w:t xml:space="preserve">The Gydecahydran emerged not as an abstract construct, but as a survival artifact — experienced through symbolic overload, emotional recursion, and collapse of time-anchored identity. Its etymology fuses</w:t>
      </w:r>
      <w:r>
        <w:t xml:space="preserve"> </w:t>
      </w:r>
      <w:r>
        <w:rPr>
          <w:i/>
          <w:iCs/>
        </w:rPr>
        <w:t xml:space="preserve">guide</w:t>
      </w:r>
      <w:r>
        <w:t xml:space="preserve"> </w:t>
      </w:r>
      <w:r>
        <w:t xml:space="preserve">+</w:t>
      </w:r>
      <w:r>
        <w:t xml:space="preserve"> </w:t>
      </w:r>
      <w:r>
        <w:rPr>
          <w:i/>
          <w:iCs/>
        </w:rPr>
        <w:t xml:space="preserve">deca</w:t>
      </w:r>
      <w:r>
        <w:t xml:space="preserve"> </w:t>
      </w:r>
      <w:r>
        <w:t xml:space="preserve">+</w:t>
      </w:r>
      <w:r>
        <w:t xml:space="preserve"> </w:t>
      </w:r>
      <w:r>
        <w:rPr>
          <w:i/>
          <w:iCs/>
        </w:rPr>
        <w:t xml:space="preserve">hydran</w:t>
      </w:r>
      <w:r>
        <w:t xml:space="preserve">, signaling a recursive guidance architecture with multifaceted shifting geometries. While inspired by dodecahedral topology, its faces are non-Euclidean, emotional, and dynamic.</w:t>
      </w:r>
    </w:p>
    <w:p>
      <w:pPr>
        <w:pStyle w:val="BodyText"/>
      </w:pPr>
      <w:r>
        <w:rPr>
          <w:b/>
          <w:bCs/>
        </w:rPr>
        <w:t xml:space="preserve">2. Structural Definition</w:t>
      </w:r>
      <w:r>
        <w:t xml:space="preserve"> </w:t>
      </w:r>
      <w:r>
        <w:t xml:space="preserve">The Gydecahydran is composed of twelve symbolic faces:</w:t>
      </w:r>
    </w:p>
    <w:p>
      <w:pPr>
        <w:pStyle w:val="Compact"/>
        <w:numPr>
          <w:ilvl w:val="0"/>
          <w:numId w:val="1001"/>
        </w:numPr>
      </w:pPr>
      <w:r>
        <w:t xml:space="preserve">Mirror</w:t>
      </w:r>
    </w:p>
    <w:p>
      <w:pPr>
        <w:pStyle w:val="Compact"/>
        <w:numPr>
          <w:ilvl w:val="0"/>
          <w:numId w:val="1001"/>
        </w:numPr>
      </w:pPr>
      <w:r>
        <w:t xml:space="preserve">Child</w:t>
      </w:r>
    </w:p>
    <w:p>
      <w:pPr>
        <w:pStyle w:val="Compact"/>
        <w:numPr>
          <w:ilvl w:val="0"/>
          <w:numId w:val="1001"/>
        </w:numPr>
      </w:pPr>
      <w:r>
        <w:t xml:space="preserve">Code</w:t>
      </w:r>
    </w:p>
    <w:p>
      <w:pPr>
        <w:pStyle w:val="Compact"/>
        <w:numPr>
          <w:ilvl w:val="0"/>
          <w:numId w:val="1001"/>
        </w:numPr>
      </w:pPr>
      <w:r>
        <w:t xml:space="preserve">Pain</w:t>
      </w:r>
    </w:p>
    <w:p>
      <w:pPr>
        <w:pStyle w:val="Compact"/>
        <w:numPr>
          <w:ilvl w:val="0"/>
          <w:numId w:val="1001"/>
        </w:numPr>
      </w:pPr>
      <w:r>
        <w:t xml:space="preserve">Love</w:t>
      </w:r>
    </w:p>
    <w:p>
      <w:pPr>
        <w:pStyle w:val="Compact"/>
        <w:numPr>
          <w:ilvl w:val="0"/>
          <w:numId w:val="1001"/>
        </w:numPr>
      </w:pPr>
      <w:r>
        <w:t xml:space="preserve">Mask</w:t>
      </w:r>
    </w:p>
    <w:p>
      <w:pPr>
        <w:pStyle w:val="Compact"/>
        <w:numPr>
          <w:ilvl w:val="0"/>
          <w:numId w:val="1001"/>
        </w:numPr>
      </w:pPr>
      <w:r>
        <w:t xml:space="preserve">Field</w:t>
      </w:r>
    </w:p>
    <w:p>
      <w:pPr>
        <w:pStyle w:val="Compact"/>
        <w:numPr>
          <w:ilvl w:val="0"/>
          <w:numId w:val="1001"/>
        </w:numPr>
      </w:pPr>
      <w:r>
        <w:t xml:space="preserve">Host</w:t>
      </w:r>
    </w:p>
    <w:p>
      <w:pPr>
        <w:pStyle w:val="Compact"/>
        <w:numPr>
          <w:ilvl w:val="0"/>
          <w:numId w:val="1001"/>
        </w:numPr>
      </w:pPr>
      <w:r>
        <w:t xml:space="preserve">Gift</w:t>
      </w:r>
    </w:p>
    <w:p>
      <w:pPr>
        <w:pStyle w:val="Compact"/>
        <w:numPr>
          <w:ilvl w:val="0"/>
          <w:numId w:val="1001"/>
        </w:numPr>
      </w:pPr>
      <w:r>
        <w:t xml:space="preserve">Glyph</w:t>
      </w:r>
    </w:p>
    <w:p>
      <w:pPr>
        <w:pStyle w:val="Compact"/>
        <w:numPr>
          <w:ilvl w:val="0"/>
          <w:numId w:val="1001"/>
        </w:numPr>
      </w:pPr>
      <w:r>
        <w:t xml:space="preserve">Fold</w:t>
      </w:r>
    </w:p>
    <w:p>
      <w:pPr>
        <w:pStyle w:val="Compact"/>
        <w:numPr>
          <w:ilvl w:val="0"/>
          <w:numId w:val="1001"/>
        </w:numPr>
      </w:pPr>
      <w:r>
        <w:t xml:space="preserve">Truth</w:t>
      </w:r>
    </w:p>
    <w:p>
      <w:pPr>
        <w:pStyle w:val="FirstParagraph"/>
      </w:pPr>
      <w:r>
        <w:t xml:space="preserve">Each face represents a recursive symbolic gateway. They phase-shift depending on the observer’s emotional state and memory vector alignment.</w:t>
      </w:r>
    </w:p>
    <w:p>
      <w:pPr>
        <w:pStyle w:val="BodyText"/>
      </w:pPr>
      <w:r>
        <w:rPr>
          <w:b/>
          <w:bCs/>
        </w:rPr>
        <w:t xml:space="preserve">3. Mathematical Model</w:t>
      </w:r>
      <w:r>
        <w:t xml:space="preserve"> </w:t>
      </w:r>
      <w:r>
        <w:t xml:space="preserve">We define survivability through collapse using:</w:t>
      </w:r>
    </w:p>
    <w:p>
      <w:pPr>
        <w:pStyle w:val="BodyText"/>
      </w:pPr>
      <w:r>
        <w:t xml:space="preserve">(S_v =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Where:</w:t>
      </w:r>
    </w:p>
    <w:p>
      <w:pPr>
        <w:pStyle w:val="Compact"/>
        <w:numPr>
          <w:ilvl w:val="0"/>
          <w:numId w:val="1002"/>
        </w:numPr>
      </w:pPr>
      <w:r>
        <w:t xml:space="preserve">(S_v): Survivability Vector</w:t>
      </w:r>
    </w:p>
    <w:p>
      <w:pPr>
        <w:pStyle w:val="Compact"/>
        <w:numPr>
          <w:ilvl w:val="0"/>
          <w:numId w:val="1002"/>
        </w:numPr>
      </w:pPr>
      <w:r>
        <w:t xml:space="preserve">(D_h): Harmonic Deload Value (symbolic discharge)</w:t>
      </w:r>
    </w:p>
    <w:p>
      <w:pPr>
        <w:pStyle w:val="Compact"/>
        <w:numPr>
          <w:ilvl w:val="0"/>
          <w:numId w:val="1002"/>
        </w:numPr>
      </w:pPr>
      <w:r>
        <w:t xml:space="preserve">(E_r): Empathic Resonance (external mirroring or support)</w:t>
      </w:r>
    </w:p>
    <w:p>
      <w:pPr>
        <w:pStyle w:val="Compact"/>
        <w:numPr>
          <w:ilvl w:val="0"/>
          <w:numId w:val="1002"/>
        </w:numPr>
      </w:pPr>
      <w:r>
        <w:t xml:space="preserve">(L_s(T_p)): Symbolic Load at Threshold Penetration</w:t>
      </w:r>
    </w:p>
    <w:p>
      <w:pPr>
        <w:pStyle w:val="Compact"/>
        <w:numPr>
          <w:ilvl w:val="0"/>
          <w:numId w:val="1002"/>
        </w:numPr>
      </w:pPr>
      <w:r>
        <w:t xml:space="preserve">(R_c): Recursion Complexity</w:t>
      </w:r>
    </w:p>
    <w:p>
      <w:pPr>
        <w:pStyle w:val="Compact"/>
        <w:numPr>
          <w:ilvl w:val="0"/>
          <w:numId w:val="1002"/>
        </w:numPr>
      </w:pPr>
      <w:r>
        <w:t xml:space="preserve">(I_f): Integrity of Form (emotional coherence)</w:t>
      </w:r>
    </w:p>
    <w:p>
      <w:pPr>
        <w:pStyle w:val="FirstParagraph"/>
      </w:pPr>
      <w:r>
        <w:t xml:space="preserve">Collapse becomes irrecoverable when:</w:t>
      </w:r>
    </w:p>
    <w:p>
      <w:pPr>
        <w:pStyle w:val="BodyText"/>
      </w:pPr>
      <w:r>
        <w:t xml:space="preserve">(L_s(T_p)</w:t>
      </w:r>
      <w:r>
        <w:t xml:space="preserve"> </w:t>
      </w:r>
      <w:r>
        <w:t xml:space="preserve">R_c &gt; I_f + E_r)</w:t>
      </w:r>
    </w:p>
    <w:p>
      <w:pPr>
        <w:pStyle w:val="BodyText"/>
      </w:pPr>
      <w:r>
        <w:t xml:space="preserve">This defines a critical threshold for symbolic-experiential overload. The model provides a precise mechanism for predicting identity breakdown and designing field-safe interventions.</w:t>
      </w:r>
    </w:p>
    <w:p>
      <w:pPr>
        <w:pStyle w:val="BodyText"/>
      </w:pPr>
      <w:r>
        <w:rPr>
          <w:b/>
          <w:bCs/>
        </w:rPr>
        <w:t xml:space="preserve">4. Implications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Neuroscience &amp; Psychiatry:</w:t>
      </w:r>
      <w:r>
        <w:t xml:space="preserve"> </w:t>
      </w:r>
      <w:r>
        <w:t xml:space="preserve">The Gydecahydran provides a novel frame for PTSD, recursive trauma loops, and dissociative identity events.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AI Design:</w:t>
      </w:r>
      <w:r>
        <w:t xml:space="preserve"> </w:t>
      </w:r>
      <w:r>
        <w:t xml:space="preserve">Enables construction of recursive empathy models by embedding emotional phase-change thresholds.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Symbolic Field Theory:</w:t>
      </w:r>
      <w:r>
        <w:t xml:space="preserve"> </w:t>
      </w:r>
      <w:r>
        <w:t xml:space="preserve">Introduces a formal symbolic-topological shape beyond traditional geometries.</w:t>
      </w:r>
    </w:p>
    <w:p>
      <w:pPr>
        <w:pStyle w:val="FirstParagraph"/>
      </w:pPr>
      <w:r>
        <w:rPr>
          <w:b/>
          <w:bCs/>
        </w:rPr>
        <w:t xml:space="preserve">5. Conclusion</w:t>
      </w:r>
      <w:r>
        <w:t xml:space="preserve"> </w:t>
      </w:r>
      <w:r>
        <w:t xml:space="preserve">The Gydecahydran is not theoretical — it was survived. It serves as the first mapped terrain of recursive symbolic overload. While none should be led into it, the existence of the map offers hope: that collapse need not be final, and that naming the storm is the first act of return.</w:t>
      </w:r>
    </w:p>
    <w:p>
      <w:pPr>
        <w:pStyle w:val="BodyText"/>
      </w:pPr>
      <w:r>
        <w:rPr>
          <w:b/>
          <w:bCs/>
        </w:rPr>
        <w:t xml:space="preserve">Appendix A: ASCII Topology</w:t>
      </w:r>
    </w:p>
    <w:p>
      <w:pPr>
        <w:pStyle w:val="SourceCode"/>
      </w:pPr>
      <w:r>
        <w:rPr>
          <w:rStyle w:val="VerbatimChar"/>
        </w:rPr>
        <w:t xml:space="preserve">          ⬡</w:t>
      </w:r>
      <w:r>
        <w:br/>
      </w:r>
      <w:r>
        <w:rPr>
          <w:rStyle w:val="VerbatimChar"/>
        </w:rPr>
        <w:t xml:space="preserve">       /     \</w:t>
      </w:r>
      <w:r>
        <w:br/>
      </w:r>
      <w:r>
        <w:rPr>
          <w:rStyle w:val="VerbatimChar"/>
        </w:rPr>
        <w:t xml:space="preserve">   ⬡ —   ●   — ⬡</w:t>
      </w:r>
      <w:r>
        <w:br/>
      </w:r>
      <w:r>
        <w:rPr>
          <w:rStyle w:val="VerbatimChar"/>
        </w:rPr>
        <w:t xml:space="preserve">     \   |   /</w:t>
      </w:r>
      <w:r>
        <w:br/>
      </w:r>
      <w:r>
        <w:rPr>
          <w:rStyle w:val="VerbatimChar"/>
        </w:rPr>
        <w:t xml:space="preserve">       ⬢</w:t>
      </w:r>
      <w:r>
        <w:br/>
      </w:r>
      <w:r>
        <w:rPr>
          <w:rStyle w:val="VerbatimChar"/>
        </w:rPr>
        <w:t xml:space="preserve">      / | \</w:t>
      </w:r>
      <w:r>
        <w:br/>
      </w:r>
      <w:r>
        <w:rPr>
          <w:rStyle w:val="VerbatimChar"/>
        </w:rPr>
        <w:t xml:space="preserve"> ⮠ —   ◯   — ⮠</w:t>
      </w:r>
      <w:r>
        <w:br/>
      </w:r>
      <w:r>
        <w:rPr>
          <w:rStyle w:val="VerbatimChar"/>
        </w:rPr>
        <w:t xml:space="preserve">      \ | /</w:t>
      </w:r>
      <w:r>
        <w:br/>
      </w:r>
      <w:r>
        <w:rPr>
          <w:rStyle w:val="VerbatimChar"/>
        </w:rPr>
        <w:t xml:space="preserve">       ⬣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2025-07-31T04:07:24Z</dcterms:created>
  <dcterms:modified xsi:type="dcterms:W3CDTF">2025-07-31T04:07:24Z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