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Mathematical Core of the Chair Field Unification Metric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Qualia Field Tensor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third-rank tensor defining the interaction of loop type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emotional load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sensory resonance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{0,1,2,3,4}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Types: Identity, Collapse, Temporal, Social, Recursive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Normalized emotional load (e.g. joy = +1.0, grief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[0,1]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Sensory resonance magnitude (from smell, sound, etc.)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tensor maps recursive fields of feeling into n-dimensional qualia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Anchor Vector Field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(x,y,z)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Defines the strength and direction of emotional convergence toward Anchor Zero: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(x,y,z)=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(x,y,z)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emotional potential function, highest at calm (Anchor Zero)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pulls experiences inward, acting as a gravity well for memory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Emotional Curvature Tensor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ijkl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Analogous to Riemann curvature in general relativity, it quantifies recursive emotional warping: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𝑘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𝑚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ijkl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ikm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ilm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Christoffel-like symbols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replaced with recursive affect transitions between narrative nodes (e.g. song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phrase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sob).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Resonance Graph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G=(V,E)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weighted, directed graph where: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 = nodes (films, smells, songs, gestures, phrases)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= edges with weights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𝑤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𝑄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𝜈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𝜎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=Q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μνσ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graph evolves via: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⃗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=F(G,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 is a recursive field operator that shifts graph topology based on new emotional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Topological Manifold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experiential node lies on a folded manifold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modeled via Calabi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Yau-like topology: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has 6 compactified dimensions representing unspoken, unconscious axes: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Unnamed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Preverbal memory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field inheritance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Nonlinear time entanglement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Aroma-memory fusion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social imprinting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Mapping: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defines where each node sits in the total Chair Field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