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6D" w:rsidRPr="00A44ECB" w:rsidRDefault="0023636D" w:rsidP="00EC54C5">
      <w:pPr>
        <w:pageBreakBefore/>
        <w:widowControl w:val="0"/>
        <w:pBdr>
          <w:bottom w:val="thickThinLargeGap" w:sz="18" w:space="1" w:color="4F81BD"/>
          <w:right w:val="thickThinLargeGap" w:sz="18" w:space="13" w:color="4F81BD"/>
        </w:pBdr>
        <w:shd w:val="clear" w:color="auto" w:fill="365F91" w:themeFill="accent1" w:themeFillShade="BF"/>
        <w:spacing w:after="480"/>
        <w:ind w:left="28" w:right="113"/>
        <w:outlineLvl w:val="0"/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</w:pPr>
      <w:bookmarkStart w:id="0" w:name="_Toc340738932"/>
      <w:r w:rsidRPr="0023636D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>.Information</w:t>
      </w:r>
      <w:r w:rsidR="00883614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>s</w:t>
      </w:r>
      <w:r w:rsidRPr="0023636D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 xml:space="preserve"> importantes</w:t>
      </w:r>
      <w:bookmarkEnd w:id="0"/>
    </w:p>
    <w:tbl>
      <w:tblPr>
        <w:tblW w:w="9376" w:type="dxa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5"/>
        <w:gridCol w:w="7381"/>
      </w:tblGrid>
      <w:tr w:rsidR="0023636D" w:rsidRPr="0023636D" w:rsidTr="00902058">
        <w:trPr>
          <w:cantSplit/>
          <w:trHeight w:val="4103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EC54C5" w:rsidRDefault="00CA4B25" w:rsidP="003B0BBB">
            <w:pPr>
              <w:spacing w:after="120" w:line="240" w:lineRule="auto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t>Méthodologie</w:t>
            </w:r>
            <w:r w:rsidR="00C62314"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t xml:space="preserve"> </w:t>
            </w:r>
          </w:p>
          <w:p w:rsidR="0023636D" w:rsidRPr="0023636D" w:rsidRDefault="00CA4B25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>
              <w:rPr>
                <w:noProof/>
                <w:color w:val="365F91" w:themeColor="accent1" w:themeShade="BF"/>
                <w:lang w:eastAsia="fr-FR"/>
              </w:rPr>
              <w:drawing>
                <wp:inline distT="0" distB="0" distL="0" distR="0" wp14:anchorId="39B15C02" wp14:editId="64238D2B">
                  <wp:extent cx="1192377" cy="1477670"/>
                  <wp:effectExtent l="0" t="0" r="8255" b="8255"/>
                  <wp:docPr id="4" name="Image 4" descr="C:\Users\Tous\AppData\Local\Microsoft\Windows\Temporary Internet Files\Content.Outlook\T5A9EU1F\index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ous\AppData\Local\Microsoft\Windows\Temporary Internet Files\Content.Outlook\T5A9EU1F\index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251" cy="147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right w:w="170" w:type="dxa"/>
            </w:tcMar>
          </w:tcPr>
          <w:p w:rsidR="002C7BEB" w:rsidRDefault="002C7BEB" w:rsidP="0023636D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</w:rPr>
            </w:pPr>
            <w:r w:rsidRPr="00767DAE">
              <w:rPr>
                <w:rFonts w:ascii="Palatino Linotype" w:eastAsia="Calibri" w:hAnsi="Palatino Linotype" w:cs="Times New Roman"/>
                <w:b/>
                <w:bCs/>
                <w:sz w:val="20"/>
                <w:u w:val="single"/>
              </w:rPr>
              <w:t>HYPOTHES</w:t>
            </w:r>
            <w:r w:rsidR="004925E1" w:rsidRPr="00767DAE">
              <w:rPr>
                <w:rFonts w:ascii="Palatino Linotype" w:eastAsia="Calibri" w:hAnsi="Palatino Linotype" w:cs="Times New Roman"/>
                <w:b/>
                <w:bCs/>
                <w:sz w:val="20"/>
                <w:u w:val="single"/>
              </w:rPr>
              <w:t>ES PRISES PAR L’ENTREPRISE VM Constructions</w:t>
            </w:r>
            <w:r w:rsidR="004925E1">
              <w:rPr>
                <w:rFonts w:ascii="Palatino Linotype" w:eastAsia="Calibri" w:hAnsi="Palatino Linotype" w:cs="Times New Roman"/>
                <w:b/>
                <w:bCs/>
                <w:sz w:val="20"/>
              </w:rPr>
              <w:t> :</w:t>
            </w:r>
          </w:p>
          <w:p w:rsidR="00317D4D" w:rsidRPr="00CA4B25" w:rsidRDefault="00317D4D" w:rsidP="00AF3BC4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Des bennes à déchets seront</w:t>
            </w:r>
            <w:r w:rsidR="00A05954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installées 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sur la </w:t>
            </w:r>
            <w:r w:rsidR="00B3781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Place du Marché</w:t>
            </w: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E80CE3" w:rsidRPr="00CA4B25" w:rsidRDefault="00E80CE3" w:rsidP="00AF3BC4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Les déchets de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curage seront acheminés jusqu’aux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bennes par coltinage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604C8F" w:rsidRPr="00CA4B25" w:rsidRDefault="00604C8F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Mise en place d’un échafaudage</w:t>
            </w:r>
            <w:r w:rsidR="00193F9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Cour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commun à tous les lots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(l’échafaudage de la </w:t>
            </w:r>
            <w:r w:rsidR="00B3781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Place du Marché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pour l’exécution du ravalement sera monté dans un second temps)</w:t>
            </w:r>
          </w:p>
          <w:p w:rsidR="006727A3" w:rsidRPr="005428AE" w:rsidRDefault="00455928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5428AE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. Mise en place d’un monte-matériaux</w:t>
            </w:r>
            <w:r w:rsidR="0059559C" w:rsidRPr="005428AE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côté place du marché</w:t>
            </w:r>
            <w:r w:rsidR="00577202" w:rsidRPr="005428AE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pour approvisionnement des matériaux</w:t>
            </w:r>
            <w:r w:rsidR="006727A3" w:rsidRPr="005428AE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4925E1" w:rsidRDefault="006727A3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.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La base vie est prévue installée 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au </w:t>
            </w:r>
            <w:r w:rsidR="00B3781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Rez-de-Chaussée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455928" w:rsidRDefault="00455928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</w:p>
          <w:p w:rsidR="00867AEF" w:rsidRDefault="00804EF0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AA6F3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Le PHASAGE de l’opération est détaillé</w:t>
            </w:r>
            <w:r w:rsidR="0090205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dans le présent document ainsi qu’</w:t>
            </w:r>
            <w:r w:rsidR="00AA6F3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au chapitre «Présentation du Projet - Mode Opératoire » et « Organisation/Planification » du présent Mémoire Technique </w:t>
            </w:r>
          </w:p>
          <w:p w:rsidR="00193F95" w:rsidRDefault="00193F95" w:rsidP="00EC06D6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</w:p>
          <w:p w:rsidR="00260674" w:rsidRPr="0023636D" w:rsidRDefault="00260674" w:rsidP="003B0BBB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</w:rPr>
            </w:pPr>
          </w:p>
        </w:tc>
      </w:tr>
      <w:tr w:rsidR="003B0BBB" w:rsidRPr="0023636D" w:rsidTr="00902058">
        <w:trPr>
          <w:cantSplit/>
          <w:trHeight w:val="132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3B0BBB" w:rsidRPr="00EC54C5" w:rsidRDefault="003B0BBB" w:rsidP="003B0BBB">
            <w:pPr>
              <w:spacing w:after="120" w:line="240" w:lineRule="auto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lastRenderedPageBreak/>
              <w:t>Méthodologie</w:t>
            </w:r>
          </w:p>
          <w:p w:rsidR="003B0BBB" w:rsidRPr="00EC54C5" w:rsidRDefault="003B0BBB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>
              <w:rPr>
                <w:noProof/>
                <w:color w:val="365F91" w:themeColor="accent1" w:themeShade="BF"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C76673F" wp14:editId="35638E77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155575</wp:posOffset>
                  </wp:positionV>
                  <wp:extent cx="1191895" cy="1477645"/>
                  <wp:effectExtent l="0" t="0" r="8255" b="8255"/>
                  <wp:wrapThrough wrapText="bothSides">
                    <wp:wrapPolygon edited="0">
                      <wp:start x="0" y="0"/>
                      <wp:lineTo x="0" y="21442"/>
                      <wp:lineTo x="21404" y="21442"/>
                      <wp:lineTo x="21404" y="0"/>
                      <wp:lineTo x="0" y="0"/>
                    </wp:wrapPolygon>
                  </wp:wrapThrough>
                  <wp:docPr id="11" name="Image 11" descr="C:\Users\Tous\AppData\Local\Microsoft\Windows\Temporary Internet Files\Content.Outlook\T5A9EU1F\index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ous\AppData\Local\Microsoft\Windows\Temporary Internet Files\Content.Outlook\T5A9EU1F\index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895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CF7A3C" w:rsidRPr="005428AE" w:rsidRDefault="00902058" w:rsidP="00CF7A3C">
            <w:pPr>
              <w:rPr>
                <w:b/>
                <w:i/>
                <w:sz w:val="18"/>
              </w:rPr>
            </w:pPr>
            <w:r w:rsidRPr="005428AE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</w:rPr>
              <w:t xml:space="preserve">Mode opératoire : </w:t>
            </w:r>
            <w:r w:rsidRPr="005428AE">
              <w:rPr>
                <w:b/>
                <w:i/>
                <w:sz w:val="18"/>
              </w:rPr>
              <w:t xml:space="preserve">Pour optimiser le planning les travaux de GO s’effectueront en temps masqué des travaux de curage.  </w:t>
            </w:r>
          </w:p>
          <w:p w:rsidR="00CF7A3C" w:rsidRPr="005428AE" w:rsidRDefault="00CF7A3C" w:rsidP="00CF7A3C">
            <w:pPr>
              <w:numPr>
                <w:ilvl w:val="0"/>
                <w:numId w:val="10"/>
              </w:numPr>
              <w:contextualSpacing/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</w:rPr>
            </w:pPr>
            <w:r w:rsidRPr="005428AE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</w:rPr>
              <w:t xml:space="preserve">Mode opératoire : </w:t>
            </w:r>
          </w:p>
          <w:p w:rsidR="00CF7A3C" w:rsidRPr="005428AE" w:rsidRDefault="00CF7A3C" w:rsidP="00CF7A3C">
            <w:pPr>
              <w:spacing w:after="120"/>
              <w:ind w:left="720"/>
              <w:contextualSpacing/>
              <w:jc w:val="both"/>
              <w:rPr>
                <w:rFonts w:ascii="Palatino Linotype" w:eastAsia="Calibri" w:hAnsi="Palatino Linotype" w:cs="Times New Roman"/>
                <w:i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i/>
                <w:sz w:val="20"/>
              </w:rPr>
              <w:t xml:space="preserve">Pour optimiser le planning les travaux de GO s’effectueront en temps masqué des travaux de curage.  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Installation Extérieure (zone bennes et livraisons par clôture type « ville de Paris) et Intérieure (au Rez-de-Chaussée) pour le personnel Curage, GO et TCE,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Démarrage du curage, 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Curage du 5</w:t>
            </w:r>
            <w:r w:rsidRPr="005428AE">
              <w:rPr>
                <w:rFonts w:ascii="Palatino Linotype" w:eastAsia="Calibri" w:hAnsi="Palatino Linotype" w:cs="Times New Roman"/>
                <w:sz w:val="20"/>
                <w:vertAlign w:val="superscript"/>
              </w:rPr>
              <w:t>ème</w:t>
            </w: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 au RdeC (évacuation des gravats par goulotte extérieure dans tours étais bâchées afin d’éviter la propagation des poussières ou par cage d’escalier  démolie jusqu’au RdeC puis évacuation mécanisée.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Démolition des ouvrages extérieurs.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Reprise en sous-œuvre du sous-sol existant par passes alternées.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Reprise en sous-œuvre des zones en terre plain. 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Fouille en masse et évacuation par engins mécaniques.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Réalisation des maçonneries porteuses, poutres poteaux compris fondations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Réalisation des réseaux enterrés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Coulage du dallage du sous-sol 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Création du plancher bas Rez-de-Chaussée 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Déménagement de l’installation N°1 et installation N°2 au Sous-Sol ensemble du personnel TCE + Salle de réunion/Bureau,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Démolition de la charpente couverture.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Création du plancher haut R+4 et reconstruction compris surélévations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Mise en œuvre de la charpente couverture.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Démolition  du plancher haut Rez-de-chaussée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Mise en œuvre des murs porteurs, poteaux/poutres Rez-de-Chaussée.</w:t>
            </w:r>
          </w:p>
          <w:p w:rsidR="00CF7A3C" w:rsidRPr="005428AE" w:rsidRDefault="00CF7A3C" w:rsidP="00CF7A3C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i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b/>
                <w:i/>
                <w:sz w:val="20"/>
                <w:u w:val="single"/>
              </w:rPr>
              <w:t>NOTA </w:t>
            </w:r>
            <w:r w:rsidRPr="005428AE">
              <w:rPr>
                <w:rFonts w:ascii="Palatino Linotype" w:eastAsia="Calibri" w:hAnsi="Palatino Linotype" w:cs="Times New Roman"/>
                <w:i/>
                <w:sz w:val="20"/>
              </w:rPr>
              <w:t xml:space="preserve">: La protection « hors d’air » sera assurée par des panneaux Méthacrylate dès curage des menuiseries extérieures. 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Mise en place du plancher haut Rez-de-chaussée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Mise en œuvre des murs porteurs, poteaux/poutres R+1.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Coulage plancher haut du R+1 compris réservations lots techniques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Mise en œuvre des murs porteurs, poteaux/poutres R+2.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Coulage plancher haut du R+2 compris réservations lots techniques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lastRenderedPageBreak/>
              <w:t>Mise en œuvre des murs porteurs, poteaux/poutres R+3.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Coulage plancher haut du R+3 compris réservations lots techniques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Reprise et création des ouvertures dans murs existant tous niveaux du Rez-de-Chaussée au R+4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Mise en œuvre des murs en maçonnerie R+4.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Travaux de Gros-Œuvre du sous-sol au R+5 Gaines ascenseurs, Escaliers en suivant l’avancement des niveaux de planchers crée.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Elévation des escaliers du Sous-Sol en remontant dans les étages, </w:t>
            </w:r>
          </w:p>
          <w:p w:rsidR="00CF7A3C" w:rsidRPr="005428AE" w:rsidRDefault="00CF7A3C" w:rsidP="00CF7A3C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sz w:val="20"/>
              </w:rPr>
            </w:pPr>
          </w:p>
          <w:p w:rsidR="00CF7A3C" w:rsidRPr="005428AE" w:rsidRDefault="00CF7A3C" w:rsidP="00CF7A3C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i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b/>
                <w:i/>
                <w:sz w:val="20"/>
                <w:u w:val="single"/>
              </w:rPr>
              <w:t>NOTA </w:t>
            </w:r>
            <w:r w:rsidRPr="005428AE">
              <w:rPr>
                <w:rFonts w:ascii="Palatino Linotype" w:eastAsia="Calibri" w:hAnsi="Palatino Linotype" w:cs="Times New Roman"/>
                <w:i/>
                <w:sz w:val="20"/>
              </w:rPr>
              <w:t>: L’ensemble des escaliers de secours est prévu métallique.</w:t>
            </w:r>
          </w:p>
          <w:p w:rsidR="00CF7A3C" w:rsidRPr="005428AE" w:rsidRDefault="00CF7A3C" w:rsidP="00CF7A3C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i/>
                <w:sz w:val="20"/>
              </w:rPr>
            </w:pPr>
          </w:p>
          <w:p w:rsidR="00CF7A3C" w:rsidRPr="005428AE" w:rsidRDefault="00CF7A3C" w:rsidP="00CF7A3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</w:p>
          <w:p w:rsidR="00CF7A3C" w:rsidRPr="005428AE" w:rsidRDefault="00CF7A3C" w:rsidP="00CF7A3C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Dès le GO au Sous-Sol :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Pose de l’échafaudage Cour Intérieure,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Intervention au 1</w:t>
            </w:r>
            <w:r w:rsidRPr="005428AE">
              <w:rPr>
                <w:rFonts w:ascii="Palatino Linotype" w:eastAsia="Calibri" w:hAnsi="Palatino Linotype" w:cs="Times New Roman"/>
                <w:sz w:val="20"/>
                <w:vertAlign w:val="superscript"/>
              </w:rPr>
              <w:t>er</w:t>
            </w: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 étage   en montant du menuisier extérieur pour la pose des fenêtres,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Interventions du ravalement 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Intervention des travaux de couverture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Intervention des lots techniques Electricité/Plomberie du Sous-sol en montant,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 Intervention du lot Cloisons-Doublages-Faux-Plafonds au 1</w:t>
            </w:r>
            <w:r w:rsidRPr="005428AE">
              <w:rPr>
                <w:rFonts w:ascii="Palatino Linotype" w:eastAsia="Calibri" w:hAnsi="Palatino Linotype" w:cs="Times New Roman"/>
                <w:sz w:val="20"/>
                <w:vertAlign w:val="superscript"/>
              </w:rPr>
              <w:t>er</w:t>
            </w:r>
            <w:r w:rsidRPr="005428AE">
              <w:rPr>
                <w:rFonts w:ascii="Palatino Linotype" w:eastAsia="Calibri" w:hAnsi="Palatino Linotype" w:cs="Times New Roman"/>
                <w:sz w:val="20"/>
              </w:rPr>
              <w:t xml:space="preserve"> en montant,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Intervention du lot Menuisier Intérieur au 1er en montant,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Intervention du lot Revêtement de sol au 1er en montant.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Intervention du lot Peinture au 1er en montant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Intervention TCE sous-sol et Rez de chaussée.</w:t>
            </w:r>
          </w:p>
          <w:p w:rsidR="00CF7A3C" w:rsidRPr="005428AE" w:rsidRDefault="00CF7A3C" w:rsidP="00CF7A3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5428AE">
              <w:rPr>
                <w:rFonts w:ascii="Palatino Linotype" w:eastAsia="Calibri" w:hAnsi="Palatino Linotype" w:cs="Times New Roman"/>
                <w:sz w:val="20"/>
              </w:rPr>
              <w:t>Appareillage TCE tous niveaux.</w:t>
            </w:r>
          </w:p>
          <w:p w:rsidR="00902058" w:rsidRPr="005428AE" w:rsidRDefault="00902058" w:rsidP="00902058">
            <w:pPr>
              <w:pStyle w:val="texterubrique"/>
              <w:ind w:left="720"/>
              <w:rPr>
                <w:i/>
              </w:rPr>
            </w:pPr>
          </w:p>
          <w:p w:rsidR="00902058" w:rsidRPr="005428AE" w:rsidRDefault="00902058" w:rsidP="00902058">
            <w:pPr>
              <w:pStyle w:val="texterubrique"/>
              <w:ind w:left="720"/>
              <w:rPr>
                <w:i/>
              </w:rPr>
            </w:pPr>
          </w:p>
          <w:p w:rsidR="003B0BBB" w:rsidRPr="005428AE" w:rsidRDefault="003B0BBB" w:rsidP="002C7BE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</w:rPr>
            </w:pPr>
          </w:p>
        </w:tc>
      </w:tr>
      <w:tr w:rsidR="002C7BEB" w:rsidRPr="0023636D" w:rsidTr="00902058">
        <w:trPr>
          <w:cantSplit/>
          <w:trHeight w:val="1616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C7BEB" w:rsidRPr="00EC54C5" w:rsidRDefault="00897B03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 w:rsidRPr="00EC54C5"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lastRenderedPageBreak/>
              <w:t>Requête sur</w:t>
            </w:r>
            <w:r w:rsidR="002C7BEB" w:rsidRPr="00EC54C5"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t xml:space="preserve"> pièces du marche</w:t>
            </w:r>
          </w:p>
          <w:p w:rsidR="002C7BEB" w:rsidRPr="0023636D" w:rsidRDefault="002C7BEB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D37BEFA" wp14:editId="3EA66DBD">
                  <wp:extent cx="685800" cy="723900"/>
                  <wp:effectExtent l="0" t="0" r="0" b="0"/>
                  <wp:docPr id="2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897B03" w:rsidRPr="006727A3" w:rsidRDefault="00897B03" w:rsidP="002C7BE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</w:rPr>
            </w:pPr>
          </w:p>
          <w:p w:rsidR="00B37818" w:rsidRPr="00B37818" w:rsidRDefault="00897B03" w:rsidP="002C7BE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sz w:val="24"/>
                <w:szCs w:val="24"/>
              </w:rPr>
            </w:pPr>
            <w:r w:rsidRPr="00B37818">
              <w:rPr>
                <w:rFonts w:ascii="Palatino Linotype" w:eastAsia="Calibri" w:hAnsi="Palatino Linotype" w:cs="Times New Roman"/>
                <w:b/>
                <w:sz w:val="24"/>
                <w:szCs w:val="24"/>
              </w:rPr>
              <w:t>Délais de paiement :</w:t>
            </w:r>
          </w:p>
          <w:p w:rsidR="00897B03" w:rsidRPr="00A45B0E" w:rsidRDefault="00B37818" w:rsidP="00A45B0E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b/>
                <w:sz w:val="24"/>
                <w:szCs w:val="24"/>
              </w:rPr>
            </w:pPr>
            <w:r w:rsidRPr="00B37818">
              <w:rPr>
                <w:b/>
                <w:sz w:val="24"/>
                <w:szCs w:val="24"/>
              </w:rPr>
              <w:t>Un acompte de 15% est prévu à la signature de l’Os de démarrage des travaux,</w:t>
            </w:r>
            <w:r w:rsidR="00897B03" w:rsidRPr="00A45B0E">
              <w:rPr>
                <w:b/>
                <w:sz w:val="24"/>
                <w:szCs w:val="24"/>
              </w:rPr>
              <w:t xml:space="preserve"> </w:t>
            </w:r>
          </w:p>
          <w:p w:rsidR="00112C6B" w:rsidRPr="00B37818" w:rsidRDefault="00112C6B" w:rsidP="00577202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b/>
                <w:sz w:val="24"/>
                <w:szCs w:val="24"/>
              </w:rPr>
            </w:pPr>
            <w:r w:rsidRPr="00B37818">
              <w:rPr>
                <w:b/>
                <w:sz w:val="24"/>
                <w:szCs w:val="24"/>
              </w:rPr>
              <w:t xml:space="preserve">Les paiements seront ensuite effectués à </w:t>
            </w:r>
            <w:r w:rsidR="00455928" w:rsidRPr="00B37818">
              <w:rPr>
                <w:b/>
                <w:sz w:val="24"/>
                <w:szCs w:val="24"/>
              </w:rPr>
              <w:t>20</w:t>
            </w:r>
            <w:r w:rsidRPr="00B37818">
              <w:rPr>
                <w:b/>
                <w:sz w:val="24"/>
                <w:szCs w:val="24"/>
              </w:rPr>
              <w:t xml:space="preserve"> jours sur présentation de situation validées pas la MOE</w:t>
            </w:r>
          </w:p>
          <w:p w:rsidR="006727A3" w:rsidRPr="00897B03" w:rsidRDefault="006727A3" w:rsidP="00112C6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</w:tc>
      </w:tr>
      <w:tr w:rsidR="0023636D" w:rsidRPr="000F1E0B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EC54C5" w:rsidRDefault="001F70D4" w:rsidP="002C7BEB">
            <w:pPr>
              <w:pStyle w:val="rubrique"/>
              <w:rPr>
                <w:color w:val="365F91" w:themeColor="accent1" w:themeShade="BF"/>
              </w:rPr>
            </w:pPr>
            <w:r w:rsidRPr="00EC54C5">
              <w:rPr>
                <w:color w:val="365F91" w:themeColor="accent1" w:themeShade="BF"/>
              </w:rPr>
              <w:t>Points de vigilance</w:t>
            </w:r>
          </w:p>
          <w:p w:rsidR="0023636D" w:rsidRDefault="0023636D" w:rsidP="002C7BEB">
            <w:pPr>
              <w:pStyle w:val="rubrique"/>
            </w:pPr>
            <w:r>
              <w:rPr>
                <w:noProof/>
                <w:lang w:eastAsia="fr-FR"/>
              </w:rPr>
              <w:drawing>
                <wp:inline distT="0" distB="0" distL="0" distR="0" wp14:anchorId="2402D034" wp14:editId="1AFA1915">
                  <wp:extent cx="685800" cy="723900"/>
                  <wp:effectExtent l="0" t="0" r="0" b="0"/>
                  <wp:docPr id="149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23636D" w:rsidRDefault="00AC5A5B" w:rsidP="002C7BEB">
            <w:pPr>
              <w:rPr>
                <w:rStyle w:val="lev"/>
                <w:rFonts w:ascii="Palatino Linotype" w:hAnsi="Palatino Linotype"/>
                <w:sz w:val="24"/>
                <w:szCs w:val="24"/>
              </w:rPr>
            </w:pPr>
            <w:r>
              <w:rPr>
                <w:rStyle w:val="lev"/>
                <w:rFonts w:ascii="Palatino Linotype" w:hAnsi="Palatino Linotype"/>
                <w:sz w:val="24"/>
                <w:szCs w:val="24"/>
              </w:rPr>
              <w:t>La période de préparation sera consacrée à</w:t>
            </w:r>
            <w:r w:rsidR="001F70D4" w:rsidRPr="00E80CE3">
              <w:rPr>
                <w:rStyle w:val="lev"/>
                <w:rFonts w:ascii="Palatino Linotype" w:hAnsi="Palatino Linotype"/>
                <w:sz w:val="24"/>
                <w:szCs w:val="24"/>
              </w:rPr>
              <w:t xml:space="preserve"> </w:t>
            </w:r>
            <w:r w:rsidR="0023636D" w:rsidRPr="00E80CE3">
              <w:rPr>
                <w:rStyle w:val="lev"/>
                <w:rFonts w:ascii="Palatino Linotype" w:hAnsi="Palatino Linotype"/>
                <w:sz w:val="24"/>
                <w:szCs w:val="24"/>
              </w:rPr>
              <w:t>:</w:t>
            </w:r>
          </w:p>
          <w:p w:rsidR="00AC5A5B" w:rsidRP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sz w:val="24"/>
                <w:szCs w:val="24"/>
              </w:rPr>
            </w:pPr>
            <w:r w:rsidRPr="00AC5A5B">
              <w:rPr>
                <w:rStyle w:val="lev"/>
                <w:b w:val="0"/>
                <w:sz w:val="24"/>
                <w:szCs w:val="24"/>
              </w:rPr>
              <w:t>Réalisation du</w:t>
            </w:r>
            <w:r>
              <w:rPr>
                <w:rStyle w:val="lev"/>
                <w:sz w:val="24"/>
                <w:szCs w:val="24"/>
              </w:rPr>
              <w:t xml:space="preserve"> PIC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Demandes d’autorisations</w:t>
            </w:r>
            <w:r w:rsidR="00A45B0E">
              <w:rPr>
                <w:rStyle w:val="lev"/>
                <w:b w:val="0"/>
                <w:sz w:val="24"/>
                <w:szCs w:val="24"/>
              </w:rPr>
              <w:t xml:space="preserve"> (voieries …)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Synthèse lots technique</w:t>
            </w:r>
            <w:r w:rsidR="00A45B0E">
              <w:rPr>
                <w:rStyle w:val="lev"/>
                <w:b w:val="0"/>
                <w:sz w:val="24"/>
                <w:szCs w:val="24"/>
              </w:rPr>
              <w:t xml:space="preserve">s (réservations …) 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Etude béton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Plans d’exécution</w:t>
            </w:r>
          </w:p>
          <w:p w:rsidR="00AC5A5B" w:rsidRDefault="00CC125E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Plannings directeurs</w:t>
            </w:r>
          </w:p>
          <w:p w:rsidR="00CC125E" w:rsidRPr="00AC5A5B" w:rsidRDefault="00CC125E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PPSPS</w:t>
            </w:r>
          </w:p>
          <w:p w:rsidR="00897B03" w:rsidRPr="00897B03" w:rsidRDefault="00897B03" w:rsidP="00741624">
            <w:pPr>
              <w:ind w:left="720"/>
              <w:rPr>
                <w:rStyle w:val="lev"/>
                <w:b w:val="0"/>
                <w:szCs w:val="24"/>
                <w:u w:val="single"/>
              </w:rPr>
            </w:pPr>
          </w:p>
        </w:tc>
      </w:tr>
      <w:tr w:rsidR="0023636D" w:rsidRPr="000F1E0B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EC54C5" w:rsidRDefault="0023636D" w:rsidP="002C7BEB">
            <w:pPr>
              <w:pStyle w:val="rubrique"/>
              <w:rPr>
                <w:color w:val="365F91" w:themeColor="accent1" w:themeShade="BF"/>
              </w:rPr>
            </w:pPr>
            <w:r w:rsidRPr="00EC54C5">
              <w:rPr>
                <w:color w:val="365F91" w:themeColor="accent1" w:themeShade="BF"/>
              </w:rPr>
              <w:t>Pièces manquantes</w:t>
            </w:r>
          </w:p>
          <w:p w:rsidR="0023636D" w:rsidRDefault="0023636D" w:rsidP="002C7BEB">
            <w:pPr>
              <w:pStyle w:val="rubrique"/>
            </w:pPr>
            <w:r>
              <w:rPr>
                <w:noProof/>
                <w:lang w:eastAsia="fr-FR"/>
              </w:rPr>
              <w:drawing>
                <wp:inline distT="0" distB="0" distL="0" distR="0" wp14:anchorId="1E72DF83" wp14:editId="37F56627">
                  <wp:extent cx="685800" cy="723900"/>
                  <wp:effectExtent l="0" t="0" r="0" b="0"/>
                  <wp:docPr id="6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741624" w:rsidRPr="00741624" w:rsidRDefault="0023636D" w:rsidP="002C7BEB">
            <w:pPr>
              <w:rPr>
                <w:rStyle w:val="lev"/>
                <w:rFonts w:ascii="Palatino Linotype" w:hAnsi="Palatino Linotype"/>
                <w:sz w:val="24"/>
                <w:szCs w:val="24"/>
              </w:rPr>
            </w:pPr>
            <w:r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P</w:t>
            </w:r>
            <w:r w:rsidR="00741624"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ièces manquantes</w:t>
            </w:r>
            <w:r w:rsidRPr="00741624">
              <w:rPr>
                <w:rStyle w:val="lev"/>
                <w:rFonts w:ascii="Palatino Linotype" w:hAnsi="Palatino Linotype"/>
                <w:sz w:val="24"/>
                <w:szCs w:val="24"/>
              </w:rPr>
              <w:t xml:space="preserve">: </w:t>
            </w:r>
          </w:p>
          <w:p w:rsidR="009927C9" w:rsidRPr="005D7CA1" w:rsidRDefault="009927C9" w:rsidP="005D7CA1">
            <w:pPr>
              <w:spacing w:after="0" w:line="240" w:lineRule="auto"/>
              <w:rPr>
                <w:rStyle w:val="lev"/>
                <w:szCs w:val="24"/>
              </w:rPr>
            </w:pPr>
          </w:p>
          <w:p w:rsidR="00502F30" w:rsidRDefault="00455928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Etude Thermique et phonique</w:t>
            </w:r>
            <w:r w:rsidR="00B37818">
              <w:rPr>
                <w:rStyle w:val="lev"/>
                <w:sz w:val="22"/>
                <w:szCs w:val="24"/>
              </w:rPr>
              <w:t>,</w:t>
            </w:r>
          </w:p>
          <w:p w:rsidR="00B37818" w:rsidRDefault="00B37818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Rapport de sol,</w:t>
            </w:r>
          </w:p>
          <w:p w:rsidR="00F636A7" w:rsidRDefault="00AA6F35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Diagnostic</w:t>
            </w:r>
            <w:r w:rsidR="00F636A7">
              <w:rPr>
                <w:rStyle w:val="lev"/>
                <w:sz w:val="22"/>
                <w:szCs w:val="24"/>
              </w:rPr>
              <w:t xml:space="preserve"> </w:t>
            </w:r>
            <w:r w:rsidR="00B37818">
              <w:rPr>
                <w:rStyle w:val="lev"/>
                <w:sz w:val="22"/>
                <w:szCs w:val="24"/>
              </w:rPr>
              <w:t>avant travaux : Plomb, Amiante,</w:t>
            </w:r>
          </w:p>
          <w:p w:rsidR="00455928" w:rsidRDefault="00455928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Rapport initial du bureau de contrôle (RICT)</w:t>
            </w:r>
            <w:r w:rsidR="00B37818">
              <w:rPr>
                <w:rStyle w:val="lev"/>
                <w:sz w:val="22"/>
                <w:szCs w:val="24"/>
              </w:rPr>
              <w:t>,</w:t>
            </w:r>
            <w:bookmarkStart w:id="1" w:name="_GoBack"/>
            <w:bookmarkEnd w:id="1"/>
          </w:p>
          <w:p w:rsidR="00502F30" w:rsidRDefault="00502F30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Attenants du permis</w:t>
            </w:r>
            <w:r w:rsidR="00B37818">
              <w:rPr>
                <w:rStyle w:val="lev"/>
                <w:sz w:val="22"/>
                <w:szCs w:val="24"/>
              </w:rPr>
              <w:t>,</w:t>
            </w:r>
            <w:r>
              <w:rPr>
                <w:rStyle w:val="lev"/>
                <w:sz w:val="22"/>
                <w:szCs w:val="24"/>
              </w:rPr>
              <w:t xml:space="preserve"> </w:t>
            </w:r>
          </w:p>
          <w:p w:rsidR="00AC5A5B" w:rsidRPr="005204CB" w:rsidRDefault="00AC5A5B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Référé préventif</w:t>
            </w:r>
            <w:r w:rsidR="00B37818">
              <w:rPr>
                <w:rStyle w:val="lev"/>
                <w:sz w:val="22"/>
                <w:szCs w:val="24"/>
              </w:rPr>
              <w:t>.</w:t>
            </w:r>
          </w:p>
          <w:p w:rsidR="002C7BEB" w:rsidRPr="005204CB" w:rsidRDefault="002C7BEB" w:rsidP="002C7BEB">
            <w:pPr>
              <w:spacing w:after="0" w:line="240" w:lineRule="auto"/>
              <w:rPr>
                <w:b/>
                <w:sz w:val="24"/>
              </w:rPr>
            </w:pPr>
          </w:p>
          <w:p w:rsidR="002C7BEB" w:rsidRPr="009927C9" w:rsidRDefault="002C7BEB" w:rsidP="002C7BEB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 w:rsidRPr="009927C9">
              <w:rPr>
                <w:rFonts w:ascii="Palatino Linotype" w:hAnsi="Palatino Linotype"/>
                <w:b/>
                <w:sz w:val="24"/>
              </w:rPr>
              <w:t>De ce fait, not</w:t>
            </w:r>
            <w:r w:rsidR="009927C9" w:rsidRPr="009927C9">
              <w:rPr>
                <w:rFonts w:ascii="Palatino Linotype" w:hAnsi="Palatino Linotype"/>
                <w:b/>
                <w:sz w:val="24"/>
              </w:rPr>
              <w:t>re offre ne peut être considérée</w:t>
            </w:r>
            <w:r w:rsidRPr="009927C9">
              <w:rPr>
                <w:rFonts w:ascii="Palatino Linotype" w:hAnsi="Palatino Linotype"/>
                <w:b/>
                <w:sz w:val="24"/>
              </w:rPr>
              <w:t xml:space="preserve"> comme forfaitaire. </w:t>
            </w:r>
          </w:p>
        </w:tc>
      </w:tr>
      <w:tr w:rsidR="00EF6AB7" w:rsidRPr="009927C9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F6AB7" w:rsidRPr="00EF6AB7" w:rsidRDefault="00EF6AB7" w:rsidP="008B41EF">
            <w:pPr>
              <w:pStyle w:val="rubrique"/>
              <w:rPr>
                <w:color w:val="365F91" w:themeColor="accent1" w:themeShade="BF"/>
              </w:rPr>
            </w:pP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EF6AB7" w:rsidRPr="00EF6AB7" w:rsidRDefault="00EF6AB7" w:rsidP="00EF6AB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F2E1D" w:rsidRPr="00EF6AB7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8F2E1D" w:rsidRPr="00EC54C5" w:rsidRDefault="008F2E1D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lastRenderedPageBreak/>
              <w:t xml:space="preserve">Questions / </w:t>
            </w:r>
            <w:r w:rsidR="007757CB">
              <w:rPr>
                <w:color w:val="365F91" w:themeColor="accent1" w:themeShade="BF"/>
              </w:rPr>
              <w:t>Réponses</w:t>
            </w:r>
          </w:p>
          <w:p w:rsidR="008F2E1D" w:rsidRPr="00EF6AB7" w:rsidRDefault="00C62314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1CE8D15" wp14:editId="3C071327">
                  <wp:extent cx="685800" cy="723900"/>
                  <wp:effectExtent l="0" t="0" r="0" b="0"/>
                  <wp:docPr id="3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8F2E1D" w:rsidRPr="00741624" w:rsidRDefault="007757CB" w:rsidP="00F05613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  <w: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Questions / Réponses</w:t>
            </w:r>
            <w:r w:rsidR="008F2E1D"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 xml:space="preserve"> : </w:t>
            </w:r>
          </w:p>
          <w:p w:rsidR="00C62314" w:rsidRPr="007757CB" w:rsidRDefault="00C62314" w:rsidP="007757C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left"/>
              <w:rPr>
                <w:rStyle w:val="lev"/>
                <w:rFonts w:eastAsiaTheme="minorHAnsi" w:cstheme="minorBidi"/>
                <w:b w:val="0"/>
                <w:sz w:val="22"/>
                <w:szCs w:val="24"/>
              </w:rPr>
            </w:pPr>
          </w:p>
          <w:p w:rsidR="007757CB" w:rsidRPr="008F2E1D" w:rsidRDefault="007757CB" w:rsidP="00342A4C">
            <w:pPr>
              <w:pStyle w:val="Paragraphedeliste"/>
              <w:spacing w:after="0" w:line="240" w:lineRule="auto"/>
              <w:jc w:val="left"/>
              <w:rPr>
                <w:rStyle w:val="lev"/>
                <w:rFonts w:eastAsiaTheme="minorHAnsi" w:cstheme="minorBidi"/>
                <w:sz w:val="24"/>
                <w:szCs w:val="24"/>
                <w:u w:val="single"/>
              </w:rPr>
            </w:pPr>
          </w:p>
          <w:p w:rsidR="008F2E1D" w:rsidRPr="008F2E1D" w:rsidRDefault="008F2E1D" w:rsidP="00F05613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</w:p>
          <w:p w:rsidR="008F2E1D" w:rsidRPr="008F2E1D" w:rsidRDefault="008F2E1D" w:rsidP="008F2E1D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</w:p>
          <w:p w:rsidR="008F2E1D" w:rsidRPr="008F2E1D" w:rsidRDefault="008F2E1D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  <w:p w:rsidR="008F2E1D" w:rsidRPr="008F2E1D" w:rsidRDefault="008F2E1D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</w:tc>
      </w:tr>
      <w:tr w:rsidR="00602B16" w:rsidRPr="00EF6AB7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602B16" w:rsidRPr="00EC54C5" w:rsidRDefault="00602B16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Qualite</w:t>
            </w:r>
          </w:p>
          <w:p w:rsidR="00602B16" w:rsidRPr="00EF6AB7" w:rsidRDefault="00602B16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noProof/>
                <w:color w:val="365F91" w:themeColor="accent1" w:themeShade="BF"/>
                <w:lang w:eastAsia="fr-FR"/>
              </w:rPr>
              <w:drawing>
                <wp:inline distT="0" distB="0" distL="0" distR="0" wp14:anchorId="7FD8029D" wp14:editId="1CE92DAF">
                  <wp:extent cx="1185063" cy="1185063"/>
                  <wp:effectExtent l="0" t="0" r="0" b="0"/>
                  <wp:docPr id="5" name="Image 5" descr="C:\Users\Tous\AppData\Local\Microsoft\Windows\Temporary Internet Files\Content.Outlook\T5A9EU1F\index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ous\AppData\Local\Microsoft\Windows\Temporary Internet Files\Content.Outlook\T5A9EU1F\index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36" cy="11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602B16" w:rsidRPr="00741624" w:rsidRDefault="00602B16" w:rsidP="00F05613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  <w: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Démarche Qualité de l’entreprise</w:t>
            </w:r>
            <w:r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 xml:space="preserve"> : </w:t>
            </w:r>
          </w:p>
          <w:p w:rsidR="00602B16" w:rsidRPr="00602B16" w:rsidRDefault="00602B16" w:rsidP="00602B16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</w:p>
          <w:p w:rsidR="00602B16" w:rsidRPr="00602B16" w:rsidRDefault="00602B16" w:rsidP="00F05613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rFonts w:eastAsiaTheme="minorHAnsi" w:cstheme="minorBidi"/>
                <w:sz w:val="24"/>
                <w:szCs w:val="24"/>
                <w:u w:val="single"/>
              </w:rPr>
            </w:pPr>
            <w:r w:rsidRPr="00602B16">
              <w:rPr>
                <w:rStyle w:val="lev"/>
                <w:rFonts w:eastAsiaTheme="minorHAnsi" w:cstheme="minorBidi"/>
                <w:sz w:val="24"/>
                <w:szCs w:val="24"/>
                <w:u w:val="single"/>
              </w:rPr>
              <w:t>Notre démarche Qualité est détaillée dans notre plan  « Qualité-Sécurité-Environnement » comme suit :</w:t>
            </w:r>
          </w:p>
          <w:p w:rsidR="00602B16" w:rsidRPr="00602B16" w:rsidRDefault="00602B16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  <w:p w:rsidR="00602B16" w:rsidRPr="00602B16" w:rsidRDefault="00602B16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E21B53" w:rsidRDefault="00E21B53" w:rsidP="002C7BEB"/>
    <w:sectPr w:rsidR="00E21B53" w:rsidSect="00EC54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237" w:right="1417" w:bottom="1417" w:left="1417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8F0" w:rsidRDefault="005748F0" w:rsidP="000B6726">
      <w:pPr>
        <w:spacing w:after="0" w:line="240" w:lineRule="auto"/>
      </w:pPr>
      <w:r>
        <w:separator/>
      </w:r>
    </w:p>
  </w:endnote>
  <w:endnote w:type="continuationSeparator" w:id="0">
    <w:p w:rsidR="005748F0" w:rsidRDefault="005748F0" w:rsidP="000B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BB" w:rsidRDefault="003B0B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06329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C7BEB" w:rsidRDefault="002C7BE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CA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CA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BEB" w:rsidRPr="00750511" w:rsidRDefault="00750511">
    <w:pPr>
      <w:pStyle w:val="Pieddepage"/>
      <w:rPr>
        <w:color w:val="0070C0"/>
        <w:sz w:val="18"/>
      </w:rPr>
    </w:pPr>
    <w:r w:rsidRPr="00750511">
      <w:rPr>
        <w:color w:val="0070C0"/>
        <w:sz w:val="18"/>
      </w:rPr>
      <w:t>Doc FinancièreVM</w:t>
    </w:r>
    <w:r w:rsidR="003D7FFE" w:rsidRPr="00750511">
      <w:rPr>
        <w:color w:val="0070C0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BB" w:rsidRDefault="003B0B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8F0" w:rsidRDefault="005748F0" w:rsidP="000B6726">
      <w:pPr>
        <w:spacing w:after="0" w:line="240" w:lineRule="auto"/>
      </w:pPr>
      <w:r>
        <w:separator/>
      </w:r>
    </w:p>
  </w:footnote>
  <w:footnote w:type="continuationSeparator" w:id="0">
    <w:p w:rsidR="005748F0" w:rsidRDefault="005748F0" w:rsidP="000B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BB" w:rsidRDefault="003B0B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FFE" w:rsidRDefault="00EC54C5" w:rsidP="003D7FF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7CCCCE8" wp14:editId="46DDC2E3">
          <wp:simplePos x="0" y="0"/>
          <wp:positionH relativeFrom="column">
            <wp:posOffset>2414715</wp:posOffset>
          </wp:positionH>
          <wp:positionV relativeFrom="paragraph">
            <wp:posOffset>-109855</wp:posOffset>
          </wp:positionV>
          <wp:extent cx="938150" cy="1097888"/>
          <wp:effectExtent l="0" t="0" r="0" b="7620"/>
          <wp:wrapNone/>
          <wp:docPr id="10" name="Image 10" descr="C:\Dropbox (SIKENA)\2-Compta\01- VM Construction\99 - Administration\LOGO\LOGO_VM_CONSTRUCTION_V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ropbox (SIKENA)\2-Compta\01- VM Construction\99 - Administration\LOGO\LOGO_VM_CONSTRUCTION_V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150" cy="1097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t>²</w:t>
    </w:r>
  </w:p>
  <w:p w:rsidR="002C7BEB" w:rsidRDefault="002C7BE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BB" w:rsidRDefault="003B0B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2.75pt;height:170.25pt" o:bullet="t">
        <v:imagedata r:id="rId1" o:title="fleche01"/>
      </v:shape>
    </w:pict>
  </w:numPicBullet>
  <w:numPicBullet w:numPicBulletId="1">
    <w:pict>
      <v:shape id="_x0000_i1029" type="#_x0000_t75" style="width:96pt;height:96pt" o:bullet="t">
        <v:imagedata r:id="rId2" o:title="forward"/>
      </v:shape>
    </w:pict>
  </w:numPicBullet>
  <w:abstractNum w:abstractNumId="0" w15:restartNumberingAfterBreak="0">
    <w:nsid w:val="01931090"/>
    <w:multiLevelType w:val="hybridMultilevel"/>
    <w:tmpl w:val="66BC9002"/>
    <w:lvl w:ilvl="0" w:tplc="20525618">
      <w:numFmt w:val="bullet"/>
      <w:lvlText w:val="-"/>
      <w:lvlJc w:val="left"/>
      <w:pPr>
        <w:ind w:left="108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B2175"/>
    <w:multiLevelType w:val="hybridMultilevel"/>
    <w:tmpl w:val="880EF5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2E44A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9EC3CA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6431"/>
    <w:multiLevelType w:val="hybridMultilevel"/>
    <w:tmpl w:val="68B2DF5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23530"/>
    <w:multiLevelType w:val="hybridMultilevel"/>
    <w:tmpl w:val="487AEA0E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05A4"/>
    <w:multiLevelType w:val="hybridMultilevel"/>
    <w:tmpl w:val="3CF856B0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64891"/>
    <w:multiLevelType w:val="hybridMultilevel"/>
    <w:tmpl w:val="074A1C7A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C642F"/>
    <w:multiLevelType w:val="hybridMultilevel"/>
    <w:tmpl w:val="5B647D56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C243730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7617E"/>
    <w:multiLevelType w:val="hybridMultilevel"/>
    <w:tmpl w:val="6FDA63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EC3C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9EC3CA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F7846"/>
    <w:multiLevelType w:val="hybridMultilevel"/>
    <w:tmpl w:val="C4D6D6FA"/>
    <w:lvl w:ilvl="0" w:tplc="0FF47ABA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04B51"/>
    <w:multiLevelType w:val="hybridMultilevel"/>
    <w:tmpl w:val="C4EC4014"/>
    <w:lvl w:ilvl="0" w:tplc="B3F40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6D"/>
    <w:rsid w:val="00005FA4"/>
    <w:rsid w:val="00015C02"/>
    <w:rsid w:val="000A7480"/>
    <w:rsid w:val="000B6726"/>
    <w:rsid w:val="000C4BEE"/>
    <w:rsid w:val="000D61B5"/>
    <w:rsid w:val="00112C6B"/>
    <w:rsid w:val="00137FE8"/>
    <w:rsid w:val="00157642"/>
    <w:rsid w:val="00164E17"/>
    <w:rsid w:val="0017572C"/>
    <w:rsid w:val="00193F95"/>
    <w:rsid w:val="001A2779"/>
    <w:rsid w:val="001B24F2"/>
    <w:rsid w:val="001F2DFA"/>
    <w:rsid w:val="001F70D4"/>
    <w:rsid w:val="00207B1C"/>
    <w:rsid w:val="0023636D"/>
    <w:rsid w:val="00260674"/>
    <w:rsid w:val="00273B7B"/>
    <w:rsid w:val="002954AB"/>
    <w:rsid w:val="002C7BEB"/>
    <w:rsid w:val="002D6C8F"/>
    <w:rsid w:val="00317D4D"/>
    <w:rsid w:val="00332875"/>
    <w:rsid w:val="0033325D"/>
    <w:rsid w:val="00342A4C"/>
    <w:rsid w:val="003624B7"/>
    <w:rsid w:val="00386F94"/>
    <w:rsid w:val="003A0833"/>
    <w:rsid w:val="003B0BBB"/>
    <w:rsid w:val="003C2AA3"/>
    <w:rsid w:val="003D52EA"/>
    <w:rsid w:val="003D7FFE"/>
    <w:rsid w:val="00401F4A"/>
    <w:rsid w:val="0044579A"/>
    <w:rsid w:val="00447981"/>
    <w:rsid w:val="004519B9"/>
    <w:rsid w:val="00455928"/>
    <w:rsid w:val="004925E1"/>
    <w:rsid w:val="00502F30"/>
    <w:rsid w:val="005173D0"/>
    <w:rsid w:val="005204CB"/>
    <w:rsid w:val="005428AE"/>
    <w:rsid w:val="005748F0"/>
    <w:rsid w:val="00577202"/>
    <w:rsid w:val="00592D9E"/>
    <w:rsid w:val="0059559C"/>
    <w:rsid w:val="005D7CA1"/>
    <w:rsid w:val="005F6E0C"/>
    <w:rsid w:val="00602B16"/>
    <w:rsid w:val="00604C8F"/>
    <w:rsid w:val="00605587"/>
    <w:rsid w:val="00637298"/>
    <w:rsid w:val="00670AA2"/>
    <w:rsid w:val="006727A3"/>
    <w:rsid w:val="00741624"/>
    <w:rsid w:val="00750511"/>
    <w:rsid w:val="00767DAE"/>
    <w:rsid w:val="007757CB"/>
    <w:rsid w:val="0078065D"/>
    <w:rsid w:val="007E3A65"/>
    <w:rsid w:val="007F5739"/>
    <w:rsid w:val="007F6E65"/>
    <w:rsid w:val="00804EF0"/>
    <w:rsid w:val="008370F9"/>
    <w:rsid w:val="00867AEF"/>
    <w:rsid w:val="00870DB6"/>
    <w:rsid w:val="00883614"/>
    <w:rsid w:val="00897B03"/>
    <w:rsid w:val="008B41EF"/>
    <w:rsid w:val="008C5929"/>
    <w:rsid w:val="008F2E1D"/>
    <w:rsid w:val="00902058"/>
    <w:rsid w:val="00970358"/>
    <w:rsid w:val="009927C9"/>
    <w:rsid w:val="00A05954"/>
    <w:rsid w:val="00A374E9"/>
    <w:rsid w:val="00A44ECB"/>
    <w:rsid w:val="00A45B0E"/>
    <w:rsid w:val="00A62B78"/>
    <w:rsid w:val="00A91C81"/>
    <w:rsid w:val="00AA6F35"/>
    <w:rsid w:val="00AC5A5B"/>
    <w:rsid w:val="00AF3BC4"/>
    <w:rsid w:val="00B37818"/>
    <w:rsid w:val="00B66E02"/>
    <w:rsid w:val="00BB6127"/>
    <w:rsid w:val="00BC4582"/>
    <w:rsid w:val="00C57E11"/>
    <w:rsid w:val="00C62314"/>
    <w:rsid w:val="00CA24DB"/>
    <w:rsid w:val="00CA3499"/>
    <w:rsid w:val="00CA4B25"/>
    <w:rsid w:val="00CB7E16"/>
    <w:rsid w:val="00CC125E"/>
    <w:rsid w:val="00CF7A3C"/>
    <w:rsid w:val="00D10467"/>
    <w:rsid w:val="00DD0223"/>
    <w:rsid w:val="00DD7D6F"/>
    <w:rsid w:val="00DF003F"/>
    <w:rsid w:val="00DF4A4C"/>
    <w:rsid w:val="00E02013"/>
    <w:rsid w:val="00E04832"/>
    <w:rsid w:val="00E21B53"/>
    <w:rsid w:val="00E33E7A"/>
    <w:rsid w:val="00E80CE3"/>
    <w:rsid w:val="00EB5F0D"/>
    <w:rsid w:val="00EC06D6"/>
    <w:rsid w:val="00EC54C5"/>
    <w:rsid w:val="00EF6AB7"/>
    <w:rsid w:val="00F240A5"/>
    <w:rsid w:val="00F62E08"/>
    <w:rsid w:val="00F636A7"/>
    <w:rsid w:val="00F815DC"/>
    <w:rsid w:val="00F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DA6AA"/>
  <w15:docId w15:val="{37E3B501-8F5E-4C44-9093-527276AC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6D"/>
    <w:rPr>
      <w:rFonts w:ascii="Tahoma" w:hAnsi="Tahoma" w:cs="Tahoma"/>
      <w:sz w:val="16"/>
      <w:szCs w:val="16"/>
    </w:rPr>
  </w:style>
  <w:style w:type="paragraph" w:customStyle="1" w:styleId="rubrique">
    <w:name w:val="rubrique"/>
    <w:qFormat/>
    <w:rsid w:val="0023636D"/>
    <w:pPr>
      <w:spacing w:after="120" w:line="240" w:lineRule="auto"/>
      <w:jc w:val="center"/>
    </w:pPr>
    <w:rPr>
      <w:rFonts w:ascii="Georgia" w:eastAsia="Calibri" w:hAnsi="Georgia" w:cs="Times New Roman"/>
      <w:b/>
      <w:smallCaps/>
      <w:color w:val="4F81BD"/>
    </w:rPr>
  </w:style>
  <w:style w:type="paragraph" w:customStyle="1" w:styleId="texterubrique">
    <w:name w:val="texte rubrique"/>
    <w:qFormat/>
    <w:rsid w:val="0023636D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paragraph" w:styleId="Paragraphedeliste">
    <w:name w:val="List Paragraph"/>
    <w:basedOn w:val="Normal"/>
    <w:uiPriority w:val="34"/>
    <w:qFormat/>
    <w:rsid w:val="0023636D"/>
    <w:pPr>
      <w:spacing w:after="120"/>
      <w:ind w:left="720"/>
      <w:contextualSpacing/>
      <w:jc w:val="both"/>
    </w:pPr>
    <w:rPr>
      <w:rFonts w:ascii="Palatino Linotype" w:eastAsia="Calibri" w:hAnsi="Palatino Linotype" w:cs="Times New Roman"/>
      <w:sz w:val="20"/>
    </w:rPr>
  </w:style>
  <w:style w:type="character" w:styleId="lev">
    <w:name w:val="Strong"/>
    <w:basedOn w:val="Policepardfaut"/>
    <w:uiPriority w:val="22"/>
    <w:qFormat/>
    <w:rsid w:val="0023636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6726"/>
  </w:style>
  <w:style w:type="paragraph" w:styleId="Pieddepage">
    <w:name w:val="footer"/>
    <w:basedOn w:val="Normal"/>
    <w:link w:val="Pieddepag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B3728-8E31-42DC-8DDC-F1E35630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2</cp:revision>
  <cp:lastPrinted>2015-12-02T11:37:00Z</cp:lastPrinted>
  <dcterms:created xsi:type="dcterms:W3CDTF">2015-12-02T12:07:00Z</dcterms:created>
  <dcterms:modified xsi:type="dcterms:W3CDTF">2015-12-02T12:07:00Z</dcterms:modified>
</cp:coreProperties>
</file>